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2F3D71" w14:textId="6902C115" w:rsidR="004E006F" w:rsidRDefault="004E006F" w:rsidP="00275E33">
      <w:pPr>
        <w:spacing w:after="240"/>
        <w:jc w:val="center"/>
        <w:rPr>
          <w:rFonts w:ascii="Arial" w:hAnsi="Arial" w:cs="Arial"/>
          <w:b/>
          <w:bCs/>
          <w:sz w:val="28"/>
          <w:szCs w:val="28"/>
        </w:rPr>
      </w:pPr>
      <w:r>
        <w:rPr>
          <w:rFonts w:ascii="Arial" w:hAnsi="Arial" w:cs="Arial"/>
          <w:b/>
          <w:bCs/>
          <w:noProof/>
          <w:sz w:val="28"/>
          <w:szCs w:val="28"/>
          <w:lang w:eastAsia="en-AU"/>
        </w:rPr>
        <w:drawing>
          <wp:anchor distT="0" distB="0" distL="114300" distR="114300" simplePos="0" relativeHeight="251658240" behindDoc="0" locked="0" layoutInCell="1" allowOverlap="1" wp14:editId="5545A29A">
            <wp:simplePos x="0" y="0"/>
            <wp:positionH relativeFrom="column">
              <wp:posOffset>2234837</wp:posOffset>
            </wp:positionH>
            <wp:positionV relativeFrom="paragraph">
              <wp:posOffset>-674098</wp:posOffset>
            </wp:positionV>
            <wp:extent cx="1419225" cy="1266825"/>
            <wp:effectExtent l="0" t="0" r="0" b="0"/>
            <wp:wrapNone/>
            <wp:docPr id="1" name="Picture 1"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V_Red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22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D2C11B" w14:textId="77777777" w:rsidR="004E006F" w:rsidRDefault="004E006F" w:rsidP="00275E33">
      <w:pPr>
        <w:spacing w:after="240"/>
        <w:jc w:val="center"/>
        <w:rPr>
          <w:rFonts w:ascii="Arial" w:hAnsi="Arial" w:cs="Arial"/>
          <w:b/>
          <w:bCs/>
          <w:sz w:val="28"/>
          <w:szCs w:val="28"/>
        </w:rPr>
      </w:pPr>
    </w:p>
    <w:p w14:paraId="0000FF50" w14:textId="77777777" w:rsidR="00403C40" w:rsidRPr="00635D20" w:rsidRDefault="3A5A0E67" w:rsidP="00275E33">
      <w:pPr>
        <w:spacing w:after="240"/>
        <w:jc w:val="center"/>
        <w:rPr>
          <w:rFonts w:ascii="Arial" w:hAnsi="Arial" w:cs="Arial"/>
          <w:b/>
          <w:bCs/>
          <w:sz w:val="32"/>
          <w:szCs w:val="32"/>
        </w:rPr>
      </w:pPr>
      <w:r w:rsidRPr="00635D20">
        <w:rPr>
          <w:rFonts w:ascii="Arial" w:hAnsi="Arial" w:cs="Arial"/>
          <w:b/>
          <w:bCs/>
          <w:sz w:val="32"/>
          <w:szCs w:val="32"/>
        </w:rPr>
        <w:t>Cost</w:t>
      </w:r>
      <w:r w:rsidR="00151832" w:rsidRPr="00635D20">
        <w:rPr>
          <w:rFonts w:ascii="Arial" w:hAnsi="Arial" w:cs="Arial"/>
          <w:b/>
          <w:bCs/>
          <w:sz w:val="32"/>
          <w:szCs w:val="32"/>
        </w:rPr>
        <w:t>s</w:t>
      </w:r>
      <w:r w:rsidRPr="00635D20">
        <w:rPr>
          <w:rFonts w:ascii="Arial" w:hAnsi="Arial" w:cs="Arial"/>
          <w:b/>
          <w:bCs/>
          <w:sz w:val="32"/>
          <w:szCs w:val="32"/>
        </w:rPr>
        <w:t xml:space="preserve"> Orders in Interlocutory Applications, Employment &amp;</w:t>
      </w:r>
      <w:r w:rsidR="00275E33" w:rsidRPr="00635D20">
        <w:rPr>
          <w:rFonts w:ascii="Arial" w:hAnsi="Arial" w:cs="Arial"/>
          <w:b/>
          <w:bCs/>
          <w:sz w:val="32"/>
          <w:szCs w:val="32"/>
        </w:rPr>
        <w:t> </w:t>
      </w:r>
      <w:r w:rsidRPr="00635D20">
        <w:rPr>
          <w:rFonts w:ascii="Arial" w:hAnsi="Arial" w:cs="Arial"/>
          <w:b/>
          <w:bCs/>
          <w:sz w:val="32"/>
          <w:szCs w:val="32"/>
        </w:rPr>
        <w:t>Industrial</w:t>
      </w:r>
      <w:r w:rsidR="00275E33" w:rsidRPr="00635D20">
        <w:rPr>
          <w:rFonts w:ascii="Arial" w:hAnsi="Arial" w:cs="Arial"/>
          <w:b/>
          <w:bCs/>
          <w:sz w:val="32"/>
          <w:szCs w:val="32"/>
        </w:rPr>
        <w:t> </w:t>
      </w:r>
      <w:r w:rsidRPr="00635D20">
        <w:rPr>
          <w:rFonts w:ascii="Arial" w:hAnsi="Arial" w:cs="Arial"/>
          <w:b/>
          <w:bCs/>
          <w:sz w:val="32"/>
          <w:szCs w:val="32"/>
        </w:rPr>
        <w:t>List, Supreme Court of Victoria</w:t>
      </w:r>
    </w:p>
    <w:p w14:paraId="414F5EC7" w14:textId="15A7D354" w:rsidR="00403C40" w:rsidRPr="00635D20" w:rsidRDefault="3A5A0E67" w:rsidP="3A5A0E67">
      <w:pPr>
        <w:spacing w:before="240" w:after="240"/>
        <w:jc w:val="center"/>
        <w:rPr>
          <w:rFonts w:ascii="Arial" w:hAnsi="Arial" w:cs="Arial"/>
          <w:b/>
          <w:sz w:val="24"/>
          <w:szCs w:val="24"/>
        </w:rPr>
      </w:pPr>
      <w:r w:rsidRPr="00635D20">
        <w:rPr>
          <w:rFonts w:ascii="Arial" w:hAnsi="Arial" w:cs="Arial"/>
          <w:b/>
        </w:rPr>
        <w:t>The Hon. Associate Justice Ierodiaconou</w:t>
      </w:r>
      <w:bookmarkStart w:id="0" w:name="_GoBack"/>
      <w:bookmarkEnd w:id="0"/>
      <w:r w:rsidRPr="00635D20">
        <w:rPr>
          <w:rFonts w:ascii="Arial" w:hAnsi="Arial" w:cs="Arial"/>
          <w:b/>
        </w:rPr>
        <w:t>*</w:t>
      </w:r>
    </w:p>
    <w:p w14:paraId="09AB3A67" w14:textId="77777777" w:rsidR="00635D20" w:rsidRPr="00635D20" w:rsidRDefault="00635D20" w:rsidP="3A5A0E67">
      <w:pPr>
        <w:spacing w:before="240" w:after="480" w:line="240" w:lineRule="atLeast"/>
        <w:jc w:val="center"/>
        <w:rPr>
          <w:rFonts w:ascii="Arial" w:hAnsi="Arial" w:cs="Arial"/>
          <w:bCs/>
        </w:rPr>
      </w:pPr>
      <w:r w:rsidRPr="00635D20">
        <w:rPr>
          <w:rStyle w:val="Strong"/>
          <w:rFonts w:ascii="Arial" w:hAnsi="Arial" w:cs="Arial"/>
          <w:b w:val="0"/>
        </w:rPr>
        <w:t xml:space="preserve">Remarks of the Honourable Associate Justice Ierodiaconou at the </w:t>
      </w:r>
      <w:r w:rsidR="00923E15" w:rsidRPr="00635D20">
        <w:rPr>
          <w:rStyle w:val="Strong"/>
          <w:rFonts w:ascii="Arial" w:hAnsi="Arial" w:cs="Arial"/>
          <w:b w:val="0"/>
        </w:rPr>
        <w:t>Industrial Bar CPD: Second Annual Employment Law Update</w:t>
      </w:r>
      <w:r w:rsidRPr="00635D20">
        <w:rPr>
          <w:rFonts w:ascii="Arial" w:hAnsi="Arial" w:cs="Arial"/>
          <w:bCs/>
          <w:sz w:val="21"/>
          <w:szCs w:val="21"/>
        </w:rPr>
        <w:t xml:space="preserve"> </w:t>
      </w:r>
      <w:r w:rsidRPr="00635D20">
        <w:rPr>
          <w:rFonts w:ascii="Arial" w:hAnsi="Arial" w:cs="Arial"/>
          <w:bCs/>
        </w:rPr>
        <w:t>Victorian Bar.</w:t>
      </w:r>
    </w:p>
    <w:p w14:paraId="1CF3D369" w14:textId="693EB3A4" w:rsidR="00403C40" w:rsidRPr="00635D20" w:rsidRDefault="00635D20" w:rsidP="3A5A0E67">
      <w:pPr>
        <w:spacing w:before="240" w:after="480" w:line="240" w:lineRule="atLeast"/>
        <w:jc w:val="center"/>
        <w:rPr>
          <w:rFonts w:ascii="Arial" w:hAnsi="Arial" w:cs="Arial"/>
          <w:bCs/>
        </w:rPr>
      </w:pPr>
      <w:r w:rsidRPr="00635D20">
        <w:rPr>
          <w:rFonts w:ascii="Arial" w:hAnsi="Arial" w:cs="Arial"/>
          <w:bCs/>
        </w:rPr>
        <w:t xml:space="preserve">Tuesday, </w:t>
      </w:r>
      <w:r w:rsidR="00923E15" w:rsidRPr="00635D20">
        <w:rPr>
          <w:rFonts w:ascii="Arial" w:hAnsi="Arial" w:cs="Arial"/>
          <w:bCs/>
        </w:rPr>
        <w:t>13 March 2018.</w:t>
      </w:r>
    </w:p>
    <w:p w14:paraId="51021FB0" w14:textId="77777777" w:rsidR="00403C40" w:rsidRPr="00621FC7" w:rsidRDefault="3A5A0E67" w:rsidP="00621FC7">
      <w:pPr>
        <w:spacing w:before="240" w:after="0" w:line="240" w:lineRule="atLeast"/>
        <w:ind w:left="720"/>
        <w:rPr>
          <w:rFonts w:ascii="Arial" w:hAnsi="Arial" w:cs="Arial"/>
          <w:b/>
          <w:bCs/>
          <w:sz w:val="24"/>
        </w:rPr>
      </w:pPr>
      <w:r w:rsidRPr="00621FC7">
        <w:rPr>
          <w:rFonts w:ascii="Arial" w:hAnsi="Arial" w:cs="Arial"/>
          <w:b/>
          <w:bCs/>
          <w:sz w:val="24"/>
        </w:rPr>
        <w:t>Introduction</w:t>
      </w:r>
    </w:p>
    <w:p w14:paraId="598673C9" w14:textId="77777777" w:rsidR="00403C40" w:rsidRPr="00915ED4" w:rsidRDefault="3A5A0E67" w:rsidP="003F076F">
      <w:pPr>
        <w:pStyle w:val="ListParagraph"/>
        <w:numPr>
          <w:ilvl w:val="0"/>
          <w:numId w:val="1"/>
        </w:numPr>
        <w:spacing w:after="240" w:line="480" w:lineRule="atLeast"/>
        <w:ind w:left="720" w:hanging="720"/>
        <w:jc w:val="both"/>
        <w:rPr>
          <w:rFonts w:ascii="Arial" w:hAnsi="Arial" w:cs="Arial"/>
          <w:lang w:val="en-AU"/>
        </w:rPr>
      </w:pPr>
      <w:r w:rsidRPr="00915ED4">
        <w:rPr>
          <w:rFonts w:ascii="Arial" w:hAnsi="Arial" w:cs="Arial"/>
          <w:lang w:val="en-AU"/>
        </w:rPr>
        <w:t xml:space="preserve">Colleagues, members of the profession and other supporters, good afternoon. </w:t>
      </w:r>
      <w:r w:rsidR="00915ED4" w:rsidRPr="00915ED4">
        <w:rPr>
          <w:rFonts w:ascii="Arial" w:hAnsi="Arial" w:cs="Arial"/>
          <w:lang w:val="en-AU"/>
        </w:rPr>
        <w:t xml:space="preserve"> </w:t>
      </w:r>
      <w:r w:rsidRPr="00915ED4">
        <w:rPr>
          <w:rFonts w:ascii="Arial" w:hAnsi="Arial" w:cs="Arial"/>
          <w:lang w:val="en-AU"/>
        </w:rPr>
        <w:t>I would like to begin by acknowledging the traditional custodians of the land on which we meet today.  I offer my respects to their elders, past and present, and extend respect to those with Aboriginal and Torres Strait Island</w:t>
      </w:r>
      <w:r w:rsidR="007E55FC">
        <w:rPr>
          <w:rFonts w:ascii="Arial" w:hAnsi="Arial" w:cs="Arial"/>
          <w:lang w:val="en-AU"/>
        </w:rPr>
        <w:t>er</w:t>
      </w:r>
      <w:r w:rsidRPr="00915ED4">
        <w:rPr>
          <w:rFonts w:ascii="Arial" w:hAnsi="Arial" w:cs="Arial"/>
          <w:lang w:val="en-AU"/>
        </w:rPr>
        <w:t xml:space="preserve"> heritage here today.</w:t>
      </w:r>
    </w:p>
    <w:p w14:paraId="1614BF7D" w14:textId="77777777" w:rsidR="00193728" w:rsidRPr="00193728" w:rsidRDefault="00915ED4" w:rsidP="00193728">
      <w:pPr>
        <w:pStyle w:val="ListParagraph"/>
        <w:numPr>
          <w:ilvl w:val="0"/>
          <w:numId w:val="1"/>
        </w:numPr>
        <w:spacing w:after="240" w:line="480" w:lineRule="atLeast"/>
        <w:ind w:left="720" w:hanging="720"/>
        <w:jc w:val="both"/>
        <w:rPr>
          <w:rFonts w:ascii="Arial" w:hAnsi="Arial" w:cs="Arial"/>
          <w:lang w:val="en-AU"/>
        </w:rPr>
      </w:pPr>
      <w:r>
        <w:rPr>
          <w:rFonts w:ascii="Arial" w:hAnsi="Arial" w:cs="Arial"/>
          <w:lang w:val="en-AU"/>
        </w:rPr>
        <w:t>Thank you to the Industrial Bar Association for this invitation to engage with you.</w:t>
      </w:r>
      <w:r w:rsidRPr="3A5A0E67">
        <w:rPr>
          <w:rFonts w:ascii="Arial" w:hAnsi="Arial" w:cs="Arial"/>
          <w:lang w:val="en-AU"/>
        </w:rPr>
        <w:t xml:space="preserve"> </w:t>
      </w:r>
      <w:r w:rsidR="3A5A0E67" w:rsidRPr="3A5A0E67">
        <w:rPr>
          <w:rFonts w:ascii="Arial" w:hAnsi="Arial" w:cs="Arial"/>
          <w:lang w:val="en-AU"/>
        </w:rPr>
        <w:t>Today I will be discussing costs orders in the context of interlocutory applications in the Employment &amp; Industrial List of the Supreme Court of Victoria (‘the List’).  I do not propose to discuss all costs issues but rather to highlight some of particular relevance in the List.</w:t>
      </w:r>
    </w:p>
    <w:p w14:paraId="3502CD3E" w14:textId="77777777" w:rsidR="00621FC7" w:rsidRDefault="3A5A0E67" w:rsidP="00621FC7">
      <w:pPr>
        <w:spacing w:before="480" w:after="0" w:line="240" w:lineRule="atLeast"/>
        <w:ind w:left="720"/>
        <w:rPr>
          <w:rFonts w:ascii="Arial" w:hAnsi="Arial" w:cs="Arial"/>
          <w:b/>
          <w:bCs/>
          <w:sz w:val="24"/>
          <w:szCs w:val="24"/>
        </w:rPr>
      </w:pPr>
      <w:r w:rsidRPr="3A5A0E67">
        <w:rPr>
          <w:rFonts w:ascii="Arial" w:hAnsi="Arial" w:cs="Arial"/>
          <w:b/>
          <w:bCs/>
          <w:sz w:val="24"/>
          <w:szCs w:val="24"/>
        </w:rPr>
        <w:t>Costs of Interlocutory Applications</w:t>
      </w:r>
    </w:p>
    <w:p w14:paraId="47888B28" w14:textId="21AD438E" w:rsidR="00312452" w:rsidRDefault="3A5A0E67" w:rsidP="3A5A0E67">
      <w:pPr>
        <w:pStyle w:val="ListParagraph"/>
        <w:numPr>
          <w:ilvl w:val="0"/>
          <w:numId w:val="1"/>
        </w:numPr>
        <w:spacing w:after="240" w:line="480" w:lineRule="atLeast"/>
        <w:ind w:left="720" w:hanging="720"/>
        <w:contextualSpacing w:val="0"/>
        <w:jc w:val="both"/>
        <w:rPr>
          <w:rFonts w:ascii="Arial" w:hAnsi="Arial" w:cs="Arial"/>
          <w:lang w:val="en-AU"/>
        </w:rPr>
      </w:pPr>
      <w:r w:rsidRPr="3A5A0E67">
        <w:rPr>
          <w:rFonts w:ascii="Arial" w:hAnsi="Arial" w:cs="Arial"/>
          <w:lang w:val="en-AU"/>
        </w:rPr>
        <w:t xml:space="preserve">I will </w:t>
      </w:r>
      <w:r w:rsidR="008A72DB">
        <w:rPr>
          <w:rFonts w:ascii="Arial" w:hAnsi="Arial" w:cs="Arial"/>
          <w:lang w:val="en-AU"/>
        </w:rPr>
        <w:t xml:space="preserve">begin with reference to </w:t>
      </w:r>
      <w:r w:rsidR="008C0FD1">
        <w:rPr>
          <w:rFonts w:ascii="Arial" w:hAnsi="Arial" w:cs="Arial"/>
          <w:lang w:val="en-AU"/>
        </w:rPr>
        <w:t>some</w:t>
      </w:r>
      <w:r w:rsidRPr="3A5A0E67">
        <w:rPr>
          <w:rFonts w:ascii="Arial" w:hAnsi="Arial" w:cs="Arial"/>
          <w:lang w:val="en-AU"/>
        </w:rPr>
        <w:t xml:space="preserve"> general </w:t>
      </w:r>
      <w:r w:rsidR="008C0FD1">
        <w:rPr>
          <w:rFonts w:ascii="Arial" w:hAnsi="Arial" w:cs="Arial"/>
          <w:lang w:val="en-AU"/>
        </w:rPr>
        <w:t>principles concerning</w:t>
      </w:r>
      <w:r w:rsidRPr="3A5A0E67">
        <w:rPr>
          <w:rFonts w:ascii="Arial" w:hAnsi="Arial" w:cs="Arial"/>
          <w:lang w:val="en-AU"/>
        </w:rPr>
        <w:t xml:space="preserve"> costs</w:t>
      </w:r>
      <w:r w:rsidR="008C0FD1">
        <w:rPr>
          <w:rFonts w:ascii="Arial" w:hAnsi="Arial" w:cs="Arial"/>
          <w:lang w:val="en-AU"/>
        </w:rPr>
        <w:t xml:space="preserve"> in the Supreme Court.  These principles are also relevant to the costs</w:t>
      </w:r>
      <w:r w:rsidRPr="3A5A0E67">
        <w:rPr>
          <w:rFonts w:ascii="Arial" w:hAnsi="Arial" w:cs="Arial"/>
          <w:lang w:val="en-AU"/>
        </w:rPr>
        <w:t xml:space="preserve"> of interlocutory applications.</w:t>
      </w:r>
      <w:r w:rsidR="006D53CF">
        <w:rPr>
          <w:rFonts w:ascii="Arial" w:hAnsi="Arial" w:cs="Arial"/>
          <w:lang w:val="en-AU"/>
        </w:rPr>
        <w:t xml:space="preserve"> </w:t>
      </w:r>
      <w:r w:rsidR="008C0FD1">
        <w:rPr>
          <w:rFonts w:ascii="Arial" w:hAnsi="Arial" w:cs="Arial"/>
          <w:lang w:val="en-AU"/>
        </w:rPr>
        <w:t>They have been usefully outlined by Derham AsJ:</w:t>
      </w:r>
    </w:p>
    <w:p w14:paraId="5C4F49E2" w14:textId="77777777" w:rsidR="008C0FD1" w:rsidRPr="001064E8" w:rsidRDefault="008C0FD1" w:rsidP="001064E8">
      <w:pPr>
        <w:spacing w:after="120" w:line="240" w:lineRule="atLeast"/>
        <w:ind w:left="1440"/>
        <w:jc w:val="both"/>
        <w:rPr>
          <w:rFonts w:ascii="Arial" w:hAnsi="Arial" w:cs="Courier New"/>
        </w:rPr>
      </w:pPr>
      <w:r w:rsidRPr="001064E8">
        <w:rPr>
          <w:rFonts w:ascii="Arial" w:hAnsi="Arial" w:cs="Courier New"/>
        </w:rPr>
        <w:t xml:space="preserve">Under s 24 of the </w:t>
      </w:r>
      <w:r w:rsidRPr="00032588">
        <w:rPr>
          <w:rFonts w:ascii="Arial" w:hAnsi="Arial" w:cs="Courier New"/>
          <w:i/>
        </w:rPr>
        <w:t>Supreme Court Act 1986</w:t>
      </w:r>
      <w:r w:rsidRPr="001064E8">
        <w:rPr>
          <w:rFonts w:ascii="Arial" w:hAnsi="Arial" w:cs="Courier New"/>
        </w:rPr>
        <w:t xml:space="preserve"> the power to award costs is in the discretion of the Court.  Whilst the discretion is absolute and unfettered, it has to be exercised judicially, that is, not by reference to irrelevant or extraneous considerations, but upon facts connected with or leading up to the litigation.  In the exercise of the discretion, practices or guidelines have developed.  These practices are not legal rules that confine the exercise of the discretion.</w:t>
      </w:r>
    </w:p>
    <w:p w14:paraId="68D24076" w14:textId="77777777" w:rsidR="008C0FD1" w:rsidRPr="001064E8" w:rsidRDefault="008C0FD1" w:rsidP="001064E8">
      <w:pPr>
        <w:spacing w:after="120" w:line="240" w:lineRule="atLeast"/>
        <w:ind w:left="1440"/>
        <w:jc w:val="both"/>
        <w:rPr>
          <w:rFonts w:ascii="Arial" w:hAnsi="Arial" w:cs="Courier New"/>
        </w:rPr>
      </w:pPr>
      <w:r w:rsidRPr="001064E8">
        <w:rPr>
          <w:rFonts w:ascii="Arial" w:hAnsi="Arial" w:cs="Courier New"/>
        </w:rPr>
        <w:t>Although costs are in the discretion of the Court, there is a settled practice (sometimes called a general rule) that in the absence of good reason to the contrary, a successful litigant should receive his or her costs.  It is not, however, a legal rule devised to control the exercise of the discretion.</w:t>
      </w:r>
    </w:p>
    <w:p w14:paraId="64FFD524" w14:textId="77777777" w:rsidR="008C0FD1" w:rsidRPr="001064E8" w:rsidRDefault="008C0FD1" w:rsidP="001064E8">
      <w:pPr>
        <w:spacing w:after="120" w:line="240" w:lineRule="atLeast"/>
        <w:ind w:left="1440"/>
        <w:jc w:val="both"/>
        <w:rPr>
          <w:rFonts w:ascii="Arial" w:hAnsi="Arial" w:cs="Courier New"/>
        </w:rPr>
      </w:pPr>
      <w:r w:rsidRPr="001064E8">
        <w:rPr>
          <w:rFonts w:ascii="Arial" w:hAnsi="Arial" w:cs="Courier New"/>
        </w:rPr>
        <w:lastRenderedPageBreak/>
        <w:t>It is relevant to observe that the purpose of a costs order is to compensate the successful party for the costs incurred, and not to punish the unsuccessful party.  That purpose is a guide to the exercise of the discretion.</w:t>
      </w:r>
      <w:r w:rsidR="001064E8">
        <w:rPr>
          <w:rStyle w:val="FootnoteReference"/>
          <w:rFonts w:ascii="Arial" w:hAnsi="Arial" w:cs="Courier New"/>
        </w:rPr>
        <w:footnoteReference w:id="2"/>
      </w:r>
    </w:p>
    <w:p w14:paraId="45A0C3F5" w14:textId="77777777" w:rsidR="00733ADD" w:rsidRPr="00733ADD" w:rsidRDefault="00032588" w:rsidP="00733ADD">
      <w:pPr>
        <w:pStyle w:val="ListParagraph"/>
        <w:numPr>
          <w:ilvl w:val="0"/>
          <w:numId w:val="1"/>
        </w:numPr>
        <w:spacing w:after="240" w:line="480" w:lineRule="atLeast"/>
        <w:ind w:left="720" w:hanging="720"/>
        <w:contextualSpacing w:val="0"/>
        <w:jc w:val="both"/>
        <w:rPr>
          <w:rFonts w:ascii="Arial" w:hAnsi="Arial" w:cs="Arial"/>
          <w:lang w:val="en-AU"/>
        </w:rPr>
      </w:pPr>
      <w:r>
        <w:rPr>
          <w:rFonts w:ascii="Arial" w:hAnsi="Arial" w:cs="Arial"/>
          <w:lang w:val="en-AU"/>
        </w:rPr>
        <w:t>This</w:t>
      </w:r>
      <w:r w:rsidR="001064E8">
        <w:rPr>
          <w:rFonts w:ascii="Arial" w:hAnsi="Arial" w:cs="Arial"/>
          <w:lang w:val="en-AU"/>
        </w:rPr>
        <w:t xml:space="preserve"> </w:t>
      </w:r>
      <w:r>
        <w:rPr>
          <w:rFonts w:ascii="Arial" w:hAnsi="Arial" w:cs="Arial"/>
          <w:lang w:val="en-AU"/>
        </w:rPr>
        <w:t>general rule is</w:t>
      </w:r>
      <w:r w:rsidR="001064E8" w:rsidRPr="001064E8">
        <w:rPr>
          <w:rFonts w:ascii="Arial" w:hAnsi="Arial" w:cs="Arial"/>
          <w:lang w:val="en-AU"/>
        </w:rPr>
        <w:t xml:space="preserve"> in contradistinction to the </w:t>
      </w:r>
      <w:r w:rsidR="0048163C">
        <w:rPr>
          <w:rFonts w:ascii="Arial" w:hAnsi="Arial" w:cs="Arial"/>
          <w:lang w:val="en-AU"/>
        </w:rPr>
        <w:t xml:space="preserve">federal </w:t>
      </w:r>
      <w:r w:rsidR="001064E8" w:rsidRPr="001064E8">
        <w:rPr>
          <w:rFonts w:ascii="Arial" w:hAnsi="Arial" w:cs="Arial"/>
          <w:lang w:val="en-AU"/>
        </w:rPr>
        <w:t xml:space="preserve">industrial </w:t>
      </w:r>
      <w:r w:rsidR="001064E8">
        <w:rPr>
          <w:rFonts w:ascii="Arial" w:hAnsi="Arial" w:cs="Arial"/>
          <w:lang w:val="en-AU"/>
        </w:rPr>
        <w:t xml:space="preserve">relations </w:t>
      </w:r>
      <w:r w:rsidR="001064E8" w:rsidRPr="001064E8">
        <w:rPr>
          <w:rFonts w:ascii="Arial" w:hAnsi="Arial" w:cs="Arial"/>
          <w:lang w:val="en-AU"/>
        </w:rPr>
        <w:t xml:space="preserve">and </w:t>
      </w:r>
      <w:r w:rsidR="001064E8">
        <w:rPr>
          <w:rFonts w:ascii="Arial" w:hAnsi="Arial" w:cs="Arial"/>
          <w:lang w:val="en-AU"/>
        </w:rPr>
        <w:t xml:space="preserve">State </w:t>
      </w:r>
      <w:r w:rsidR="001064E8" w:rsidRPr="001064E8">
        <w:rPr>
          <w:rFonts w:ascii="Arial" w:hAnsi="Arial" w:cs="Arial"/>
          <w:lang w:val="en-AU"/>
        </w:rPr>
        <w:t>anti-discrimination jurisdictions in which many of you also practice.  They are jurisdictions in which parties generally bear their own costs.  Th</w:t>
      </w:r>
      <w:r w:rsidR="001064E8">
        <w:rPr>
          <w:rFonts w:ascii="Arial" w:hAnsi="Arial" w:cs="Arial"/>
          <w:lang w:val="en-AU"/>
        </w:rPr>
        <w:t xml:space="preserve">at is a consequence of the </w:t>
      </w:r>
      <w:r w:rsidR="001064E8" w:rsidRPr="001064E8">
        <w:rPr>
          <w:rFonts w:ascii="Arial" w:hAnsi="Arial" w:cs="Arial"/>
          <w:lang w:val="en-AU"/>
        </w:rPr>
        <w:t xml:space="preserve">relevant statutes </w:t>
      </w:r>
      <w:r w:rsidR="001064E8">
        <w:rPr>
          <w:rFonts w:ascii="Arial" w:hAnsi="Arial" w:cs="Arial"/>
          <w:lang w:val="en-AU"/>
        </w:rPr>
        <w:t>i</w:t>
      </w:r>
      <w:r w:rsidR="001064E8" w:rsidRPr="001064E8">
        <w:rPr>
          <w:rFonts w:ascii="Arial" w:hAnsi="Arial" w:cs="Arial"/>
          <w:lang w:val="en-AU"/>
        </w:rPr>
        <w:t>n those</w:t>
      </w:r>
      <w:r w:rsidR="001064E8">
        <w:rPr>
          <w:rFonts w:ascii="Arial" w:hAnsi="Arial" w:cs="Arial"/>
          <w:lang w:val="en-AU"/>
        </w:rPr>
        <w:t xml:space="preserve"> jurisdictions that </w:t>
      </w:r>
      <w:r w:rsidR="00AE6BF6">
        <w:rPr>
          <w:rFonts w:ascii="Arial" w:hAnsi="Arial" w:cs="Arial"/>
          <w:lang w:val="en-AU"/>
        </w:rPr>
        <w:t xml:space="preserve">provide for </w:t>
      </w:r>
      <w:r w:rsidR="001064E8" w:rsidRPr="001064E8">
        <w:rPr>
          <w:rFonts w:ascii="Arial" w:hAnsi="Arial" w:cs="Arial"/>
          <w:lang w:val="en-AU"/>
        </w:rPr>
        <w:t xml:space="preserve">costs </w:t>
      </w:r>
      <w:r w:rsidR="00AE6BF6">
        <w:rPr>
          <w:rFonts w:ascii="Arial" w:hAnsi="Arial" w:cs="Arial"/>
          <w:lang w:val="en-AU"/>
        </w:rPr>
        <w:t xml:space="preserve">to be </w:t>
      </w:r>
      <w:r w:rsidR="001064E8" w:rsidRPr="001064E8">
        <w:rPr>
          <w:rFonts w:ascii="Arial" w:hAnsi="Arial" w:cs="Arial"/>
          <w:lang w:val="en-AU"/>
        </w:rPr>
        <w:t>the</w:t>
      </w:r>
      <w:r w:rsidR="001064E8">
        <w:rPr>
          <w:rFonts w:ascii="Arial" w:hAnsi="Arial" w:cs="Arial"/>
          <w:lang w:val="en-AU"/>
        </w:rPr>
        <w:t xml:space="preserve"> exception rather than the general rule.</w:t>
      </w:r>
      <w:r w:rsidR="001064E8">
        <w:rPr>
          <w:rStyle w:val="FootnoteReference"/>
          <w:rFonts w:ascii="Arial" w:hAnsi="Arial" w:cs="Arial"/>
          <w:lang w:val="en-AU"/>
        </w:rPr>
        <w:footnoteReference w:id="3"/>
      </w:r>
      <w:r w:rsidR="001064E8">
        <w:rPr>
          <w:rFonts w:ascii="Arial" w:hAnsi="Arial" w:cs="Arial"/>
          <w:lang w:val="en-AU"/>
        </w:rPr>
        <w:t xml:space="preserve">  </w:t>
      </w:r>
      <w:r w:rsidR="008A72DB">
        <w:rPr>
          <w:rFonts w:ascii="Arial" w:hAnsi="Arial" w:cs="Arial"/>
          <w:lang w:val="en-AU"/>
        </w:rPr>
        <w:t>As I will later ref</w:t>
      </w:r>
      <w:r w:rsidR="00E924A5">
        <w:rPr>
          <w:rFonts w:ascii="Arial" w:hAnsi="Arial" w:cs="Arial"/>
          <w:lang w:val="en-AU"/>
        </w:rPr>
        <w:t>erence, the application of the federal</w:t>
      </w:r>
      <w:r w:rsidR="008A72DB">
        <w:rPr>
          <w:rFonts w:ascii="Arial" w:hAnsi="Arial" w:cs="Arial"/>
          <w:lang w:val="en-AU"/>
        </w:rPr>
        <w:t xml:space="preserve"> statute in the Supreme Court </w:t>
      </w:r>
      <w:r w:rsidR="008A72DB" w:rsidRPr="008A72DB">
        <w:rPr>
          <w:rFonts w:ascii="Arial" w:hAnsi="Arial" w:cs="Arial"/>
          <w:lang w:val="en-AU"/>
        </w:rPr>
        <w:t>jurisdiction</w:t>
      </w:r>
      <w:r w:rsidR="008A72DB">
        <w:rPr>
          <w:rFonts w:ascii="Arial" w:hAnsi="Arial" w:cs="Arial"/>
          <w:lang w:val="en-AU"/>
        </w:rPr>
        <w:t xml:space="preserve"> is perhaps the elephant in the room.</w:t>
      </w:r>
    </w:p>
    <w:p w14:paraId="438A6DD6" w14:textId="77777777" w:rsidR="00733ADD" w:rsidRPr="00B14C09" w:rsidRDefault="00733ADD" w:rsidP="00733ADD">
      <w:pPr>
        <w:pStyle w:val="ListParagraph"/>
        <w:spacing w:after="240" w:line="480" w:lineRule="atLeast"/>
        <w:contextualSpacing w:val="0"/>
        <w:jc w:val="both"/>
        <w:rPr>
          <w:rFonts w:ascii="Arial" w:hAnsi="Arial" w:cs="Arial"/>
          <w:b/>
          <w:i/>
          <w:lang w:val="en-AU"/>
        </w:rPr>
      </w:pPr>
      <w:r w:rsidRPr="00B14C09">
        <w:rPr>
          <w:rFonts w:ascii="Arial" w:hAnsi="Arial" w:cs="Arial"/>
          <w:b/>
          <w:i/>
          <w:lang w:val="en-AU"/>
        </w:rPr>
        <w:t>Civil Procedure Act 2010</w:t>
      </w:r>
    </w:p>
    <w:p w14:paraId="30A490CC" w14:textId="77777777" w:rsidR="001F6681" w:rsidRPr="00733ADD" w:rsidRDefault="00733ADD" w:rsidP="003F076F">
      <w:pPr>
        <w:pStyle w:val="ListParagraph"/>
        <w:numPr>
          <w:ilvl w:val="0"/>
          <w:numId w:val="1"/>
        </w:numPr>
        <w:spacing w:after="240" w:line="480" w:lineRule="atLeast"/>
        <w:ind w:left="720" w:hanging="720"/>
        <w:contextualSpacing w:val="0"/>
        <w:jc w:val="both"/>
        <w:rPr>
          <w:rFonts w:ascii="Arial" w:hAnsi="Arial" w:cs="Arial"/>
          <w:lang w:val="en-AU"/>
        </w:rPr>
      </w:pPr>
      <w:r w:rsidRPr="00733ADD">
        <w:rPr>
          <w:rFonts w:ascii="Arial" w:hAnsi="Arial" w:cs="Arial"/>
          <w:lang w:val="en-AU"/>
        </w:rPr>
        <w:t>Reference must also be made to t</w:t>
      </w:r>
      <w:r w:rsidR="0048163C" w:rsidRPr="00733ADD">
        <w:rPr>
          <w:rFonts w:ascii="Arial" w:hAnsi="Arial" w:cs="Arial"/>
          <w:lang w:val="en-AU"/>
        </w:rPr>
        <w:t>he</w:t>
      </w:r>
      <w:r w:rsidR="0048163C" w:rsidRPr="00733ADD">
        <w:rPr>
          <w:rFonts w:ascii="Arial" w:hAnsi="Arial" w:cs="Arial"/>
          <w:i/>
          <w:iCs/>
          <w:lang w:val="en-AU"/>
        </w:rPr>
        <w:t xml:space="preserve"> Civil Procedure Act 2010</w:t>
      </w:r>
      <w:r w:rsidR="0048163C" w:rsidRPr="00733ADD">
        <w:rPr>
          <w:rFonts w:ascii="Arial" w:hAnsi="Arial" w:cs="Arial"/>
          <w:lang w:val="en-AU"/>
        </w:rPr>
        <w:t xml:space="preserve"> (‘the CPA</w:t>
      </w:r>
      <w:r w:rsidR="008C37F4">
        <w:rPr>
          <w:rFonts w:ascii="Arial" w:hAnsi="Arial" w:cs="Arial"/>
          <w:lang w:val="en-AU"/>
        </w:rPr>
        <w:t>’</w:t>
      </w:r>
      <w:r w:rsidR="0048163C" w:rsidRPr="00733ADD">
        <w:rPr>
          <w:rFonts w:ascii="Arial" w:hAnsi="Arial" w:cs="Arial"/>
          <w:lang w:val="en-AU"/>
        </w:rPr>
        <w:t>)</w:t>
      </w:r>
      <w:r w:rsidRPr="00733ADD">
        <w:rPr>
          <w:rFonts w:ascii="Arial" w:hAnsi="Arial" w:cs="Arial"/>
          <w:lang w:val="en-AU"/>
        </w:rPr>
        <w:t xml:space="preserve">. </w:t>
      </w:r>
      <w:r>
        <w:rPr>
          <w:rFonts w:ascii="Arial" w:hAnsi="Arial" w:cs="Arial"/>
          <w:lang w:val="en-AU"/>
        </w:rPr>
        <w:t xml:space="preserve"> S</w:t>
      </w:r>
      <w:r w:rsidR="001A29DB" w:rsidRPr="00733ADD">
        <w:rPr>
          <w:rFonts w:ascii="Arial" w:hAnsi="Arial" w:cs="Arial"/>
          <w:lang w:val="en-AU"/>
        </w:rPr>
        <w:t>ection 24 of t</w:t>
      </w:r>
      <w:r w:rsidR="001F6681" w:rsidRPr="00733ADD">
        <w:rPr>
          <w:rFonts w:ascii="Arial" w:hAnsi="Arial" w:cs="Arial"/>
          <w:lang w:val="en-AU"/>
        </w:rPr>
        <w:t>he</w:t>
      </w:r>
      <w:r w:rsidR="0048163C" w:rsidRPr="00733ADD">
        <w:rPr>
          <w:rFonts w:ascii="Arial" w:hAnsi="Arial" w:cs="Arial"/>
          <w:lang w:val="en-AU"/>
        </w:rPr>
        <w:t xml:space="preserve"> CPA</w:t>
      </w:r>
      <w:r w:rsidR="001F6681" w:rsidRPr="00733ADD">
        <w:rPr>
          <w:rFonts w:ascii="Arial" w:hAnsi="Arial" w:cs="Arial"/>
          <w:lang w:val="en-AU"/>
        </w:rPr>
        <w:t xml:space="preserve"> </w:t>
      </w:r>
      <w:r w:rsidR="001A29DB" w:rsidRPr="00733ADD">
        <w:rPr>
          <w:rFonts w:ascii="Arial" w:hAnsi="Arial" w:cs="Arial"/>
          <w:lang w:val="en-AU"/>
        </w:rPr>
        <w:t>imposes an overarching obligation on parties and legal practitioners to ‘use reasonable endeavours to ensure that legal costs and other costs incurred in connection with the civil proceeding are reasonable and proportionate to the complexity or importance of the issues in dispute and the amount in dispute.</w:t>
      </w:r>
      <w:r w:rsidR="00312452" w:rsidRPr="00733ADD">
        <w:rPr>
          <w:rFonts w:ascii="Arial" w:hAnsi="Arial" w:cs="Arial"/>
          <w:lang w:val="en-AU"/>
        </w:rPr>
        <w:t>’</w:t>
      </w:r>
      <w:r w:rsidR="001A29DB" w:rsidRPr="00733ADD">
        <w:rPr>
          <w:rFonts w:ascii="Arial" w:hAnsi="Arial" w:cs="Arial"/>
          <w:lang w:val="en-AU"/>
        </w:rPr>
        <w:t xml:space="preserve">  This is consistent with the overarching purpose of the CPA to </w:t>
      </w:r>
      <w:r w:rsidR="0095003C">
        <w:rPr>
          <w:rFonts w:ascii="Arial" w:hAnsi="Arial" w:cs="Arial"/>
          <w:lang w:val="en-AU"/>
        </w:rPr>
        <w:t>‘</w:t>
      </w:r>
      <w:r w:rsidR="001A29DB" w:rsidRPr="00733ADD">
        <w:rPr>
          <w:rFonts w:ascii="Arial" w:hAnsi="Arial" w:cs="Arial"/>
          <w:lang w:val="en-AU"/>
        </w:rPr>
        <w:t>facilitate the just, efficient, timely and cost-</w:t>
      </w:r>
      <w:r w:rsidR="00181FD4" w:rsidRPr="00733ADD">
        <w:rPr>
          <w:rFonts w:ascii="Arial" w:hAnsi="Arial" w:cs="Arial"/>
          <w:lang w:val="en-AU"/>
        </w:rPr>
        <w:t xml:space="preserve"> effective resolution </w:t>
      </w:r>
      <w:r w:rsidR="001A29DB" w:rsidRPr="00733ADD">
        <w:rPr>
          <w:rFonts w:ascii="Arial" w:hAnsi="Arial" w:cs="Arial"/>
          <w:lang w:val="en-AU"/>
        </w:rPr>
        <w:t>of the real issues in dispute.</w:t>
      </w:r>
      <w:r w:rsidR="0095003C">
        <w:rPr>
          <w:rFonts w:ascii="Arial" w:hAnsi="Arial" w:cs="Arial"/>
          <w:lang w:val="en-AU"/>
        </w:rPr>
        <w:t>’</w:t>
      </w:r>
      <w:r w:rsidR="001A29DB">
        <w:rPr>
          <w:rStyle w:val="FootnoteReference"/>
          <w:rFonts w:ascii="Arial" w:hAnsi="Arial" w:cs="Arial"/>
          <w:lang w:val="en-AU"/>
        </w:rPr>
        <w:footnoteReference w:id="4"/>
      </w:r>
      <w:r w:rsidR="001A29DB" w:rsidRPr="00733ADD">
        <w:rPr>
          <w:rFonts w:ascii="Arial" w:hAnsi="Arial" w:cs="Arial"/>
          <w:lang w:val="en-AU"/>
        </w:rPr>
        <w:t xml:space="preserve">  </w:t>
      </w:r>
      <w:r w:rsidR="00312452" w:rsidRPr="00733ADD">
        <w:rPr>
          <w:rFonts w:ascii="Arial" w:hAnsi="Arial" w:cs="Arial"/>
          <w:lang w:val="en-AU"/>
        </w:rPr>
        <w:t>These obligations apply to interlocutory applications as well as trial</w:t>
      </w:r>
      <w:r w:rsidR="0095003C">
        <w:rPr>
          <w:rFonts w:ascii="Arial" w:hAnsi="Arial" w:cs="Arial"/>
          <w:lang w:val="en-AU"/>
        </w:rPr>
        <w:t>s</w:t>
      </w:r>
      <w:r w:rsidR="00312452" w:rsidRPr="00733ADD">
        <w:rPr>
          <w:rFonts w:ascii="Arial" w:hAnsi="Arial" w:cs="Arial"/>
          <w:lang w:val="en-AU"/>
        </w:rPr>
        <w:t>.</w:t>
      </w:r>
      <w:r w:rsidR="00312452">
        <w:rPr>
          <w:rStyle w:val="FootnoteReference"/>
          <w:rFonts w:ascii="Arial" w:hAnsi="Arial" w:cs="Arial"/>
          <w:lang w:val="en-AU"/>
        </w:rPr>
        <w:footnoteReference w:id="5"/>
      </w:r>
    </w:p>
    <w:p w14:paraId="3453A4B9" w14:textId="6C733DF7" w:rsidR="008777C5" w:rsidRDefault="3A5A0E67" w:rsidP="00C90877">
      <w:pPr>
        <w:pStyle w:val="ListParagraph"/>
        <w:numPr>
          <w:ilvl w:val="0"/>
          <w:numId w:val="1"/>
        </w:numPr>
        <w:spacing w:after="240" w:line="480" w:lineRule="atLeast"/>
        <w:ind w:left="720" w:hanging="720"/>
        <w:contextualSpacing w:val="0"/>
        <w:jc w:val="both"/>
        <w:rPr>
          <w:rFonts w:ascii="Arial" w:hAnsi="Arial" w:cs="Arial"/>
          <w:lang w:val="en-AU"/>
        </w:rPr>
      </w:pPr>
      <w:r w:rsidRPr="3A5A0E67">
        <w:rPr>
          <w:rFonts w:ascii="Arial" w:hAnsi="Arial" w:cs="Arial"/>
          <w:lang w:val="en-AU"/>
        </w:rPr>
        <w:t xml:space="preserve">Where all matters in an interlocutory application resolve except for costs, and a party wishes to press ahead with the hearing solely to obtain a determination of costs, query whether that could breach the principle of proportionality and </w:t>
      </w:r>
      <w:r w:rsidRPr="3A5A0E67">
        <w:rPr>
          <w:rFonts w:ascii="Arial" w:hAnsi="Arial" w:cs="Arial"/>
          <w:lang w:val="en-AU"/>
        </w:rPr>
        <w:lastRenderedPageBreak/>
        <w:t xml:space="preserve">therefore s 24 of the CPA.  There may be a real prospect that the costs of the hearing exceed the amount of costs in dispute.  </w:t>
      </w:r>
    </w:p>
    <w:p w14:paraId="07E3130B" w14:textId="77777777" w:rsidR="00E67961" w:rsidRDefault="00705905" w:rsidP="3A5A0E67">
      <w:pPr>
        <w:pStyle w:val="ListParagraph"/>
        <w:numPr>
          <w:ilvl w:val="0"/>
          <w:numId w:val="1"/>
        </w:numPr>
        <w:spacing w:after="240" w:line="480" w:lineRule="atLeast"/>
        <w:ind w:left="720" w:hanging="720"/>
        <w:contextualSpacing w:val="0"/>
        <w:jc w:val="both"/>
        <w:rPr>
          <w:rFonts w:ascii="Arial" w:hAnsi="Arial" w:cs="Arial"/>
          <w:lang w:val="en-AU"/>
        </w:rPr>
      </w:pPr>
      <w:r>
        <w:rPr>
          <w:rFonts w:ascii="Arial" w:hAnsi="Arial" w:cs="Arial"/>
          <w:lang w:val="en-AU"/>
        </w:rPr>
        <w:t xml:space="preserve">As Bell J observed in </w:t>
      </w:r>
      <w:r w:rsidRPr="008C37F4">
        <w:rPr>
          <w:rFonts w:ascii="Arial" w:hAnsi="Arial" w:cs="Arial"/>
          <w:i/>
        </w:rPr>
        <w:t>Actrol</w:t>
      </w:r>
      <w:r w:rsidRPr="008777C5">
        <w:rPr>
          <w:rFonts w:ascii="Arial" w:hAnsi="Arial" w:cs="Arial"/>
          <w:i/>
          <w:lang w:val="en-AU"/>
        </w:rPr>
        <w:t xml:space="preserve"> Parts Pty Ltd v Coppi (No 3)</w:t>
      </w:r>
      <w:r w:rsidR="008C37F4">
        <w:rPr>
          <w:rStyle w:val="FootnoteReference"/>
          <w:rFonts w:ascii="Arial" w:hAnsi="Arial" w:cs="Arial"/>
          <w:i/>
          <w:lang w:val="en-AU"/>
        </w:rPr>
        <w:footnoteReference w:id="6"/>
      </w:r>
      <w:r>
        <w:rPr>
          <w:rFonts w:ascii="Arial" w:hAnsi="Arial" w:cs="Arial"/>
          <w:lang w:val="en-AU"/>
        </w:rPr>
        <w:t>, s 24</w:t>
      </w:r>
      <w:r w:rsidR="008777C5">
        <w:rPr>
          <w:rFonts w:ascii="Arial" w:hAnsi="Arial" w:cs="Arial"/>
          <w:lang w:val="en-AU"/>
        </w:rPr>
        <w:t xml:space="preserve"> of the CPA</w:t>
      </w:r>
      <w:r>
        <w:rPr>
          <w:rFonts w:ascii="Arial" w:hAnsi="Arial" w:cs="Arial"/>
          <w:lang w:val="en-AU"/>
        </w:rPr>
        <w:t xml:space="preserve"> </w:t>
      </w:r>
      <w:r w:rsidR="008C37F4">
        <w:rPr>
          <w:rFonts w:ascii="Arial" w:hAnsi="Arial" w:cs="Arial"/>
          <w:lang w:val="en-AU"/>
        </w:rPr>
        <w:t>‘</w:t>
      </w:r>
      <w:r w:rsidRPr="00705905">
        <w:rPr>
          <w:rFonts w:ascii="Arial" w:hAnsi="Arial" w:cs="Arial"/>
          <w:lang w:val="en-AU"/>
        </w:rPr>
        <w:t>strongly discourages conducting litigation by reference to the old principle that the ends justifies the means</w:t>
      </w:r>
      <w:r w:rsidR="008C37F4">
        <w:rPr>
          <w:rFonts w:ascii="Arial" w:hAnsi="Arial" w:cs="Arial"/>
          <w:lang w:val="en-AU"/>
        </w:rPr>
        <w:t>’</w:t>
      </w:r>
      <w:r>
        <w:rPr>
          <w:rFonts w:ascii="Arial" w:hAnsi="Arial" w:cs="Arial"/>
          <w:lang w:val="en-AU"/>
        </w:rPr>
        <w:t>.</w:t>
      </w:r>
      <w:r w:rsidRPr="008777C5">
        <w:rPr>
          <w:rStyle w:val="FootnoteReference"/>
          <w:rFonts w:ascii="Arial" w:hAnsi="Arial" w:cs="Arial"/>
          <w:lang w:val="en-AU"/>
        </w:rPr>
        <w:footnoteReference w:id="7"/>
      </w:r>
      <w:r w:rsidR="008777C5">
        <w:rPr>
          <w:rFonts w:ascii="Arial" w:hAnsi="Arial" w:cs="Arial"/>
          <w:lang w:val="en-AU"/>
        </w:rPr>
        <w:t xml:space="preserve">  In that case, an employer pursued nominal damages against </w:t>
      </w:r>
      <w:r w:rsidR="003948D3">
        <w:rPr>
          <w:rFonts w:ascii="Arial" w:hAnsi="Arial" w:cs="Arial"/>
          <w:lang w:val="en-AU"/>
        </w:rPr>
        <w:t xml:space="preserve">a </w:t>
      </w:r>
      <w:r w:rsidR="008777C5">
        <w:rPr>
          <w:rFonts w:ascii="Arial" w:hAnsi="Arial" w:cs="Arial"/>
          <w:lang w:val="en-AU"/>
        </w:rPr>
        <w:t>former employee and was held to have unreasonably refused settlement offers</w:t>
      </w:r>
      <w:r w:rsidR="003948D3">
        <w:rPr>
          <w:rFonts w:ascii="Arial" w:hAnsi="Arial" w:cs="Arial"/>
          <w:lang w:val="en-AU"/>
        </w:rPr>
        <w:t>.</w:t>
      </w:r>
      <w:r w:rsidR="008777C5">
        <w:rPr>
          <w:rFonts w:ascii="Arial" w:hAnsi="Arial" w:cs="Arial"/>
          <w:lang w:val="en-AU"/>
        </w:rPr>
        <w:t xml:space="preserve"> </w:t>
      </w:r>
      <w:r w:rsidR="003948D3">
        <w:rPr>
          <w:rFonts w:ascii="Arial" w:hAnsi="Arial" w:cs="Arial"/>
          <w:lang w:val="en-AU"/>
        </w:rPr>
        <w:t xml:space="preserve"> </w:t>
      </w:r>
      <w:r w:rsidR="008777C5">
        <w:rPr>
          <w:rFonts w:ascii="Arial" w:hAnsi="Arial" w:cs="Arial"/>
          <w:lang w:val="en-AU"/>
        </w:rPr>
        <w:t xml:space="preserve">Bell J held that the </w:t>
      </w:r>
      <w:r w:rsidR="003948D3">
        <w:rPr>
          <w:rFonts w:ascii="Arial" w:hAnsi="Arial" w:cs="Arial"/>
          <w:lang w:val="en-AU"/>
        </w:rPr>
        <w:t xml:space="preserve">employer </w:t>
      </w:r>
      <w:r w:rsidR="008777C5">
        <w:rPr>
          <w:rFonts w:ascii="Arial" w:hAnsi="Arial" w:cs="Arial"/>
          <w:lang w:val="en-AU"/>
        </w:rPr>
        <w:t xml:space="preserve">had breached s 24 and consequently dismissed the proceeding and ordered it pay the </w:t>
      </w:r>
      <w:r w:rsidR="003948D3">
        <w:rPr>
          <w:rFonts w:ascii="Arial" w:hAnsi="Arial" w:cs="Arial"/>
          <w:lang w:val="en-AU"/>
        </w:rPr>
        <w:t xml:space="preserve">former employee’s </w:t>
      </w:r>
      <w:r w:rsidR="008777C5">
        <w:rPr>
          <w:rFonts w:ascii="Arial" w:hAnsi="Arial" w:cs="Arial"/>
          <w:lang w:val="en-AU"/>
        </w:rPr>
        <w:t>costs on an indemnity basis.  Bell J held this power of dismissal could be exercised at any stage in the proceeding.</w:t>
      </w:r>
      <w:r w:rsidR="008777C5">
        <w:rPr>
          <w:rStyle w:val="FootnoteReference"/>
          <w:rFonts w:ascii="Arial" w:hAnsi="Arial" w:cs="Arial"/>
          <w:lang w:val="en-AU"/>
        </w:rPr>
        <w:footnoteReference w:id="8"/>
      </w:r>
      <w:r w:rsidR="008C37F4">
        <w:rPr>
          <w:rFonts w:ascii="Arial" w:hAnsi="Arial" w:cs="Arial"/>
          <w:lang w:val="en-AU"/>
        </w:rPr>
        <w:t xml:space="preserve"> </w:t>
      </w:r>
    </w:p>
    <w:p w14:paraId="2D5E4B90" w14:textId="77777777" w:rsidR="005164E7" w:rsidRDefault="003948D3" w:rsidP="3A5A0E67">
      <w:pPr>
        <w:pStyle w:val="ListParagraph"/>
        <w:numPr>
          <w:ilvl w:val="0"/>
          <w:numId w:val="1"/>
        </w:numPr>
        <w:spacing w:after="240" w:line="480" w:lineRule="atLeast"/>
        <w:ind w:left="720" w:hanging="720"/>
        <w:contextualSpacing w:val="0"/>
        <w:jc w:val="both"/>
        <w:rPr>
          <w:rFonts w:ascii="Arial" w:hAnsi="Arial" w:cs="Arial"/>
          <w:lang w:val="en-AU"/>
        </w:rPr>
      </w:pPr>
      <w:r>
        <w:rPr>
          <w:rFonts w:ascii="Arial" w:hAnsi="Arial" w:cs="Arial"/>
          <w:lang w:val="en-AU"/>
        </w:rPr>
        <w:t>I</w:t>
      </w:r>
      <w:r w:rsidR="005164E7">
        <w:rPr>
          <w:rFonts w:ascii="Arial" w:hAnsi="Arial" w:cs="Arial"/>
          <w:lang w:val="en-AU"/>
        </w:rPr>
        <w:t xml:space="preserve">n </w:t>
      </w:r>
      <w:r w:rsidR="005164E7" w:rsidRPr="00F81525">
        <w:rPr>
          <w:rFonts w:ascii="Arial" w:hAnsi="Arial" w:cs="Arial"/>
          <w:i/>
          <w:lang w:val="en-AU"/>
        </w:rPr>
        <w:t xml:space="preserve">Yara </w:t>
      </w:r>
      <w:r w:rsidR="00016A94" w:rsidRPr="00F81525">
        <w:rPr>
          <w:rFonts w:ascii="Arial" w:hAnsi="Arial" w:cs="Arial"/>
          <w:i/>
          <w:lang w:val="en-AU"/>
        </w:rPr>
        <w:t xml:space="preserve">Australia Pty Ltd </w:t>
      </w:r>
      <w:r w:rsidR="005164E7" w:rsidRPr="00F81525">
        <w:rPr>
          <w:rFonts w:ascii="Arial" w:hAnsi="Arial" w:cs="Arial"/>
          <w:i/>
          <w:lang w:val="en-AU"/>
        </w:rPr>
        <w:t>v Oswal</w:t>
      </w:r>
      <w:r w:rsidR="00BA550C">
        <w:rPr>
          <w:rStyle w:val="FootnoteReference"/>
          <w:rFonts w:ascii="Arial" w:hAnsi="Arial" w:cs="Arial"/>
          <w:lang w:val="en-AU"/>
        </w:rPr>
        <w:footnoteReference w:id="9"/>
      </w:r>
      <w:r w:rsidR="00016A94">
        <w:rPr>
          <w:rFonts w:ascii="Arial" w:hAnsi="Arial" w:cs="Arial"/>
          <w:lang w:val="en-AU"/>
        </w:rPr>
        <w:t xml:space="preserve"> (‘</w:t>
      </w:r>
      <w:r w:rsidR="00016A94" w:rsidRPr="00AE6BF6">
        <w:rPr>
          <w:rFonts w:ascii="Arial" w:hAnsi="Arial" w:cs="Arial"/>
          <w:i/>
          <w:lang w:val="en-AU"/>
        </w:rPr>
        <w:t>Yara v Oswal’</w:t>
      </w:r>
      <w:r w:rsidR="00016A94">
        <w:rPr>
          <w:rFonts w:ascii="Arial" w:hAnsi="Arial" w:cs="Arial"/>
          <w:lang w:val="en-AU"/>
        </w:rPr>
        <w:t>)</w:t>
      </w:r>
      <w:r w:rsidR="005164E7">
        <w:rPr>
          <w:rFonts w:ascii="Arial" w:hAnsi="Arial" w:cs="Arial"/>
          <w:lang w:val="en-AU"/>
        </w:rPr>
        <w:t xml:space="preserve">, </w:t>
      </w:r>
      <w:r>
        <w:rPr>
          <w:rFonts w:ascii="Arial" w:hAnsi="Arial" w:cs="Arial"/>
          <w:lang w:val="en-AU"/>
        </w:rPr>
        <w:t xml:space="preserve">the Court of Appeal observed that </w:t>
      </w:r>
      <w:r w:rsidR="005164E7">
        <w:rPr>
          <w:rFonts w:ascii="Arial" w:hAnsi="Arial" w:cs="Arial"/>
          <w:lang w:val="en-AU"/>
        </w:rPr>
        <w:t xml:space="preserve">s 24 of the CPA may be breached by the over-representation of counsel.  </w:t>
      </w:r>
      <w:r w:rsidR="0036089D">
        <w:rPr>
          <w:rFonts w:ascii="Arial" w:hAnsi="Arial" w:cs="Arial"/>
          <w:lang w:val="en-AU"/>
        </w:rPr>
        <w:t>The observations were made in circumstances where seven counsel, three of them senior (of whom two appeared for the same party), appeared for the applicants on an interlocutory application, namely a security for costs application.</w:t>
      </w:r>
    </w:p>
    <w:p w14:paraId="1585A07E" w14:textId="77777777" w:rsidR="006A6FE1" w:rsidRPr="00F81525" w:rsidRDefault="006A6FE1" w:rsidP="00F81525">
      <w:pPr>
        <w:spacing w:after="120" w:line="240" w:lineRule="atLeast"/>
        <w:ind w:left="1440"/>
        <w:jc w:val="both"/>
        <w:rPr>
          <w:rFonts w:ascii="Arial" w:hAnsi="Arial" w:cs="Courier New"/>
        </w:rPr>
      </w:pPr>
      <w:r w:rsidRPr="00F81525">
        <w:rPr>
          <w:rFonts w:ascii="Arial" w:hAnsi="Arial" w:cs="Courier New"/>
        </w:rPr>
        <w:t xml:space="preserve">The scope of s 24 is not rigidly defined, but it plainly includes an obligation to ensure that parties are not over-represented.  The applicants and their legal practitioners had an obligation to use reasonable endeavours to ensure that the costs of the applicants’ legal representation were reasonable and proportionate. </w:t>
      </w:r>
    </w:p>
    <w:p w14:paraId="426AB8B2" w14:textId="77777777" w:rsidR="006A6FE1" w:rsidRPr="006A6FE1" w:rsidRDefault="006A6FE1" w:rsidP="00F81525">
      <w:pPr>
        <w:spacing w:after="120" w:line="240" w:lineRule="atLeast"/>
        <w:ind w:left="1440"/>
        <w:jc w:val="both"/>
        <w:rPr>
          <w:rFonts w:ascii="Arial" w:hAnsi="Arial" w:cs="Courier New"/>
        </w:rPr>
      </w:pPr>
      <w:r w:rsidRPr="006A6FE1">
        <w:rPr>
          <w:rFonts w:ascii="Arial" w:hAnsi="Arial" w:cs="Courier New"/>
        </w:rPr>
        <w:t>The second reading speech to the Act identifies the practice of unnecessarily briefing two barristers as a procedural issue that needs redress.  The Attorney-General, in discussing s 24 said:</w:t>
      </w:r>
    </w:p>
    <w:p w14:paraId="133C63FA" w14:textId="77777777" w:rsidR="006A6FE1" w:rsidRDefault="006A6FE1" w:rsidP="00AE6BF6">
      <w:pPr>
        <w:spacing w:after="120" w:line="240" w:lineRule="atLeast"/>
        <w:ind w:left="2160"/>
        <w:jc w:val="both"/>
        <w:rPr>
          <w:rFonts w:ascii="Arial" w:hAnsi="Arial" w:cs="Arial"/>
        </w:rPr>
      </w:pPr>
      <w:r w:rsidRPr="0036089D">
        <w:rPr>
          <w:rFonts w:ascii="Arial" w:hAnsi="Arial" w:cs="Courier New"/>
        </w:rPr>
        <w:t>In relation to the duty to ensure costs are reasonable and proportionate, an example of a possible breach may be the practice of briefing two barristers (senior counsel and junior counsel) where the complexity of the case does not warrant it.  I note that the obligation is worded so that resources are not unreasonably cons</w:t>
      </w:r>
      <w:r w:rsidRPr="00EF1F6A">
        <w:rPr>
          <w:rFonts w:ascii="Arial" w:hAnsi="Arial" w:cs="Courier New"/>
        </w:rPr>
        <w:t xml:space="preserve">trained for cases that might in </w:t>
      </w:r>
      <w:r w:rsidRPr="00EF1F6A">
        <w:rPr>
          <w:rFonts w:ascii="Arial" w:hAnsi="Arial" w:cs="Courier New"/>
        </w:rPr>
        <w:lastRenderedPageBreak/>
        <w:t>themselves be for a small amount, but that have significant precedent or public interest value.</w:t>
      </w:r>
      <w:r>
        <w:rPr>
          <w:rStyle w:val="FootnoteReference"/>
          <w:rFonts w:ascii="Arial" w:hAnsi="Arial" w:cs="Courier New"/>
        </w:rPr>
        <w:footnoteReference w:id="10"/>
      </w:r>
      <w:r w:rsidRPr="006A6FE1">
        <w:rPr>
          <w:rFonts w:ascii="Arial" w:hAnsi="Arial" w:cs="Arial"/>
        </w:rPr>
        <w:t xml:space="preserve">  </w:t>
      </w:r>
    </w:p>
    <w:p w14:paraId="0ED42319" w14:textId="77777777" w:rsidR="005164E7" w:rsidRDefault="005164E7" w:rsidP="3A5A0E67">
      <w:pPr>
        <w:pStyle w:val="ListParagraph"/>
        <w:numPr>
          <w:ilvl w:val="0"/>
          <w:numId w:val="1"/>
        </w:numPr>
        <w:spacing w:after="240" w:line="480" w:lineRule="atLeast"/>
        <w:ind w:left="720" w:hanging="720"/>
        <w:contextualSpacing w:val="0"/>
        <w:jc w:val="both"/>
        <w:rPr>
          <w:rFonts w:ascii="Arial" w:hAnsi="Arial" w:cs="Arial"/>
          <w:lang w:val="en-AU"/>
        </w:rPr>
      </w:pPr>
      <w:r>
        <w:rPr>
          <w:rFonts w:ascii="Arial" w:hAnsi="Arial" w:cs="Arial"/>
          <w:lang w:val="en-AU"/>
        </w:rPr>
        <w:t xml:space="preserve">In the circumstances of that case, particularly </w:t>
      </w:r>
      <w:r w:rsidR="00AE6BF6">
        <w:rPr>
          <w:rFonts w:ascii="Arial" w:hAnsi="Arial" w:cs="Arial"/>
          <w:lang w:val="en-AU"/>
        </w:rPr>
        <w:t xml:space="preserve">the </w:t>
      </w:r>
      <w:r w:rsidR="00EF1F6A">
        <w:rPr>
          <w:rFonts w:ascii="Arial" w:hAnsi="Arial" w:cs="Arial"/>
          <w:lang w:val="en-AU"/>
        </w:rPr>
        <w:t>importance</w:t>
      </w:r>
      <w:r>
        <w:rPr>
          <w:rFonts w:ascii="Arial" w:hAnsi="Arial" w:cs="Arial"/>
          <w:lang w:val="en-AU"/>
        </w:rPr>
        <w:t xml:space="preserve"> </w:t>
      </w:r>
      <w:r w:rsidR="00AE6BF6">
        <w:rPr>
          <w:rFonts w:ascii="Arial" w:hAnsi="Arial" w:cs="Arial"/>
          <w:lang w:val="en-AU"/>
        </w:rPr>
        <w:t xml:space="preserve">and </w:t>
      </w:r>
      <w:r>
        <w:rPr>
          <w:rFonts w:ascii="Arial" w:hAnsi="Arial" w:cs="Arial"/>
          <w:lang w:val="en-AU"/>
        </w:rPr>
        <w:t>complexity</w:t>
      </w:r>
      <w:r w:rsidR="00AE6BF6">
        <w:rPr>
          <w:rFonts w:ascii="Arial" w:hAnsi="Arial" w:cs="Arial"/>
          <w:lang w:val="en-AU"/>
        </w:rPr>
        <w:t xml:space="preserve"> of the interlocutory application</w:t>
      </w:r>
      <w:r>
        <w:rPr>
          <w:rFonts w:ascii="Arial" w:hAnsi="Arial" w:cs="Arial"/>
          <w:lang w:val="en-AU"/>
        </w:rPr>
        <w:t>,</w:t>
      </w:r>
      <w:r w:rsidR="00EF1F6A">
        <w:rPr>
          <w:rFonts w:ascii="Arial" w:hAnsi="Arial" w:cs="Arial"/>
          <w:lang w:val="en-AU"/>
        </w:rPr>
        <w:t xml:space="preserve"> and that the oral submissions of lead counsel narrowed the issues in dispute, there was no </w:t>
      </w:r>
      <w:r>
        <w:rPr>
          <w:rFonts w:ascii="Arial" w:hAnsi="Arial" w:cs="Arial"/>
          <w:lang w:val="en-AU"/>
        </w:rPr>
        <w:t xml:space="preserve">breach </w:t>
      </w:r>
      <w:r w:rsidR="00EF1F6A">
        <w:rPr>
          <w:rFonts w:ascii="Arial" w:hAnsi="Arial" w:cs="Arial"/>
          <w:lang w:val="en-AU"/>
        </w:rPr>
        <w:t xml:space="preserve">of </w:t>
      </w:r>
      <w:r>
        <w:rPr>
          <w:rFonts w:ascii="Arial" w:hAnsi="Arial" w:cs="Arial"/>
          <w:lang w:val="en-AU"/>
        </w:rPr>
        <w:t>s 24 of the CPA.</w:t>
      </w:r>
      <w:r w:rsidR="00EF1F6A">
        <w:rPr>
          <w:rStyle w:val="FootnoteReference"/>
          <w:rFonts w:ascii="Arial" w:hAnsi="Arial" w:cs="Arial"/>
          <w:lang w:val="en-AU"/>
        </w:rPr>
        <w:footnoteReference w:id="11"/>
      </w:r>
      <w:r w:rsidR="00EF1F6A">
        <w:rPr>
          <w:rFonts w:ascii="Arial" w:hAnsi="Arial" w:cs="Arial"/>
          <w:lang w:val="en-AU"/>
        </w:rPr>
        <w:t xml:space="preserve">  However, the Court of Appeal stated:</w:t>
      </w:r>
    </w:p>
    <w:p w14:paraId="7B532F2D" w14:textId="77777777" w:rsidR="00EF1F6A" w:rsidRPr="00AE6BF6" w:rsidRDefault="00EF1F6A" w:rsidP="00AE6BF6">
      <w:pPr>
        <w:spacing w:after="120" w:line="240" w:lineRule="atLeast"/>
        <w:ind w:left="1440"/>
        <w:jc w:val="both"/>
        <w:rPr>
          <w:rFonts w:ascii="Arial" w:hAnsi="Arial" w:cs="Courier New"/>
        </w:rPr>
      </w:pPr>
      <w:r w:rsidRPr="00F81525">
        <w:rPr>
          <w:rFonts w:ascii="Arial" w:hAnsi="Arial" w:cs="Courier New"/>
        </w:rPr>
        <w:t>In order to comply with the particular overarching obligation in s 24, the legal practitioners — solicitors and counsel — who act for or on behalf of a party or who are asked to so act, must always give careful consideration to the level and the extent of the representation that is necessary for a party in a proceeding.  Even where a party provides informed instructions to their legal practitioners that they wish particular counsel to be briefed, the legal practitioners who act on their behalf have an overriding duty to consider whether, having regard to the matters set out in s 24 and any other relevant circumstances, the engagement of particular counsel will contravene the Act.  There will be proceedings in which the complexity or importance of the issues and the amount in dispute will not justify the engagement of counsel of particular seniority or will not justify the engagement of more than one counsel</w:t>
      </w:r>
      <w:r w:rsidRPr="00AE6BF6">
        <w:rPr>
          <w:rFonts w:ascii="Arial" w:hAnsi="Arial" w:cs="Courier New"/>
        </w:rPr>
        <w:t>.</w:t>
      </w:r>
      <w:r w:rsidRPr="00AE6BF6">
        <w:rPr>
          <w:rStyle w:val="FootnoteReference"/>
          <w:rFonts w:ascii="Arial" w:hAnsi="Arial"/>
        </w:rPr>
        <w:footnoteReference w:id="12"/>
      </w:r>
    </w:p>
    <w:p w14:paraId="4145BAEC" w14:textId="77777777" w:rsidR="005164E7" w:rsidRDefault="005164E7" w:rsidP="3A5A0E67">
      <w:pPr>
        <w:pStyle w:val="ListParagraph"/>
        <w:numPr>
          <w:ilvl w:val="0"/>
          <w:numId w:val="1"/>
        </w:numPr>
        <w:spacing w:after="240" w:line="480" w:lineRule="atLeast"/>
        <w:ind w:left="720" w:hanging="720"/>
        <w:contextualSpacing w:val="0"/>
        <w:jc w:val="both"/>
        <w:rPr>
          <w:rFonts w:ascii="Arial" w:hAnsi="Arial" w:cs="Arial"/>
          <w:lang w:val="en-AU"/>
        </w:rPr>
      </w:pPr>
      <w:r>
        <w:rPr>
          <w:rFonts w:ascii="Arial" w:hAnsi="Arial" w:cs="Arial"/>
          <w:lang w:val="en-AU"/>
        </w:rPr>
        <w:t xml:space="preserve">Section 24 of the CPA may also be breached by the filing of excessive material.  Such a finding was made by the Court of Appeal in </w:t>
      </w:r>
      <w:r w:rsidRPr="00F81525">
        <w:rPr>
          <w:rFonts w:ascii="Arial" w:hAnsi="Arial" w:cs="Arial"/>
          <w:i/>
          <w:lang w:val="en-AU"/>
        </w:rPr>
        <w:t>Yara</w:t>
      </w:r>
      <w:r w:rsidR="00016A94" w:rsidRPr="00F81525">
        <w:rPr>
          <w:rFonts w:ascii="Arial" w:hAnsi="Arial" w:cs="Arial"/>
          <w:i/>
          <w:lang w:val="en-AU"/>
        </w:rPr>
        <w:t xml:space="preserve"> v Oswal</w:t>
      </w:r>
      <w:r>
        <w:rPr>
          <w:rFonts w:ascii="Arial" w:hAnsi="Arial" w:cs="Arial"/>
          <w:lang w:val="en-AU"/>
        </w:rPr>
        <w:t>.</w:t>
      </w:r>
    </w:p>
    <w:p w14:paraId="2B20C707" w14:textId="77777777" w:rsidR="005164E7" w:rsidRPr="005164E7" w:rsidRDefault="005164E7" w:rsidP="00F81525">
      <w:pPr>
        <w:spacing w:after="120" w:line="240" w:lineRule="atLeast"/>
        <w:ind w:left="1440"/>
        <w:jc w:val="both"/>
        <w:rPr>
          <w:rFonts w:ascii="Arial" w:hAnsi="Arial" w:cs="Courier New"/>
        </w:rPr>
      </w:pPr>
      <w:r w:rsidRPr="005164E7">
        <w:rPr>
          <w:rFonts w:ascii="Arial" w:hAnsi="Arial" w:cs="Courier New"/>
        </w:rPr>
        <w:t xml:space="preserve">We are unpersuaded by the applicants’ contention that the expenses incurred in respect of this applications must be seen in the context of the litigation as a whole, which will require both parties to incur very substantial legal fees.  </w:t>
      </w:r>
      <w:r w:rsidRPr="00F81525">
        <w:rPr>
          <w:rFonts w:ascii="Arial" w:hAnsi="Arial" w:cs="Courier New"/>
          <w:u w:val="single"/>
        </w:rPr>
        <w:t>Such expenditure as is incurred on an interlocutory application must be proportionate to the proceeding in question</w:t>
      </w:r>
      <w:r w:rsidRPr="005164E7">
        <w:rPr>
          <w:rFonts w:ascii="Arial" w:hAnsi="Arial" w:cs="Courier New"/>
        </w:rPr>
        <w:t xml:space="preserve">.  We are satisfied on the balance of probabilities that the overarching obligation under s 24 to ensure that costs were reasonable and proportionate has been breached by the filing of excessive material. </w:t>
      </w:r>
    </w:p>
    <w:p w14:paraId="23802279" w14:textId="77777777" w:rsidR="005164E7" w:rsidRPr="005724FF" w:rsidRDefault="005164E7" w:rsidP="00F81525">
      <w:pPr>
        <w:spacing w:after="120" w:line="240" w:lineRule="atLeast"/>
        <w:ind w:left="1440"/>
        <w:jc w:val="both"/>
        <w:rPr>
          <w:rFonts w:ascii="Arial" w:hAnsi="Arial" w:cs="Courier New"/>
        </w:rPr>
      </w:pPr>
      <w:r w:rsidRPr="005164E7">
        <w:rPr>
          <w:rFonts w:ascii="Arial" w:hAnsi="Arial" w:cs="Courier New"/>
        </w:rPr>
        <w:t>The Act’s objective is the reform of the culture of unnecessary expenditure on civil litigation.  Parliament has intended that this reform can only be achieved by holding parties to account for undesirable civil litigation practices that are unfortunately too common.  The court was burdened with excessive material.  The applicants and the respondents were burdened with the costs of that material.  There has been a breach of the overarching obligation to ensure the costs are reasonable and proportionate b</w:t>
      </w:r>
      <w:r w:rsidRPr="005724FF">
        <w:rPr>
          <w:rFonts w:ascii="Arial" w:hAnsi="Arial" w:cs="Courier New"/>
        </w:rPr>
        <w:t>y including in the application books voluminous material that was extraneous or repetitious and excessive.</w:t>
      </w:r>
      <w:r w:rsidR="005724FF">
        <w:rPr>
          <w:rStyle w:val="FootnoteReference"/>
          <w:rFonts w:ascii="Arial" w:hAnsi="Arial" w:cs="Courier New"/>
        </w:rPr>
        <w:footnoteReference w:id="13"/>
      </w:r>
      <w:r w:rsidRPr="005724FF">
        <w:rPr>
          <w:rFonts w:ascii="Arial" w:hAnsi="Arial" w:cs="Courier New"/>
        </w:rPr>
        <w:t xml:space="preserve">  </w:t>
      </w:r>
    </w:p>
    <w:p w14:paraId="05B74803" w14:textId="77777777" w:rsidR="00F81525" w:rsidRDefault="00F81525" w:rsidP="00F81525">
      <w:pPr>
        <w:pStyle w:val="ListParagraph"/>
        <w:numPr>
          <w:ilvl w:val="0"/>
          <w:numId w:val="1"/>
        </w:numPr>
        <w:spacing w:after="240" w:line="480" w:lineRule="atLeast"/>
        <w:ind w:left="720" w:hanging="720"/>
        <w:contextualSpacing w:val="0"/>
        <w:jc w:val="both"/>
        <w:rPr>
          <w:rFonts w:ascii="Arial" w:hAnsi="Arial" w:cs="Arial"/>
          <w:lang w:val="en-AU"/>
        </w:rPr>
      </w:pPr>
      <w:r>
        <w:rPr>
          <w:rFonts w:ascii="Arial" w:hAnsi="Arial" w:cs="Arial"/>
          <w:lang w:val="en-AU"/>
        </w:rPr>
        <w:t xml:space="preserve">The orders made by the Court of Appeal in </w:t>
      </w:r>
      <w:r w:rsidRPr="007C2ED7">
        <w:rPr>
          <w:rFonts w:ascii="Arial" w:hAnsi="Arial" w:cs="Arial"/>
          <w:i/>
          <w:lang w:val="en-AU"/>
        </w:rPr>
        <w:t>Yara v Oswal</w:t>
      </w:r>
      <w:r>
        <w:rPr>
          <w:rFonts w:ascii="Arial" w:hAnsi="Arial" w:cs="Arial"/>
          <w:lang w:val="en-AU"/>
        </w:rPr>
        <w:t xml:space="preserve"> included the following:</w:t>
      </w:r>
    </w:p>
    <w:p w14:paraId="63525C93" w14:textId="77777777" w:rsidR="00C7178E" w:rsidRDefault="00C7178E" w:rsidP="00F81525">
      <w:pPr>
        <w:spacing w:after="120" w:line="240" w:lineRule="atLeast"/>
        <w:ind w:left="1440"/>
        <w:jc w:val="both"/>
        <w:rPr>
          <w:rFonts w:ascii="Arial" w:hAnsi="Arial" w:cs="Courier New"/>
        </w:rPr>
      </w:pPr>
      <w:r>
        <w:rPr>
          <w:rFonts w:ascii="Arial" w:hAnsi="Arial" w:cs="Courier New"/>
        </w:rPr>
        <w:t>…</w:t>
      </w:r>
    </w:p>
    <w:p w14:paraId="69B66A29" w14:textId="77777777" w:rsidR="00F81525" w:rsidRPr="00EF1F6A" w:rsidRDefault="00F81525" w:rsidP="00F81525">
      <w:pPr>
        <w:spacing w:after="120" w:line="240" w:lineRule="atLeast"/>
        <w:ind w:left="1440"/>
        <w:jc w:val="both"/>
        <w:rPr>
          <w:rFonts w:ascii="Arial" w:hAnsi="Arial" w:cs="Courier New"/>
        </w:rPr>
      </w:pPr>
      <w:r w:rsidRPr="00EF1F6A">
        <w:rPr>
          <w:rFonts w:ascii="Arial" w:hAnsi="Arial" w:cs="Courier New"/>
        </w:rPr>
        <w:lastRenderedPageBreak/>
        <w:t>Each applicant pay the respondent's costs of the application.</w:t>
      </w:r>
    </w:p>
    <w:p w14:paraId="1613A347" w14:textId="77777777" w:rsidR="00F81525" w:rsidRPr="00EF1F6A" w:rsidRDefault="00F81525" w:rsidP="00F81525">
      <w:pPr>
        <w:spacing w:after="120" w:line="240" w:lineRule="atLeast"/>
        <w:ind w:left="1440"/>
        <w:jc w:val="both"/>
        <w:rPr>
          <w:rFonts w:ascii="Arial" w:hAnsi="Arial" w:cs="Courier New"/>
        </w:rPr>
      </w:pPr>
      <w:r w:rsidRPr="00EF1F6A">
        <w:rPr>
          <w:rFonts w:ascii="Arial" w:hAnsi="Arial" w:cs="Courier New"/>
        </w:rPr>
        <w:t>Each applicant's solicitor indemnify the applicant for 50% of the respondent's costs incurred as a consequence of the excessive or unnecessary content of the application books.</w:t>
      </w:r>
    </w:p>
    <w:p w14:paraId="0A6BA25A" w14:textId="77777777" w:rsidR="00F81525" w:rsidRDefault="00F81525" w:rsidP="00F81525">
      <w:pPr>
        <w:spacing w:after="120" w:line="240" w:lineRule="atLeast"/>
        <w:ind w:left="1440"/>
        <w:jc w:val="both"/>
        <w:rPr>
          <w:rFonts w:ascii="Arial" w:hAnsi="Arial" w:cs="Courier New"/>
        </w:rPr>
      </w:pPr>
      <w:r w:rsidRPr="00EF1F6A">
        <w:rPr>
          <w:rFonts w:ascii="Arial" w:hAnsi="Arial" w:cs="Courier New"/>
        </w:rPr>
        <w:t>The applicant's solicitor be disallowed recovery from the applicant of 50% of the costs relating to the preparation of the application books, and costs incidental thereto.</w:t>
      </w:r>
    </w:p>
    <w:p w14:paraId="5E401C14" w14:textId="77777777" w:rsidR="00F81525" w:rsidRPr="00EF1F6A" w:rsidRDefault="00F81525" w:rsidP="00F81525">
      <w:pPr>
        <w:spacing w:after="120" w:line="240" w:lineRule="atLeast"/>
        <w:ind w:left="1440"/>
        <w:jc w:val="both"/>
        <w:rPr>
          <w:rFonts w:ascii="Arial" w:hAnsi="Arial" w:cs="Courier New"/>
        </w:rPr>
      </w:pPr>
      <w:r>
        <w:rPr>
          <w:rFonts w:ascii="Arial" w:hAnsi="Arial" w:cs="Courier New"/>
        </w:rPr>
        <w:t>The costs ordered by these orders may be taxed immediately.</w:t>
      </w:r>
      <w:r>
        <w:rPr>
          <w:rStyle w:val="FootnoteReference"/>
          <w:rFonts w:ascii="Arial" w:hAnsi="Arial" w:cs="Courier New"/>
        </w:rPr>
        <w:footnoteReference w:id="14"/>
      </w:r>
    </w:p>
    <w:p w14:paraId="5C820CBF" w14:textId="77777777" w:rsidR="00EF1F6A" w:rsidRDefault="00733ADD" w:rsidP="00F81525">
      <w:pPr>
        <w:pStyle w:val="ListParagraph"/>
        <w:numPr>
          <w:ilvl w:val="0"/>
          <w:numId w:val="1"/>
        </w:numPr>
        <w:spacing w:after="240" w:line="480" w:lineRule="atLeast"/>
        <w:ind w:left="720" w:hanging="720"/>
        <w:contextualSpacing w:val="0"/>
        <w:jc w:val="both"/>
        <w:rPr>
          <w:rFonts w:ascii="Arial" w:hAnsi="Arial" w:cs="Arial"/>
          <w:lang w:val="en-AU"/>
        </w:rPr>
      </w:pPr>
      <w:r>
        <w:rPr>
          <w:rFonts w:ascii="Arial" w:hAnsi="Arial" w:cs="Arial"/>
          <w:lang w:val="en-AU"/>
        </w:rPr>
        <w:t>Part 2.4 of the CPA also imposes sanctions for contravening the overarching obligations.  This includes wide-ranging powers to make costs orders.</w:t>
      </w:r>
      <w:r>
        <w:rPr>
          <w:rStyle w:val="FootnoteReference"/>
          <w:rFonts w:ascii="Arial" w:hAnsi="Arial" w:cs="Arial"/>
          <w:lang w:val="en-AU"/>
        </w:rPr>
        <w:footnoteReference w:id="15"/>
      </w:r>
      <w:r>
        <w:rPr>
          <w:rFonts w:ascii="Arial" w:hAnsi="Arial" w:cs="Arial"/>
          <w:lang w:val="en-AU"/>
        </w:rPr>
        <w:t xml:space="preserve">  </w:t>
      </w:r>
      <w:r w:rsidR="001375AB">
        <w:rPr>
          <w:rFonts w:ascii="Arial" w:hAnsi="Arial" w:cs="Arial"/>
          <w:lang w:val="en-AU"/>
        </w:rPr>
        <w:t>There are both compensatory and punitive elements to those powers.</w:t>
      </w:r>
      <w:r w:rsidR="001375AB">
        <w:rPr>
          <w:rStyle w:val="FootnoteReference"/>
          <w:rFonts w:ascii="Arial" w:hAnsi="Arial" w:cs="Arial"/>
          <w:lang w:val="en-AU"/>
        </w:rPr>
        <w:footnoteReference w:id="16"/>
      </w:r>
    </w:p>
    <w:p w14:paraId="042FE14B" w14:textId="264DFD84" w:rsidR="009B3829" w:rsidRDefault="009B3829" w:rsidP="3A5A0E67">
      <w:pPr>
        <w:pStyle w:val="ListParagraph"/>
        <w:numPr>
          <w:ilvl w:val="0"/>
          <w:numId w:val="1"/>
        </w:numPr>
        <w:spacing w:after="240" w:line="480" w:lineRule="atLeast"/>
        <w:ind w:left="720" w:hanging="720"/>
        <w:contextualSpacing w:val="0"/>
        <w:jc w:val="both"/>
        <w:rPr>
          <w:rFonts w:ascii="Arial" w:hAnsi="Arial" w:cs="Arial"/>
          <w:lang w:val="en-AU"/>
        </w:rPr>
      </w:pPr>
      <w:r>
        <w:rPr>
          <w:rFonts w:ascii="Arial" w:hAnsi="Arial" w:cs="Arial"/>
          <w:lang w:val="en-AU"/>
        </w:rPr>
        <w:t>The Court has, of course, long held the power to impose costs orders on a solicitor / client or indemnity basis where special circumstances are established.  These powers are recognised in Court rules.</w:t>
      </w:r>
      <w:r>
        <w:rPr>
          <w:rStyle w:val="FootnoteReference"/>
          <w:rFonts w:ascii="Arial" w:hAnsi="Arial" w:cs="Arial"/>
          <w:lang w:val="en-AU"/>
        </w:rPr>
        <w:footnoteReference w:id="17"/>
      </w:r>
    </w:p>
    <w:p w14:paraId="3BE2AEEC" w14:textId="77777777" w:rsidR="00DB5C87" w:rsidRPr="00DB5C87" w:rsidRDefault="00DB5C87" w:rsidP="00DB5C87">
      <w:pPr>
        <w:pStyle w:val="ListParagraph"/>
        <w:spacing w:after="240" w:line="480" w:lineRule="atLeast"/>
        <w:contextualSpacing w:val="0"/>
        <w:jc w:val="both"/>
        <w:rPr>
          <w:rFonts w:ascii="Arial" w:hAnsi="Arial" w:cs="Arial"/>
          <w:b/>
          <w:lang w:val="en-AU"/>
        </w:rPr>
      </w:pPr>
      <w:r w:rsidRPr="00DB5C87">
        <w:rPr>
          <w:rFonts w:ascii="Arial" w:hAnsi="Arial" w:cs="Arial"/>
          <w:b/>
          <w:lang w:val="en-AU"/>
        </w:rPr>
        <w:t>Cost Presumptions in Court Rules</w:t>
      </w:r>
    </w:p>
    <w:p w14:paraId="025D61D0" w14:textId="77777777" w:rsidR="00F92EA2" w:rsidRDefault="00F92EA2" w:rsidP="00F92EA2">
      <w:pPr>
        <w:pStyle w:val="ListParagraph"/>
        <w:numPr>
          <w:ilvl w:val="0"/>
          <w:numId w:val="1"/>
        </w:numPr>
        <w:spacing w:after="240" w:line="480" w:lineRule="atLeast"/>
        <w:ind w:left="720" w:hanging="720"/>
        <w:contextualSpacing w:val="0"/>
        <w:jc w:val="both"/>
        <w:rPr>
          <w:rFonts w:ascii="Arial" w:hAnsi="Arial" w:cs="Arial"/>
          <w:lang w:val="en-AU"/>
        </w:rPr>
      </w:pPr>
      <w:r>
        <w:rPr>
          <w:rFonts w:ascii="Arial" w:hAnsi="Arial" w:cs="Arial"/>
          <w:lang w:val="en-AU"/>
        </w:rPr>
        <w:t xml:space="preserve">I will now discuss a number of </w:t>
      </w:r>
      <w:r w:rsidRPr="3A5A0E67">
        <w:rPr>
          <w:rFonts w:ascii="Arial" w:hAnsi="Arial" w:cs="Arial"/>
          <w:lang w:val="en-AU"/>
        </w:rPr>
        <w:t xml:space="preserve">the </w:t>
      </w:r>
      <w:r w:rsidRPr="3A5A0E67">
        <w:rPr>
          <w:rFonts w:ascii="Arial" w:hAnsi="Arial" w:cs="Arial"/>
          <w:i/>
          <w:iCs/>
          <w:lang w:val="en-AU"/>
        </w:rPr>
        <w:t>Supreme Court (General Civil Procedure) Rules 2015</w:t>
      </w:r>
      <w:r w:rsidRPr="3A5A0E67">
        <w:rPr>
          <w:rFonts w:ascii="Arial" w:hAnsi="Arial" w:cs="Arial"/>
          <w:lang w:val="en-AU"/>
        </w:rPr>
        <w:t xml:space="preserve"> (‘the Rules’)</w:t>
      </w:r>
      <w:r>
        <w:rPr>
          <w:rFonts w:ascii="Arial" w:hAnsi="Arial" w:cs="Arial"/>
          <w:lang w:val="en-AU"/>
        </w:rPr>
        <w:t xml:space="preserve"> that contain presumptions about costs in interlocutory applications.</w:t>
      </w:r>
    </w:p>
    <w:p w14:paraId="537E2661" w14:textId="77777777" w:rsidR="00733ADD" w:rsidRPr="00733ADD" w:rsidRDefault="00733ADD" w:rsidP="00733ADD">
      <w:pPr>
        <w:pStyle w:val="ListParagraph"/>
        <w:spacing w:after="240" w:line="480" w:lineRule="atLeast"/>
        <w:contextualSpacing w:val="0"/>
        <w:jc w:val="both"/>
        <w:rPr>
          <w:rFonts w:ascii="Arial" w:hAnsi="Arial" w:cs="Arial"/>
          <w:i/>
          <w:lang w:val="en-AU"/>
        </w:rPr>
      </w:pPr>
      <w:r>
        <w:rPr>
          <w:rFonts w:ascii="Arial" w:hAnsi="Arial" w:cs="Arial"/>
          <w:i/>
          <w:lang w:val="en-AU"/>
        </w:rPr>
        <w:t>Presumption</w:t>
      </w:r>
      <w:r w:rsidR="00F92EA2">
        <w:rPr>
          <w:rFonts w:ascii="Arial" w:hAnsi="Arial" w:cs="Arial"/>
          <w:i/>
          <w:lang w:val="en-AU"/>
        </w:rPr>
        <w:t>:</w:t>
      </w:r>
      <w:r>
        <w:rPr>
          <w:rFonts w:ascii="Arial" w:hAnsi="Arial" w:cs="Arial"/>
          <w:i/>
          <w:lang w:val="en-AU"/>
        </w:rPr>
        <w:t xml:space="preserve"> interlocutory </w:t>
      </w:r>
      <w:r w:rsidRPr="00733ADD">
        <w:rPr>
          <w:rFonts w:ascii="Arial" w:hAnsi="Arial" w:cs="Arial"/>
          <w:i/>
          <w:lang w:val="en-AU"/>
        </w:rPr>
        <w:t xml:space="preserve">costs in proceeding where order </w:t>
      </w:r>
      <w:r>
        <w:rPr>
          <w:rFonts w:ascii="Arial" w:hAnsi="Arial" w:cs="Arial"/>
          <w:i/>
          <w:lang w:val="en-AU"/>
        </w:rPr>
        <w:t xml:space="preserve">is </w:t>
      </w:r>
      <w:r w:rsidRPr="00733ADD">
        <w:rPr>
          <w:rFonts w:ascii="Arial" w:hAnsi="Arial" w:cs="Arial"/>
          <w:i/>
          <w:lang w:val="en-AU"/>
        </w:rPr>
        <w:t>silent</w:t>
      </w:r>
      <w:r>
        <w:rPr>
          <w:rFonts w:ascii="Arial" w:hAnsi="Arial" w:cs="Arial"/>
          <w:i/>
          <w:lang w:val="en-AU"/>
        </w:rPr>
        <w:t xml:space="preserve"> </w:t>
      </w:r>
      <w:r w:rsidR="009B3829">
        <w:rPr>
          <w:rFonts w:ascii="Arial" w:hAnsi="Arial" w:cs="Arial"/>
          <w:i/>
          <w:lang w:val="en-AU"/>
        </w:rPr>
        <w:t>or costs reserved</w:t>
      </w:r>
    </w:p>
    <w:p w14:paraId="29932B76" w14:textId="77777777" w:rsidR="00F25440" w:rsidRDefault="3A5A0E67" w:rsidP="3A5A0E67">
      <w:pPr>
        <w:pStyle w:val="ListParagraph"/>
        <w:numPr>
          <w:ilvl w:val="0"/>
          <w:numId w:val="1"/>
        </w:numPr>
        <w:spacing w:after="240" w:line="480" w:lineRule="atLeast"/>
        <w:ind w:left="720" w:hanging="720"/>
        <w:contextualSpacing w:val="0"/>
        <w:jc w:val="both"/>
        <w:rPr>
          <w:rFonts w:ascii="Arial" w:hAnsi="Arial" w:cs="Arial"/>
          <w:lang w:val="en-AU"/>
        </w:rPr>
      </w:pPr>
      <w:r w:rsidRPr="3A5A0E67">
        <w:rPr>
          <w:rFonts w:ascii="Arial" w:hAnsi="Arial" w:cs="Arial"/>
          <w:lang w:val="en-AU"/>
        </w:rPr>
        <w:t xml:space="preserve">If the Court does </w:t>
      </w:r>
      <w:r w:rsidRPr="3A5A0E67">
        <w:rPr>
          <w:rFonts w:ascii="Arial" w:hAnsi="Arial" w:cs="Arial"/>
          <w:b/>
          <w:bCs/>
          <w:lang w:val="en-AU"/>
        </w:rPr>
        <w:t>not</w:t>
      </w:r>
      <w:r w:rsidRPr="3A5A0E67">
        <w:rPr>
          <w:rFonts w:ascii="Arial" w:hAnsi="Arial" w:cs="Arial"/>
          <w:lang w:val="en-AU"/>
        </w:rPr>
        <w:t xml:space="preserve"> make an order for the costs of an interlocutory application, the presumption is now that they will be costs in the proceeding.  This is a change from the previous presumption that each party bore their own costs.  The change was brought about by the intro</w:t>
      </w:r>
      <w:r w:rsidR="00A621BA">
        <w:rPr>
          <w:rFonts w:ascii="Arial" w:hAnsi="Arial" w:cs="Arial"/>
          <w:lang w:val="en-AU"/>
        </w:rPr>
        <w:t>duction in 2012 of Rule 63.20</w:t>
      </w:r>
      <w:r w:rsidRPr="3A5A0E67">
        <w:rPr>
          <w:rFonts w:ascii="Arial" w:hAnsi="Arial" w:cs="Arial"/>
          <w:lang w:val="en-AU"/>
        </w:rPr>
        <w:t>.  It provides:</w:t>
      </w:r>
    </w:p>
    <w:p w14:paraId="0DF71EA5" w14:textId="77777777" w:rsidR="00F25440" w:rsidRPr="00537CE8" w:rsidRDefault="00F25440" w:rsidP="3A5A0E67">
      <w:pPr>
        <w:spacing w:after="120" w:line="240" w:lineRule="atLeast"/>
        <w:ind w:left="1440"/>
        <w:jc w:val="both"/>
        <w:rPr>
          <w:rFonts w:ascii="Arial" w:hAnsi="Arial" w:cs="Arial"/>
          <w:b/>
          <w:bCs/>
        </w:rPr>
      </w:pPr>
      <w:r w:rsidRPr="3A5A0E67">
        <w:rPr>
          <w:rFonts w:ascii="Arial" w:hAnsi="Arial" w:cs="Arial"/>
          <w:b/>
          <w:bCs/>
        </w:rPr>
        <w:lastRenderedPageBreak/>
        <w:t>63.20</w:t>
      </w:r>
      <w:r w:rsidRPr="00537CE8">
        <w:rPr>
          <w:rFonts w:ascii="Arial" w:hAnsi="Arial" w:cs="Arial"/>
          <w:b/>
        </w:rPr>
        <w:tab/>
      </w:r>
      <w:r w:rsidRPr="3A5A0E67">
        <w:rPr>
          <w:rFonts w:ascii="Arial" w:hAnsi="Arial" w:cs="Arial"/>
          <w:b/>
          <w:bCs/>
        </w:rPr>
        <w:t>Interlocutory application</w:t>
      </w:r>
    </w:p>
    <w:p w14:paraId="5C5F4C13" w14:textId="77777777" w:rsidR="00F25440" w:rsidRPr="00537CE8" w:rsidRDefault="3A5A0E67" w:rsidP="3A5A0E67">
      <w:pPr>
        <w:spacing w:after="120" w:line="240" w:lineRule="atLeast"/>
        <w:ind w:left="1440"/>
        <w:jc w:val="both"/>
        <w:rPr>
          <w:rFonts w:ascii="Arial" w:hAnsi="Arial" w:cs="Courier New"/>
        </w:rPr>
      </w:pPr>
      <w:r w:rsidRPr="3A5A0E67">
        <w:rPr>
          <w:rFonts w:ascii="Arial" w:hAnsi="Arial" w:cs="Arial"/>
        </w:rPr>
        <w:t xml:space="preserve">Where an interlocutory or other application is made in a </w:t>
      </w:r>
      <w:r w:rsidRPr="3A5A0E67">
        <w:rPr>
          <w:rFonts w:ascii="Arial" w:hAnsi="Arial" w:cs="Courier New"/>
        </w:rPr>
        <w:t xml:space="preserve">proceeding and – </w:t>
      </w:r>
    </w:p>
    <w:p w14:paraId="4EF64E37" w14:textId="77777777" w:rsidR="00F25440" w:rsidRPr="00537CE8" w:rsidRDefault="00F25440" w:rsidP="3A5A0E67">
      <w:pPr>
        <w:spacing w:after="120" w:line="240" w:lineRule="atLeast"/>
        <w:ind w:left="1440"/>
        <w:jc w:val="both"/>
        <w:rPr>
          <w:rFonts w:ascii="Arial" w:hAnsi="Arial" w:cs="Courier New"/>
        </w:rPr>
      </w:pPr>
      <w:r w:rsidRPr="3A5A0E67">
        <w:rPr>
          <w:rFonts w:ascii="Arial" w:hAnsi="Arial" w:cs="Courier New"/>
        </w:rPr>
        <w:t>(a)</w:t>
      </w:r>
      <w:r w:rsidRPr="00537CE8">
        <w:rPr>
          <w:rFonts w:ascii="Arial" w:hAnsi="Arial" w:cs="Courier New"/>
          <w:szCs w:val="24"/>
        </w:rPr>
        <w:tab/>
      </w:r>
      <w:r w:rsidRPr="3A5A0E67">
        <w:rPr>
          <w:rFonts w:ascii="Arial" w:hAnsi="Arial" w:cs="Courier New"/>
        </w:rPr>
        <w:t>no order is made on the application; or</w:t>
      </w:r>
    </w:p>
    <w:p w14:paraId="5A238199" w14:textId="77777777" w:rsidR="00F25440" w:rsidRPr="00537CE8" w:rsidRDefault="00F25440" w:rsidP="3A5A0E67">
      <w:pPr>
        <w:spacing w:after="120" w:line="240" w:lineRule="atLeast"/>
        <w:ind w:left="1440"/>
        <w:jc w:val="both"/>
        <w:rPr>
          <w:rFonts w:ascii="Arial" w:hAnsi="Arial" w:cs="Courier New"/>
        </w:rPr>
      </w:pPr>
      <w:r w:rsidRPr="3A5A0E67">
        <w:rPr>
          <w:rFonts w:ascii="Arial" w:hAnsi="Arial" w:cs="Courier New"/>
        </w:rPr>
        <w:t>(b)</w:t>
      </w:r>
      <w:r w:rsidRPr="00537CE8">
        <w:rPr>
          <w:rFonts w:ascii="Arial" w:hAnsi="Arial" w:cs="Courier New"/>
          <w:szCs w:val="24"/>
        </w:rPr>
        <w:tab/>
      </w:r>
      <w:r w:rsidRPr="3A5A0E67">
        <w:rPr>
          <w:rFonts w:ascii="Arial" w:hAnsi="Arial" w:cs="Courier New"/>
        </w:rPr>
        <w:t xml:space="preserve">the order made is silent as to costs – </w:t>
      </w:r>
    </w:p>
    <w:p w14:paraId="1F2FC0D2" w14:textId="77777777" w:rsidR="00F25440" w:rsidRDefault="3A5A0E67" w:rsidP="3A5A0E67">
      <w:pPr>
        <w:spacing w:after="120" w:line="240" w:lineRule="atLeast"/>
        <w:ind w:left="1440"/>
        <w:jc w:val="both"/>
        <w:rPr>
          <w:rFonts w:ascii="Arial" w:hAnsi="Arial" w:cs="Courier New"/>
        </w:rPr>
      </w:pPr>
      <w:r w:rsidRPr="3A5A0E67">
        <w:rPr>
          <w:rFonts w:ascii="Arial" w:hAnsi="Arial" w:cs="Courier New"/>
        </w:rPr>
        <w:t>the costs are the parties’ costs in the proceeding, unless the Court otherwise orders.</w:t>
      </w:r>
    </w:p>
    <w:p w14:paraId="060503E5" w14:textId="77777777" w:rsidR="00D67F29" w:rsidRDefault="3A5A0E67" w:rsidP="3A5A0E67">
      <w:pPr>
        <w:pStyle w:val="ListParagraph"/>
        <w:numPr>
          <w:ilvl w:val="0"/>
          <w:numId w:val="1"/>
        </w:numPr>
        <w:spacing w:after="240" w:line="480" w:lineRule="atLeast"/>
        <w:ind w:left="720" w:hanging="720"/>
        <w:jc w:val="both"/>
        <w:rPr>
          <w:rFonts w:ascii="Arial" w:hAnsi="Arial" w:cs="Arial"/>
          <w:lang w:val="en-AU"/>
        </w:rPr>
      </w:pPr>
      <w:r w:rsidRPr="3A5A0E67">
        <w:rPr>
          <w:rFonts w:ascii="Arial" w:hAnsi="Arial" w:cs="Arial"/>
          <w:lang w:val="en-AU"/>
        </w:rPr>
        <w:t>As a corollary of this rule, there is also now a presumption that the reserved costs of interlocutory applications are in the proceeding.  Rule 63.22 provides:</w:t>
      </w:r>
    </w:p>
    <w:p w14:paraId="0973263C" w14:textId="77777777" w:rsidR="004D2ABC" w:rsidRDefault="004D2ABC" w:rsidP="3A5A0E67">
      <w:pPr>
        <w:spacing w:after="120" w:line="240" w:lineRule="atLeast"/>
        <w:ind w:left="1440"/>
        <w:jc w:val="both"/>
        <w:rPr>
          <w:rFonts w:ascii="Arial" w:hAnsi="Arial" w:cs="Arial"/>
          <w:b/>
          <w:bCs/>
        </w:rPr>
      </w:pPr>
      <w:r w:rsidRPr="3A5A0E67">
        <w:rPr>
          <w:rFonts w:ascii="Arial" w:hAnsi="Arial" w:cs="Arial"/>
          <w:b/>
          <w:bCs/>
        </w:rPr>
        <w:t>63.22</w:t>
      </w:r>
      <w:r w:rsidRPr="00537CE8">
        <w:rPr>
          <w:rFonts w:ascii="Arial" w:hAnsi="Arial" w:cs="Arial"/>
          <w:b/>
        </w:rPr>
        <w:tab/>
      </w:r>
      <w:r w:rsidRPr="3A5A0E67">
        <w:rPr>
          <w:rFonts w:ascii="Arial" w:hAnsi="Arial" w:cs="Arial"/>
          <w:b/>
          <w:bCs/>
        </w:rPr>
        <w:t>Costs reserved</w:t>
      </w:r>
    </w:p>
    <w:p w14:paraId="218E8E8F" w14:textId="77777777" w:rsidR="004D2ABC" w:rsidRPr="004D2ABC" w:rsidRDefault="3A5A0E67" w:rsidP="3A5A0E67">
      <w:pPr>
        <w:spacing w:after="120" w:line="240" w:lineRule="atLeast"/>
        <w:ind w:left="1440"/>
        <w:jc w:val="both"/>
        <w:rPr>
          <w:rFonts w:ascii="Arial" w:hAnsi="Arial" w:cs="Arial"/>
        </w:rPr>
      </w:pPr>
      <w:r w:rsidRPr="3A5A0E67">
        <w:rPr>
          <w:rFonts w:ascii="Arial" w:hAnsi="Arial" w:cs="Arial"/>
        </w:rPr>
        <w:t xml:space="preserve">Where by order of the Court the costs of any interlocutory or other application, or of any step in a </w:t>
      </w:r>
      <w:r w:rsidRPr="3A5A0E67">
        <w:rPr>
          <w:rFonts w:ascii="Arial" w:hAnsi="Arial" w:cs="Courier New"/>
        </w:rPr>
        <w:t>proceeding, are reserved, the reserved costs are the parties’ costs in the proceeding, unless the Court otherwise orders.</w:t>
      </w:r>
    </w:p>
    <w:p w14:paraId="74034965" w14:textId="64F9DEBD" w:rsidR="0047018D" w:rsidRPr="00701B12" w:rsidRDefault="0047018D" w:rsidP="0047018D">
      <w:pPr>
        <w:pStyle w:val="ListParagraph"/>
        <w:keepNext/>
        <w:spacing w:before="480" w:line="480" w:lineRule="atLeast"/>
        <w:contextualSpacing w:val="0"/>
        <w:jc w:val="both"/>
        <w:rPr>
          <w:rFonts w:ascii="Arial" w:hAnsi="Arial" w:cs="Arial"/>
          <w:b/>
          <w:bCs/>
          <w:lang w:val="en-AU"/>
        </w:rPr>
      </w:pPr>
      <w:r>
        <w:rPr>
          <w:rFonts w:ascii="Arial" w:hAnsi="Arial" w:cs="Arial"/>
          <w:i/>
          <w:lang w:val="en-AU"/>
        </w:rPr>
        <w:t xml:space="preserve">Presumption: costs of amendment in proceeding </w:t>
      </w:r>
    </w:p>
    <w:p w14:paraId="3D238F9E" w14:textId="77777777" w:rsidR="0047018D" w:rsidRDefault="0047018D" w:rsidP="0047018D">
      <w:pPr>
        <w:pStyle w:val="ListParagraph"/>
        <w:numPr>
          <w:ilvl w:val="0"/>
          <w:numId w:val="1"/>
        </w:numPr>
        <w:spacing w:after="240" w:line="480" w:lineRule="atLeast"/>
        <w:ind w:left="720" w:hanging="720"/>
        <w:contextualSpacing w:val="0"/>
        <w:jc w:val="both"/>
        <w:rPr>
          <w:rFonts w:ascii="Arial" w:hAnsi="Arial" w:cs="Arial"/>
          <w:lang w:val="en-AU"/>
        </w:rPr>
      </w:pPr>
      <w:r w:rsidRPr="3A5A0E67">
        <w:rPr>
          <w:rFonts w:ascii="Arial" w:hAnsi="Arial" w:cs="Arial"/>
          <w:lang w:val="en-AU"/>
        </w:rPr>
        <w:t>I wish to now discuss amendments to pleadings and costs.  The Victorian Law Reform Commission’s ‘</w:t>
      </w:r>
      <w:r w:rsidRPr="3A5A0E67">
        <w:rPr>
          <w:rFonts w:ascii="Arial" w:hAnsi="Arial" w:cs="Arial"/>
          <w:i/>
          <w:iCs/>
          <w:lang w:val="en-AU"/>
        </w:rPr>
        <w:t>Civil Justice Review Report’</w:t>
      </w:r>
      <w:r w:rsidRPr="3A5A0E67">
        <w:rPr>
          <w:rFonts w:ascii="Arial" w:hAnsi="Arial" w:cs="Arial"/>
          <w:lang w:val="en-AU"/>
        </w:rPr>
        <w:t xml:space="preserve"> in 2008 (‘the VLRC Report’) </w:t>
      </w:r>
      <w:r>
        <w:rPr>
          <w:rFonts w:ascii="Arial" w:hAnsi="Arial" w:cs="Arial"/>
          <w:lang w:val="en-AU"/>
        </w:rPr>
        <w:t xml:space="preserve">made many recommendations which were subsequently adopted in the CPA.  </w:t>
      </w:r>
    </w:p>
    <w:p w14:paraId="184977D8" w14:textId="77777777" w:rsidR="0047018D" w:rsidRDefault="0047018D" w:rsidP="0047018D">
      <w:pPr>
        <w:pStyle w:val="ListParagraph"/>
        <w:numPr>
          <w:ilvl w:val="0"/>
          <w:numId w:val="1"/>
        </w:numPr>
        <w:spacing w:after="240" w:line="480" w:lineRule="atLeast"/>
        <w:ind w:left="720" w:hanging="720"/>
        <w:contextualSpacing w:val="0"/>
        <w:jc w:val="both"/>
        <w:rPr>
          <w:rFonts w:ascii="Arial" w:hAnsi="Arial" w:cs="Arial"/>
          <w:lang w:val="en-AU"/>
        </w:rPr>
      </w:pPr>
      <w:r>
        <w:rPr>
          <w:rFonts w:ascii="Arial" w:hAnsi="Arial" w:cs="Arial"/>
          <w:lang w:val="en-AU"/>
        </w:rPr>
        <w:t xml:space="preserve">The VLRC Report </w:t>
      </w:r>
      <w:r w:rsidRPr="3A5A0E67">
        <w:rPr>
          <w:rFonts w:ascii="Arial" w:hAnsi="Arial" w:cs="Arial"/>
          <w:lang w:val="en-AU"/>
        </w:rPr>
        <w:t>considered the costs of pleadings and disputes concerning them.  It referred to a number of submissions by the Victorian Bar and others:</w:t>
      </w:r>
    </w:p>
    <w:p w14:paraId="55874BF8" w14:textId="77777777" w:rsidR="0047018D" w:rsidRDefault="0047018D" w:rsidP="0047018D">
      <w:pPr>
        <w:pStyle w:val="ListParagraph"/>
        <w:numPr>
          <w:ilvl w:val="0"/>
          <w:numId w:val="5"/>
        </w:numPr>
        <w:spacing w:after="240" w:line="480" w:lineRule="atLeast"/>
        <w:contextualSpacing w:val="0"/>
        <w:jc w:val="both"/>
        <w:rPr>
          <w:rFonts w:ascii="Arial" w:hAnsi="Arial" w:cs="Arial"/>
          <w:lang w:val="en-AU"/>
        </w:rPr>
      </w:pPr>
      <w:r w:rsidRPr="3A5A0E67">
        <w:rPr>
          <w:rFonts w:ascii="Arial" w:hAnsi="Arial" w:cs="Arial"/>
          <w:lang w:val="en-AU"/>
        </w:rPr>
        <w:t>‘significant resources are devoted to interlocutory fights about pleadings – for example, sufficiency of pleadings, whether a claim should be allowed to stand at all, amendment of pleadings and compliance with the rules’</w:t>
      </w:r>
    </w:p>
    <w:p w14:paraId="427A5344" w14:textId="77777777" w:rsidR="0047018D" w:rsidRDefault="0047018D" w:rsidP="0047018D">
      <w:pPr>
        <w:pStyle w:val="ListParagraph"/>
        <w:numPr>
          <w:ilvl w:val="0"/>
          <w:numId w:val="5"/>
        </w:numPr>
        <w:spacing w:after="240" w:line="480" w:lineRule="atLeast"/>
        <w:contextualSpacing w:val="0"/>
        <w:jc w:val="both"/>
        <w:rPr>
          <w:rFonts w:ascii="Arial" w:hAnsi="Arial" w:cs="Arial"/>
          <w:lang w:val="en-AU"/>
        </w:rPr>
      </w:pPr>
      <w:r w:rsidRPr="3A5A0E67">
        <w:rPr>
          <w:rFonts w:ascii="Arial" w:hAnsi="Arial" w:cs="Arial"/>
          <w:lang w:val="en-AU"/>
        </w:rPr>
        <w:t>‘the cost of interlocutory proceedings to enforce compliance is significant, inefficient and not productive to bringing about an early resolution of the dispute’</w:t>
      </w:r>
    </w:p>
    <w:p w14:paraId="69D9404D" w14:textId="77777777" w:rsidR="0047018D" w:rsidRDefault="0047018D" w:rsidP="0047018D">
      <w:pPr>
        <w:pStyle w:val="ListParagraph"/>
        <w:numPr>
          <w:ilvl w:val="0"/>
          <w:numId w:val="5"/>
        </w:numPr>
        <w:spacing w:after="240" w:line="480" w:lineRule="atLeast"/>
        <w:contextualSpacing w:val="0"/>
        <w:jc w:val="both"/>
        <w:rPr>
          <w:rFonts w:ascii="Arial" w:hAnsi="Arial" w:cs="Arial"/>
          <w:lang w:val="en-AU"/>
        </w:rPr>
      </w:pPr>
      <w:r>
        <w:rPr>
          <w:rFonts w:ascii="Arial" w:hAnsi="Arial" w:cs="Arial"/>
          <w:lang w:val="en-AU"/>
        </w:rPr>
        <w:t>‘interlocutory fights take place at the formalistic level and do not deal with the substance of the issues’.</w:t>
      </w:r>
      <w:r>
        <w:rPr>
          <w:rStyle w:val="FootnoteReference"/>
          <w:rFonts w:ascii="Arial" w:hAnsi="Arial" w:cs="Arial"/>
          <w:lang w:val="en-AU"/>
        </w:rPr>
        <w:footnoteReference w:id="18"/>
      </w:r>
    </w:p>
    <w:p w14:paraId="4E84B9B1" w14:textId="77777777" w:rsidR="0047018D" w:rsidRDefault="0047018D" w:rsidP="0047018D">
      <w:pPr>
        <w:pStyle w:val="ListParagraph"/>
        <w:numPr>
          <w:ilvl w:val="0"/>
          <w:numId w:val="1"/>
        </w:numPr>
        <w:spacing w:after="240" w:line="480" w:lineRule="atLeast"/>
        <w:ind w:left="720" w:hanging="720"/>
        <w:contextualSpacing w:val="0"/>
        <w:jc w:val="both"/>
        <w:rPr>
          <w:rFonts w:ascii="Arial" w:hAnsi="Arial" w:cs="Arial"/>
          <w:lang w:val="en-AU"/>
        </w:rPr>
      </w:pPr>
      <w:r w:rsidRPr="3A5A0E67">
        <w:rPr>
          <w:rFonts w:ascii="Arial" w:hAnsi="Arial" w:cs="Arial"/>
          <w:lang w:val="en-AU"/>
        </w:rPr>
        <w:lastRenderedPageBreak/>
        <w:t>Subsequently, r 63.17 was introduced.  It provides:</w:t>
      </w:r>
    </w:p>
    <w:p w14:paraId="54D48E78" w14:textId="77777777" w:rsidR="0047018D" w:rsidRPr="001F6535" w:rsidRDefault="0047018D" w:rsidP="0047018D">
      <w:pPr>
        <w:pStyle w:val="ListParagraph"/>
        <w:spacing w:after="240" w:line="240" w:lineRule="atLeast"/>
        <w:ind w:left="1440"/>
        <w:contextualSpacing w:val="0"/>
        <w:jc w:val="both"/>
        <w:rPr>
          <w:rFonts w:ascii="Arial" w:hAnsi="Arial" w:cs="Arial"/>
          <w:lang w:val="en-AU"/>
        </w:rPr>
      </w:pPr>
      <w:r w:rsidRPr="3A5A0E67">
        <w:rPr>
          <w:rFonts w:ascii="Arial" w:hAnsi="Arial" w:cs="Arial"/>
          <w:sz w:val="22"/>
          <w:szCs w:val="22"/>
          <w:lang w:val="en-AU"/>
        </w:rPr>
        <w:t xml:space="preserve">Where a pleading is amended (whether with or without leave) the costs of and occasioned by the amendment and the costs of any application for leave to make the amendment are the parties’ costs in the </w:t>
      </w:r>
      <w:r w:rsidRPr="3A5A0E67">
        <w:rPr>
          <w:rFonts w:ascii="Arial" w:hAnsi="Arial" w:cs="Courier New"/>
          <w:sz w:val="22"/>
          <w:szCs w:val="22"/>
          <w:lang w:val="en-AU"/>
        </w:rPr>
        <w:t>proceeding, unless the Court otherwise orders.</w:t>
      </w:r>
    </w:p>
    <w:p w14:paraId="796A8342" w14:textId="77777777" w:rsidR="0047018D" w:rsidRDefault="0047018D" w:rsidP="0047018D">
      <w:pPr>
        <w:pStyle w:val="ListParagraph"/>
        <w:numPr>
          <w:ilvl w:val="0"/>
          <w:numId w:val="1"/>
        </w:numPr>
        <w:spacing w:after="240" w:line="480" w:lineRule="atLeast"/>
        <w:ind w:left="720" w:hanging="720"/>
        <w:jc w:val="both"/>
        <w:rPr>
          <w:rFonts w:ascii="Arial" w:hAnsi="Arial" w:cs="Arial"/>
          <w:lang w:val="en-AU"/>
        </w:rPr>
      </w:pPr>
      <w:r w:rsidRPr="3A5A0E67">
        <w:rPr>
          <w:rFonts w:ascii="Arial" w:hAnsi="Arial" w:cs="Arial"/>
          <w:lang w:val="en-AU"/>
        </w:rPr>
        <w:t xml:space="preserve">That is, the presumption is that the costs of amendment are now in the proceeding.  </w:t>
      </w:r>
    </w:p>
    <w:p w14:paraId="063A69E0" w14:textId="60E2D39F" w:rsidR="0047018D" w:rsidRPr="00785C92" w:rsidRDefault="0047018D" w:rsidP="0047018D">
      <w:pPr>
        <w:pStyle w:val="ListParagraph"/>
        <w:keepNext/>
        <w:spacing w:before="480" w:line="480" w:lineRule="atLeast"/>
        <w:contextualSpacing w:val="0"/>
        <w:jc w:val="both"/>
        <w:rPr>
          <w:rFonts w:ascii="Arial" w:hAnsi="Arial" w:cs="Arial"/>
          <w:b/>
          <w:bCs/>
          <w:lang w:val="en-AU"/>
        </w:rPr>
      </w:pPr>
      <w:r>
        <w:rPr>
          <w:rFonts w:ascii="Arial" w:hAnsi="Arial" w:cs="Arial"/>
          <w:i/>
          <w:lang w:val="en-AU"/>
        </w:rPr>
        <w:t>Presumption: costs are not immediately taxed</w:t>
      </w:r>
    </w:p>
    <w:p w14:paraId="09FC6343" w14:textId="77777777" w:rsidR="0047018D" w:rsidRDefault="0047018D" w:rsidP="0047018D">
      <w:pPr>
        <w:pStyle w:val="ListParagraph"/>
        <w:numPr>
          <w:ilvl w:val="0"/>
          <w:numId w:val="1"/>
        </w:numPr>
        <w:spacing w:after="240" w:line="480" w:lineRule="atLeast"/>
        <w:ind w:left="720" w:hanging="720"/>
        <w:jc w:val="both"/>
        <w:rPr>
          <w:rFonts w:ascii="Arial" w:hAnsi="Arial" w:cs="Arial"/>
          <w:lang w:val="en-AU"/>
        </w:rPr>
      </w:pPr>
      <w:r w:rsidRPr="3A5A0E67">
        <w:rPr>
          <w:rFonts w:ascii="Arial" w:hAnsi="Arial" w:cs="Arial"/>
          <w:lang w:val="en-AU"/>
        </w:rPr>
        <w:t>The VLRC Report made re</w:t>
      </w:r>
      <w:r>
        <w:rPr>
          <w:rFonts w:ascii="Arial" w:hAnsi="Arial" w:cs="Arial"/>
          <w:lang w:val="en-AU"/>
        </w:rPr>
        <w:t>ference to submissions received</w:t>
      </w:r>
      <w:r w:rsidRPr="3A5A0E67">
        <w:rPr>
          <w:rFonts w:ascii="Arial" w:hAnsi="Arial" w:cs="Arial"/>
          <w:lang w:val="en-AU"/>
        </w:rPr>
        <w:t xml:space="preserve"> on interlocutory costs orders:</w:t>
      </w:r>
    </w:p>
    <w:p w14:paraId="3278AD40" w14:textId="77777777" w:rsidR="0047018D" w:rsidRDefault="0047018D" w:rsidP="0047018D">
      <w:pPr>
        <w:spacing w:after="240" w:line="240" w:lineRule="atLeast"/>
        <w:ind w:left="1440"/>
        <w:jc w:val="both"/>
        <w:rPr>
          <w:rFonts w:ascii="Arial" w:hAnsi="Arial" w:cs="Arial"/>
        </w:rPr>
      </w:pPr>
      <w:r w:rsidRPr="3A5A0E67">
        <w:rPr>
          <w:rFonts w:ascii="Arial" w:hAnsi="Arial" w:cs="Arial"/>
        </w:rPr>
        <w:t>During consultations, it was suggested to the commission that the present process for the ‘routine’ taxation of interlocutory costs orders is expensive to the parties, unduly burdensome to the court and in many cases ultimately a waste of time because most cases are settled on terms whereby the interlocutory costs orders are either waived or are otherwise irrelevant to the terms of settlement… Moreover, enforcement can be a problem for impecunious parties and can be used as a strategic forensic weapon by deep pocketed parties.</w:t>
      </w:r>
    </w:p>
    <w:p w14:paraId="5A9B34A9" w14:textId="77777777" w:rsidR="0047018D" w:rsidRDefault="0047018D" w:rsidP="0047018D">
      <w:pPr>
        <w:pStyle w:val="ListParagraph"/>
        <w:spacing w:after="240" w:line="240" w:lineRule="atLeast"/>
        <w:ind w:left="1440"/>
        <w:jc w:val="both"/>
        <w:rPr>
          <w:rFonts w:ascii="Arial" w:hAnsi="Arial" w:cs="Arial"/>
          <w:lang w:val="en-AU"/>
        </w:rPr>
      </w:pPr>
      <w:r w:rsidRPr="00011B40">
        <w:rPr>
          <w:rFonts w:ascii="Arial" w:hAnsi="Arial" w:cs="Arial"/>
          <w:sz w:val="22"/>
          <w:szCs w:val="22"/>
          <w:lang w:val="en-AU"/>
        </w:rPr>
        <w:t>On the other hand, the fact that such orders are normally enforceable during the interlocutory stages can curtail inappropriate interlocutory behaviour</w:t>
      </w:r>
      <w:r>
        <w:rPr>
          <w:rFonts w:ascii="Arial" w:hAnsi="Arial" w:cs="Arial"/>
          <w:lang w:val="en-AU"/>
        </w:rPr>
        <w:t>.</w:t>
      </w:r>
      <w:r>
        <w:rPr>
          <w:rStyle w:val="FootnoteReference"/>
          <w:rFonts w:ascii="Arial" w:hAnsi="Arial" w:cs="Arial"/>
          <w:lang w:val="en-AU"/>
        </w:rPr>
        <w:footnoteReference w:id="19"/>
      </w:r>
    </w:p>
    <w:p w14:paraId="0F400B05" w14:textId="77777777" w:rsidR="0047018D" w:rsidRDefault="0047018D" w:rsidP="0047018D">
      <w:pPr>
        <w:pStyle w:val="ListParagraph"/>
        <w:numPr>
          <w:ilvl w:val="0"/>
          <w:numId w:val="1"/>
        </w:numPr>
        <w:spacing w:after="240" w:line="480" w:lineRule="atLeast"/>
        <w:ind w:left="720" w:hanging="720"/>
        <w:jc w:val="both"/>
        <w:rPr>
          <w:rFonts w:ascii="Arial" w:hAnsi="Arial" w:cs="Arial"/>
          <w:lang w:val="en-AU"/>
        </w:rPr>
      </w:pPr>
      <w:r w:rsidRPr="3A5A0E67">
        <w:rPr>
          <w:rFonts w:ascii="Arial" w:hAnsi="Arial" w:cs="Arial"/>
          <w:lang w:val="en-AU"/>
        </w:rPr>
        <w:t>In 2013, Rule 63.20.1 was introduced.  It provides:</w:t>
      </w:r>
    </w:p>
    <w:p w14:paraId="26F36734" w14:textId="77777777" w:rsidR="0047018D" w:rsidRPr="001F6535" w:rsidRDefault="0047018D" w:rsidP="0047018D">
      <w:pPr>
        <w:spacing w:after="240" w:line="240" w:lineRule="atLeast"/>
        <w:ind w:left="1440"/>
        <w:jc w:val="both"/>
        <w:rPr>
          <w:rFonts w:ascii="Arial" w:hAnsi="Arial" w:cs="Arial"/>
        </w:rPr>
      </w:pPr>
      <w:r w:rsidRPr="3A5A0E67">
        <w:rPr>
          <w:rFonts w:ascii="Arial" w:hAnsi="Arial" w:cs="Arial"/>
        </w:rPr>
        <w:t xml:space="preserve">If an </w:t>
      </w:r>
      <w:hyperlink r:id="rId12">
        <w:r w:rsidRPr="3A5A0E67">
          <w:rPr>
            <w:rFonts w:ascii="Arial" w:hAnsi="Arial" w:cs="Arial"/>
          </w:rPr>
          <w:t>order</w:t>
        </w:r>
      </w:hyperlink>
      <w:r w:rsidRPr="3A5A0E67">
        <w:rPr>
          <w:rFonts w:ascii="Arial" w:hAnsi="Arial" w:cs="Arial"/>
        </w:rPr>
        <w:t xml:space="preserve"> for </w:t>
      </w:r>
      <w:hyperlink r:id="rId13">
        <w:r w:rsidRPr="3A5A0E67">
          <w:rPr>
            <w:rFonts w:ascii="Arial" w:hAnsi="Arial" w:cs="Arial"/>
          </w:rPr>
          <w:t>costs</w:t>
        </w:r>
      </w:hyperlink>
      <w:r w:rsidRPr="3A5A0E67">
        <w:rPr>
          <w:rFonts w:ascii="Arial" w:hAnsi="Arial" w:cs="Arial"/>
        </w:rPr>
        <w:t xml:space="preserve"> is made on an interlocutory application or hearing, the </w:t>
      </w:r>
      <w:hyperlink r:id="rId14">
        <w:r w:rsidRPr="3A5A0E67">
          <w:rPr>
            <w:rFonts w:ascii="Arial" w:hAnsi="Arial" w:cs="Arial"/>
          </w:rPr>
          <w:t>party</w:t>
        </w:r>
      </w:hyperlink>
      <w:r w:rsidRPr="3A5A0E67">
        <w:rPr>
          <w:rFonts w:ascii="Arial" w:hAnsi="Arial" w:cs="Arial"/>
        </w:rPr>
        <w:t xml:space="preserve"> in whose favour the </w:t>
      </w:r>
      <w:hyperlink r:id="rId15">
        <w:r w:rsidRPr="3A5A0E67">
          <w:rPr>
            <w:rFonts w:ascii="Arial" w:hAnsi="Arial" w:cs="Arial"/>
          </w:rPr>
          <w:t>order</w:t>
        </w:r>
      </w:hyperlink>
      <w:r w:rsidRPr="3A5A0E67">
        <w:rPr>
          <w:rFonts w:ascii="Arial" w:hAnsi="Arial" w:cs="Arial"/>
        </w:rPr>
        <w:t xml:space="preserve"> is made shall not tax those </w:t>
      </w:r>
      <w:hyperlink r:id="rId16">
        <w:r w:rsidRPr="3A5A0E67">
          <w:rPr>
            <w:rFonts w:ascii="Arial" w:hAnsi="Arial" w:cs="Arial"/>
          </w:rPr>
          <w:t>costs</w:t>
        </w:r>
      </w:hyperlink>
      <w:r w:rsidRPr="3A5A0E67">
        <w:rPr>
          <w:rFonts w:ascii="Arial" w:hAnsi="Arial" w:cs="Arial"/>
        </w:rPr>
        <w:t xml:space="preserve"> until the </w:t>
      </w:r>
      <w:hyperlink r:id="rId17">
        <w:r w:rsidRPr="3A5A0E67">
          <w:rPr>
            <w:rFonts w:ascii="Arial" w:hAnsi="Arial" w:cs="Arial"/>
          </w:rPr>
          <w:t>proceeding</w:t>
        </w:r>
      </w:hyperlink>
      <w:r w:rsidRPr="3A5A0E67">
        <w:rPr>
          <w:rFonts w:ascii="Arial" w:hAnsi="Arial" w:cs="Arial"/>
        </w:rPr>
        <w:t xml:space="preserve"> in which the </w:t>
      </w:r>
      <w:hyperlink r:id="rId18">
        <w:r w:rsidRPr="3A5A0E67">
          <w:rPr>
            <w:rFonts w:ascii="Arial" w:hAnsi="Arial" w:cs="Arial"/>
          </w:rPr>
          <w:t>order</w:t>
        </w:r>
      </w:hyperlink>
      <w:r w:rsidRPr="3A5A0E67">
        <w:rPr>
          <w:rFonts w:ascii="Arial" w:hAnsi="Arial" w:cs="Arial"/>
        </w:rPr>
        <w:t xml:space="preserve"> is made is completed, unless the Court </w:t>
      </w:r>
      <w:hyperlink r:id="rId19">
        <w:r w:rsidRPr="3A5A0E67">
          <w:rPr>
            <w:rFonts w:ascii="Arial" w:hAnsi="Arial" w:cs="Arial"/>
          </w:rPr>
          <w:t>orders</w:t>
        </w:r>
      </w:hyperlink>
      <w:r w:rsidRPr="3A5A0E67">
        <w:rPr>
          <w:rFonts w:ascii="Arial" w:hAnsi="Arial" w:cs="Arial"/>
        </w:rPr>
        <w:t xml:space="preserve"> that the </w:t>
      </w:r>
      <w:hyperlink r:id="rId20">
        <w:r w:rsidRPr="3A5A0E67">
          <w:rPr>
            <w:rFonts w:ascii="Arial" w:hAnsi="Arial" w:cs="Arial"/>
          </w:rPr>
          <w:t>costs</w:t>
        </w:r>
      </w:hyperlink>
      <w:r w:rsidRPr="3A5A0E67">
        <w:rPr>
          <w:rFonts w:ascii="Arial" w:hAnsi="Arial" w:cs="Arial"/>
        </w:rPr>
        <w:t xml:space="preserve"> may be taxed immediately.</w:t>
      </w:r>
    </w:p>
    <w:p w14:paraId="62CB0C0E" w14:textId="77777777" w:rsidR="0047018D" w:rsidRDefault="0047018D" w:rsidP="0047018D">
      <w:pPr>
        <w:pStyle w:val="ListParagraph"/>
        <w:numPr>
          <w:ilvl w:val="0"/>
          <w:numId w:val="1"/>
        </w:numPr>
        <w:spacing w:after="240" w:line="480" w:lineRule="atLeast"/>
        <w:ind w:left="720" w:hanging="720"/>
        <w:jc w:val="both"/>
        <w:rPr>
          <w:rFonts w:ascii="Arial" w:hAnsi="Arial" w:cs="Arial"/>
          <w:lang w:val="en-AU"/>
        </w:rPr>
      </w:pPr>
      <w:r>
        <w:rPr>
          <w:rFonts w:ascii="Arial" w:hAnsi="Arial" w:cs="Arial"/>
          <w:lang w:val="en-AU"/>
        </w:rPr>
        <w:t>That is, the presumption is that costs are not to be taxed immediately.  Again, the Court retains a discretion to order otherwise.</w:t>
      </w:r>
      <w:r w:rsidRPr="00AE03D2">
        <w:rPr>
          <w:rStyle w:val="FootnoteReference"/>
          <w:rFonts w:ascii="Arial" w:hAnsi="Arial" w:cs="Arial"/>
          <w:lang w:val="en-AU"/>
        </w:rPr>
        <w:footnoteReference w:id="20"/>
      </w:r>
      <w:r>
        <w:rPr>
          <w:rFonts w:ascii="Arial" w:hAnsi="Arial" w:cs="Arial"/>
          <w:lang w:val="en-AU"/>
        </w:rPr>
        <w:t xml:space="preserve">  </w:t>
      </w:r>
    </w:p>
    <w:p w14:paraId="74FFD7B7" w14:textId="77777777" w:rsidR="00F92EA2" w:rsidRPr="00F92EA2" w:rsidRDefault="00F92EA2" w:rsidP="00621FC7">
      <w:pPr>
        <w:pStyle w:val="ListParagraph"/>
        <w:keepNext/>
        <w:spacing w:before="480" w:line="480" w:lineRule="atLeast"/>
        <w:contextualSpacing w:val="0"/>
        <w:jc w:val="both"/>
        <w:rPr>
          <w:rFonts w:ascii="Arial" w:hAnsi="Arial" w:cs="Arial"/>
          <w:bCs/>
          <w:i/>
          <w:lang w:val="en-AU"/>
        </w:rPr>
      </w:pPr>
      <w:r w:rsidRPr="00F92EA2">
        <w:rPr>
          <w:rFonts w:ascii="Arial" w:hAnsi="Arial" w:cs="Arial"/>
          <w:bCs/>
          <w:i/>
          <w:lang w:val="en-AU"/>
        </w:rPr>
        <w:lastRenderedPageBreak/>
        <w:t>Presumption: party seeking time extension pays costs</w:t>
      </w:r>
    </w:p>
    <w:p w14:paraId="16038A88" w14:textId="77777777" w:rsidR="00F92EA2" w:rsidRDefault="00F92EA2" w:rsidP="00F92EA2">
      <w:pPr>
        <w:pStyle w:val="ListParagraph"/>
        <w:numPr>
          <w:ilvl w:val="0"/>
          <w:numId w:val="1"/>
        </w:numPr>
        <w:spacing w:after="240" w:line="480" w:lineRule="atLeast"/>
        <w:ind w:left="720" w:hanging="720"/>
        <w:jc w:val="both"/>
        <w:rPr>
          <w:rFonts w:ascii="Arial" w:hAnsi="Arial" w:cs="Arial"/>
          <w:lang w:val="en-AU"/>
        </w:rPr>
      </w:pPr>
      <w:r w:rsidRPr="00F92EA2">
        <w:rPr>
          <w:rFonts w:ascii="Arial" w:hAnsi="Arial" w:cs="Arial"/>
          <w:lang w:val="en-AU"/>
        </w:rPr>
        <w:t>Ano</w:t>
      </w:r>
      <w:r>
        <w:rPr>
          <w:rFonts w:ascii="Arial" w:hAnsi="Arial" w:cs="Arial"/>
          <w:lang w:val="en-AU"/>
        </w:rPr>
        <w:t>ther presumption is that the party applying for an extension or abridgement of time fixed by the Rules or an order,  pay</w:t>
      </w:r>
      <w:r w:rsidR="00E571BF">
        <w:rPr>
          <w:rFonts w:ascii="Arial" w:hAnsi="Arial" w:cs="Arial"/>
          <w:lang w:val="en-AU"/>
        </w:rPr>
        <w:t>s</w:t>
      </w:r>
      <w:r>
        <w:rPr>
          <w:rFonts w:ascii="Arial" w:hAnsi="Arial" w:cs="Arial"/>
          <w:lang w:val="en-AU"/>
        </w:rPr>
        <w:t xml:space="preserve"> the other party’s costs of and occasioned by the application.  Rule 63.14 states:</w:t>
      </w:r>
    </w:p>
    <w:p w14:paraId="20E65169" w14:textId="77777777" w:rsidR="00BA2A6F" w:rsidRPr="00BA2A6F" w:rsidRDefault="00BA2A6F" w:rsidP="00F92EA2">
      <w:pPr>
        <w:spacing w:after="120" w:line="240" w:lineRule="atLeast"/>
        <w:ind w:left="1440"/>
        <w:jc w:val="both"/>
        <w:rPr>
          <w:rFonts w:ascii="Arial" w:hAnsi="Arial" w:cs="Arial"/>
          <w:b/>
          <w:bCs/>
        </w:rPr>
      </w:pPr>
      <w:r w:rsidRPr="00BA2A6F">
        <w:rPr>
          <w:rFonts w:ascii="Arial" w:hAnsi="Arial" w:cs="Arial"/>
          <w:b/>
          <w:bCs/>
        </w:rPr>
        <w:t>63.14 Extension or abridgement of time</w:t>
      </w:r>
    </w:p>
    <w:p w14:paraId="3ECDDFFE" w14:textId="77777777" w:rsidR="00F92EA2" w:rsidRDefault="00F92EA2" w:rsidP="00F92EA2">
      <w:pPr>
        <w:spacing w:after="120" w:line="240" w:lineRule="atLeast"/>
        <w:ind w:left="1440"/>
        <w:jc w:val="both"/>
        <w:rPr>
          <w:rFonts w:ascii="Arial" w:hAnsi="Arial" w:cs="Arial"/>
        </w:rPr>
      </w:pPr>
      <w:r>
        <w:rPr>
          <w:rFonts w:ascii="Arial" w:hAnsi="Arial" w:cs="Arial"/>
        </w:rPr>
        <w:t>Where a party applies for an extension or abridgement of any time fixed by these Rules or by any order fixing, extending or abridging time, that party shall, unless the Court otherwise orders, pay the costs of an</w:t>
      </w:r>
      <w:r w:rsidR="00137582">
        <w:rPr>
          <w:rFonts w:ascii="Arial" w:hAnsi="Arial" w:cs="Arial"/>
        </w:rPr>
        <w:t>d</w:t>
      </w:r>
      <w:r>
        <w:rPr>
          <w:rFonts w:ascii="Arial" w:hAnsi="Arial" w:cs="Arial"/>
        </w:rPr>
        <w:t xml:space="preserve"> occasioned by the application.</w:t>
      </w:r>
    </w:p>
    <w:p w14:paraId="7B16EB9C" w14:textId="77777777" w:rsidR="00E92486" w:rsidRDefault="00E92486" w:rsidP="00E92486">
      <w:pPr>
        <w:pStyle w:val="ListParagraph"/>
        <w:numPr>
          <w:ilvl w:val="0"/>
          <w:numId w:val="1"/>
        </w:numPr>
        <w:spacing w:after="240" w:line="480" w:lineRule="atLeast"/>
        <w:ind w:left="720" w:hanging="720"/>
        <w:jc w:val="both"/>
        <w:rPr>
          <w:rFonts w:ascii="Arial" w:hAnsi="Arial" w:cs="Arial"/>
          <w:lang w:val="en-AU"/>
        </w:rPr>
      </w:pPr>
      <w:r w:rsidRPr="00E92486">
        <w:rPr>
          <w:rFonts w:ascii="Arial" w:hAnsi="Arial" w:cs="Arial"/>
          <w:lang w:val="en-AU"/>
        </w:rPr>
        <w:t xml:space="preserve">Of course, in practice, and consistently </w:t>
      </w:r>
      <w:r w:rsidR="00E571BF">
        <w:rPr>
          <w:rFonts w:ascii="Arial" w:hAnsi="Arial" w:cs="Arial"/>
          <w:lang w:val="en-AU"/>
        </w:rPr>
        <w:t xml:space="preserve">with </w:t>
      </w:r>
      <w:r w:rsidRPr="00E92486">
        <w:rPr>
          <w:rFonts w:ascii="Arial" w:hAnsi="Arial" w:cs="Arial"/>
          <w:lang w:val="en-AU"/>
        </w:rPr>
        <w:t>parties’ obligations under the CPA, the experience in our List is parties usually come to an agreement about applicable time frames so as to minimise costs.</w:t>
      </w:r>
      <w:r>
        <w:rPr>
          <w:rFonts w:ascii="Arial" w:hAnsi="Arial" w:cs="Arial"/>
          <w:lang w:val="en-AU"/>
        </w:rPr>
        <w:t xml:space="preserve">  Providing there is good reason for the extension, these consent orders are usually made ‘on the papers’.</w:t>
      </w:r>
    </w:p>
    <w:p w14:paraId="3959C5CB" w14:textId="77777777" w:rsidR="006A0569" w:rsidRPr="006A0569" w:rsidRDefault="006A0569" w:rsidP="00B14C09">
      <w:pPr>
        <w:pStyle w:val="ListParagraph"/>
        <w:keepNext/>
        <w:spacing w:before="480" w:line="480" w:lineRule="atLeast"/>
        <w:contextualSpacing w:val="0"/>
        <w:jc w:val="both"/>
        <w:rPr>
          <w:rFonts w:ascii="Arial" w:hAnsi="Arial" w:cs="Arial"/>
          <w:bCs/>
          <w:i/>
          <w:lang w:val="en-AU"/>
        </w:rPr>
      </w:pPr>
      <w:r w:rsidRPr="00F92EA2">
        <w:rPr>
          <w:rFonts w:ascii="Arial" w:hAnsi="Arial" w:cs="Arial"/>
          <w:bCs/>
          <w:i/>
          <w:lang w:val="en-AU"/>
        </w:rPr>
        <w:t xml:space="preserve">Presumption: party </w:t>
      </w:r>
      <w:r>
        <w:rPr>
          <w:rFonts w:ascii="Arial" w:hAnsi="Arial" w:cs="Arial"/>
          <w:bCs/>
          <w:i/>
          <w:lang w:val="en-AU"/>
        </w:rPr>
        <w:t xml:space="preserve">that discontinues / withdraws </w:t>
      </w:r>
      <w:r w:rsidRPr="00F92EA2">
        <w:rPr>
          <w:rFonts w:ascii="Arial" w:hAnsi="Arial" w:cs="Arial"/>
          <w:bCs/>
          <w:i/>
          <w:lang w:val="en-AU"/>
        </w:rPr>
        <w:t>pays costs</w:t>
      </w:r>
    </w:p>
    <w:p w14:paraId="4405DBFB" w14:textId="77777777" w:rsidR="006A0569" w:rsidRDefault="006A0569" w:rsidP="006A0569">
      <w:pPr>
        <w:pStyle w:val="ListParagraph"/>
        <w:numPr>
          <w:ilvl w:val="0"/>
          <w:numId w:val="1"/>
        </w:numPr>
        <w:spacing w:after="240" w:line="480" w:lineRule="atLeast"/>
        <w:ind w:left="720" w:hanging="720"/>
        <w:jc w:val="both"/>
        <w:rPr>
          <w:rFonts w:ascii="Arial" w:hAnsi="Arial" w:cs="Arial"/>
          <w:lang w:val="en-AU"/>
        </w:rPr>
      </w:pPr>
      <w:r w:rsidRPr="3A5A0E67">
        <w:rPr>
          <w:rFonts w:ascii="Arial" w:hAnsi="Arial" w:cs="Arial"/>
          <w:lang w:val="en-AU"/>
        </w:rPr>
        <w:t>For completeness, there is a long established presumption that arises in the event of discontinuance or withdrawal.  That is, that a party who discontinues shall pay the costs of the other party</w:t>
      </w:r>
      <w:r>
        <w:rPr>
          <w:rFonts w:ascii="Arial" w:hAnsi="Arial" w:cs="Arial"/>
          <w:lang w:val="en-AU"/>
        </w:rPr>
        <w:t xml:space="preserve">. </w:t>
      </w:r>
      <w:r w:rsidRPr="3A5A0E67">
        <w:rPr>
          <w:rFonts w:ascii="Arial" w:hAnsi="Arial" w:cs="Arial"/>
          <w:lang w:val="en-AU"/>
        </w:rPr>
        <w:t xml:space="preserve"> It is reflected in r 63.15: </w:t>
      </w:r>
    </w:p>
    <w:p w14:paraId="2FD500DB" w14:textId="77777777" w:rsidR="006A0569" w:rsidRPr="00275E33" w:rsidRDefault="006A0569" w:rsidP="006A0569">
      <w:pPr>
        <w:pStyle w:val="Heading1"/>
        <w:keepNext/>
        <w:keepLines/>
        <w:spacing w:line="240" w:lineRule="atLeast"/>
        <w:ind w:left="1440" w:firstLine="0"/>
        <w:rPr>
          <w:rFonts w:ascii="Arial" w:hAnsi="Arial" w:cs="Arial"/>
          <w:sz w:val="22"/>
          <w:szCs w:val="22"/>
        </w:rPr>
      </w:pPr>
      <w:r>
        <w:rPr>
          <w:rFonts w:ascii="Arial" w:hAnsi="Arial" w:cs="Arial"/>
          <w:sz w:val="22"/>
          <w:szCs w:val="22"/>
        </w:rPr>
        <w:t xml:space="preserve">Unless the Court otherwise orders, a party who discontinues or withdraws part of a </w:t>
      </w:r>
      <w:r w:rsidRPr="00275E33">
        <w:rPr>
          <w:rFonts w:ascii="Arial" w:hAnsi="Arial" w:cs="Courier New"/>
          <w:sz w:val="22"/>
          <w:szCs w:val="24"/>
        </w:rPr>
        <w:t>proceeding</w:t>
      </w:r>
      <w:r>
        <w:rPr>
          <w:rFonts w:ascii="Arial" w:hAnsi="Arial" w:cs="Courier New"/>
          <w:sz w:val="22"/>
          <w:szCs w:val="24"/>
        </w:rPr>
        <w:t>, counterclaim or claim by third party notice shall pay the costs of the party to whom the discontinuance or withdrawal relates to the time of the discontinuance or withdrawal.</w:t>
      </w:r>
    </w:p>
    <w:p w14:paraId="198E8EC7" w14:textId="77777777" w:rsidR="006A0569" w:rsidRPr="00F92EA2" w:rsidRDefault="006A0569" w:rsidP="00E92486">
      <w:pPr>
        <w:pStyle w:val="ListParagraph"/>
        <w:numPr>
          <w:ilvl w:val="0"/>
          <w:numId w:val="1"/>
        </w:numPr>
        <w:spacing w:after="240" w:line="480" w:lineRule="atLeast"/>
        <w:ind w:left="720" w:hanging="720"/>
        <w:jc w:val="both"/>
        <w:rPr>
          <w:rFonts w:ascii="Arial" w:hAnsi="Arial" w:cs="Arial"/>
          <w:lang w:val="en-AU"/>
        </w:rPr>
      </w:pPr>
      <w:r>
        <w:rPr>
          <w:rFonts w:ascii="Arial" w:hAnsi="Arial" w:cs="Arial"/>
          <w:lang w:val="en-AU"/>
        </w:rPr>
        <w:t>To date, unilateral withdrawal or discontinuance in our List has been rare.  Discontinuance usually occurs after settlement.</w:t>
      </w:r>
    </w:p>
    <w:p w14:paraId="0D082B22" w14:textId="77777777" w:rsidR="00907BBA" w:rsidRPr="00907BBA" w:rsidRDefault="3A5A0E67" w:rsidP="00621FC7">
      <w:pPr>
        <w:pStyle w:val="ListParagraph"/>
        <w:keepNext/>
        <w:spacing w:before="480" w:line="480" w:lineRule="atLeast"/>
        <w:contextualSpacing w:val="0"/>
        <w:jc w:val="both"/>
        <w:rPr>
          <w:rFonts w:ascii="Arial" w:hAnsi="Arial" w:cs="Arial"/>
          <w:b/>
          <w:bCs/>
          <w:lang w:val="en-AU"/>
        </w:rPr>
      </w:pPr>
      <w:r w:rsidRPr="3A5A0E67">
        <w:rPr>
          <w:rFonts w:ascii="Arial" w:hAnsi="Arial" w:cs="Arial"/>
          <w:b/>
          <w:bCs/>
          <w:lang w:val="en-AU"/>
        </w:rPr>
        <w:t>Costs orders and Interlocutory Injunctions</w:t>
      </w:r>
    </w:p>
    <w:p w14:paraId="0D6B6BBB" w14:textId="77777777" w:rsidR="00903B70" w:rsidRDefault="3A5A0E67" w:rsidP="3A5A0E67">
      <w:pPr>
        <w:pStyle w:val="ListParagraph"/>
        <w:numPr>
          <w:ilvl w:val="0"/>
          <w:numId w:val="1"/>
        </w:numPr>
        <w:spacing w:after="240" w:line="480" w:lineRule="atLeast"/>
        <w:ind w:left="720" w:hanging="720"/>
        <w:jc w:val="both"/>
        <w:rPr>
          <w:rFonts w:ascii="Arial" w:hAnsi="Arial" w:cs="Arial"/>
          <w:lang w:val="en-AU"/>
        </w:rPr>
      </w:pPr>
      <w:r w:rsidRPr="3A5A0E67">
        <w:rPr>
          <w:rFonts w:ascii="Arial" w:hAnsi="Arial" w:cs="Arial"/>
          <w:lang w:val="en-AU"/>
        </w:rPr>
        <w:t xml:space="preserve">Proceedings in the List regularly begin with an application for an interlocutory injunction being filed with, or soon after, the originating process.  </w:t>
      </w:r>
    </w:p>
    <w:p w14:paraId="6D109722" w14:textId="77777777" w:rsidR="00EF545D" w:rsidRPr="00903B70" w:rsidRDefault="006A0569" w:rsidP="3A5A0E67">
      <w:pPr>
        <w:pStyle w:val="ListParagraph"/>
        <w:numPr>
          <w:ilvl w:val="0"/>
          <w:numId w:val="1"/>
        </w:numPr>
        <w:spacing w:after="240" w:line="480" w:lineRule="atLeast"/>
        <w:ind w:left="720" w:hanging="720"/>
        <w:contextualSpacing w:val="0"/>
        <w:jc w:val="both"/>
        <w:rPr>
          <w:rFonts w:ascii="Arial" w:hAnsi="Arial" w:cs="Arial"/>
          <w:lang w:val="en-AU"/>
        </w:rPr>
      </w:pPr>
      <w:r>
        <w:rPr>
          <w:rFonts w:ascii="Arial" w:hAnsi="Arial" w:cs="Arial"/>
          <w:lang w:val="en-AU"/>
        </w:rPr>
        <w:t xml:space="preserve">There may be </w:t>
      </w:r>
      <w:r w:rsidR="3A5A0E67" w:rsidRPr="3A5A0E67">
        <w:rPr>
          <w:rFonts w:ascii="Arial" w:hAnsi="Arial" w:cs="Arial"/>
          <w:lang w:val="en-AU"/>
        </w:rPr>
        <w:t>a series of applications for interlocutory injunctions.  Rule 63.19 of the Rules deals specifically with that situation.  It states:</w:t>
      </w:r>
    </w:p>
    <w:p w14:paraId="3082E804" w14:textId="77777777" w:rsidR="00EF545D" w:rsidRPr="00275E33" w:rsidRDefault="3A5A0E67" w:rsidP="3A5A0E67">
      <w:pPr>
        <w:pStyle w:val="ListParagraph"/>
        <w:spacing w:after="240" w:line="240" w:lineRule="atLeast"/>
        <w:ind w:left="1440"/>
        <w:contextualSpacing w:val="0"/>
        <w:jc w:val="both"/>
        <w:rPr>
          <w:rFonts w:ascii="Arial" w:hAnsi="Arial" w:cs="Arial"/>
          <w:sz w:val="22"/>
          <w:lang w:val="en-AU"/>
        </w:rPr>
      </w:pPr>
      <w:r w:rsidRPr="00275E33">
        <w:rPr>
          <w:rFonts w:ascii="Arial" w:hAnsi="Arial" w:cs="Arial"/>
          <w:sz w:val="22"/>
          <w:lang w:val="en-AU"/>
        </w:rPr>
        <w:t xml:space="preserve">Where the Court grants an interlocutory injunction and afterwards grants a further interlocutory injunction continuing the first injunction with or without </w:t>
      </w:r>
      <w:r w:rsidRPr="00275E33">
        <w:rPr>
          <w:rFonts w:ascii="Arial" w:hAnsi="Arial" w:cs="Arial"/>
          <w:sz w:val="22"/>
          <w:lang w:val="en-AU"/>
        </w:rPr>
        <w:lastRenderedPageBreak/>
        <w:t>modification, an order as to the costs of the further injunction shall, unless the Court otherwise orders, include the costs of the first injunction.</w:t>
      </w:r>
    </w:p>
    <w:p w14:paraId="290BB440" w14:textId="77777777" w:rsidR="00AF2592" w:rsidRDefault="3A5A0E67" w:rsidP="00AF2592">
      <w:pPr>
        <w:pStyle w:val="ListParagraph"/>
        <w:numPr>
          <w:ilvl w:val="0"/>
          <w:numId w:val="1"/>
        </w:numPr>
        <w:spacing w:after="240" w:line="480" w:lineRule="atLeast"/>
        <w:ind w:left="720" w:hanging="720"/>
        <w:contextualSpacing w:val="0"/>
        <w:jc w:val="both"/>
        <w:rPr>
          <w:rFonts w:ascii="Arial" w:hAnsi="Arial" w:cs="Arial"/>
          <w:lang w:val="en-AU"/>
        </w:rPr>
      </w:pPr>
      <w:r w:rsidRPr="3A5A0E67">
        <w:rPr>
          <w:rFonts w:ascii="Arial" w:hAnsi="Arial" w:cs="Arial"/>
          <w:lang w:val="en-AU"/>
        </w:rPr>
        <w:t xml:space="preserve">Accordingly, the presumption is that where a second or subsequent interlocutory injunction continues the first injunction (with or without modification), the costs of that subsequent injunction include the costs of the first injunction.  </w:t>
      </w:r>
    </w:p>
    <w:p w14:paraId="410ECA13" w14:textId="77777777" w:rsidR="00F50A1A" w:rsidRDefault="00772C1C" w:rsidP="3A5A0E67">
      <w:pPr>
        <w:pStyle w:val="ListParagraph"/>
        <w:numPr>
          <w:ilvl w:val="0"/>
          <w:numId w:val="1"/>
        </w:numPr>
        <w:spacing w:after="240" w:line="480" w:lineRule="atLeast"/>
        <w:ind w:left="720" w:hanging="720"/>
        <w:jc w:val="both"/>
        <w:rPr>
          <w:rFonts w:ascii="Arial" w:hAnsi="Arial" w:cs="Arial"/>
          <w:lang w:val="en-AU"/>
        </w:rPr>
      </w:pPr>
      <w:r>
        <w:rPr>
          <w:rFonts w:ascii="Arial" w:hAnsi="Arial" w:cs="Arial"/>
          <w:lang w:val="en-AU"/>
        </w:rPr>
        <w:t>A</w:t>
      </w:r>
      <w:r w:rsidR="006E519D">
        <w:rPr>
          <w:rFonts w:ascii="Arial" w:hAnsi="Arial" w:cs="Arial"/>
          <w:lang w:val="en-AU"/>
        </w:rPr>
        <w:t xml:space="preserve">nother issue which arises is where costs in an interlocutory application </w:t>
      </w:r>
      <w:r w:rsidR="006E74A4">
        <w:rPr>
          <w:rFonts w:ascii="Arial" w:hAnsi="Arial" w:cs="Arial"/>
          <w:lang w:val="en-AU"/>
        </w:rPr>
        <w:t>are</w:t>
      </w:r>
      <w:r w:rsidR="006E519D">
        <w:rPr>
          <w:rFonts w:ascii="Arial" w:hAnsi="Arial" w:cs="Arial"/>
          <w:lang w:val="en-AU"/>
        </w:rPr>
        <w:t xml:space="preserve"> reserved</w:t>
      </w:r>
      <w:r w:rsidR="006E74A4">
        <w:rPr>
          <w:rFonts w:ascii="Arial" w:hAnsi="Arial" w:cs="Arial"/>
          <w:lang w:val="en-AU"/>
        </w:rPr>
        <w:t>,</w:t>
      </w:r>
      <w:r w:rsidR="006E519D">
        <w:rPr>
          <w:rFonts w:ascii="Arial" w:hAnsi="Arial" w:cs="Arial"/>
          <w:lang w:val="en-AU"/>
        </w:rPr>
        <w:t xml:space="preserve"> and the </w:t>
      </w:r>
      <w:r w:rsidR="006E519D" w:rsidRPr="006E519D">
        <w:rPr>
          <w:rFonts w:ascii="Arial" w:hAnsi="Arial" w:cs="Arial"/>
          <w:lang w:val="en-AU"/>
        </w:rPr>
        <w:t>plaintiff</w:t>
      </w:r>
      <w:r w:rsidR="006E519D">
        <w:rPr>
          <w:rFonts w:ascii="Arial" w:hAnsi="Arial" w:cs="Arial"/>
          <w:lang w:val="en-AU"/>
        </w:rPr>
        <w:t xml:space="preserve"> obtains an interlocutory injunction</w:t>
      </w:r>
      <w:r w:rsidR="006E74A4">
        <w:rPr>
          <w:rFonts w:ascii="Arial" w:hAnsi="Arial" w:cs="Arial"/>
          <w:lang w:val="en-AU"/>
        </w:rPr>
        <w:t>,</w:t>
      </w:r>
      <w:r w:rsidR="006E519D">
        <w:rPr>
          <w:rFonts w:ascii="Arial" w:hAnsi="Arial" w:cs="Arial"/>
          <w:lang w:val="en-AU"/>
        </w:rPr>
        <w:t xml:space="preserve"> but is ultimately unsuccessful at trial.  This issue arose in</w:t>
      </w:r>
      <w:r w:rsidR="00081B6E" w:rsidRPr="00081B6E">
        <w:rPr>
          <w:rFonts w:ascii="Arial" w:hAnsi="Arial" w:cs="Arial"/>
          <w:lang w:val="en-AU"/>
        </w:rPr>
        <w:t xml:space="preserve"> </w:t>
      </w:r>
      <w:r w:rsidR="00081B6E" w:rsidRPr="3A5A0E67">
        <w:rPr>
          <w:rFonts w:ascii="Arial" w:hAnsi="Arial" w:cs="Arial"/>
          <w:i/>
          <w:iCs/>
          <w:lang w:val="en-AU"/>
        </w:rPr>
        <w:t>Crowe Horwath (Aust) Pty Ltd v Loone (No 4)</w:t>
      </w:r>
      <w:r w:rsidR="00275E33">
        <w:rPr>
          <w:rFonts w:ascii="Arial" w:hAnsi="Arial" w:cs="Arial"/>
          <w:iCs/>
          <w:lang w:val="en-AU"/>
        </w:rPr>
        <w:t>.</w:t>
      </w:r>
      <w:r w:rsidR="006E519D" w:rsidRPr="00275E33">
        <w:rPr>
          <w:rStyle w:val="FootnoteReference"/>
          <w:rFonts w:ascii="Arial" w:hAnsi="Arial" w:cs="Arial"/>
          <w:iCs/>
          <w:lang w:val="en-AU"/>
        </w:rPr>
        <w:footnoteReference w:id="21"/>
      </w:r>
      <w:r w:rsidR="00081B6E" w:rsidRPr="00081B6E">
        <w:rPr>
          <w:rFonts w:ascii="Arial" w:hAnsi="Arial" w:cs="Arial"/>
          <w:lang w:val="en-AU"/>
        </w:rPr>
        <w:t xml:space="preserve">  </w:t>
      </w:r>
      <w:r w:rsidR="006E519D">
        <w:rPr>
          <w:rFonts w:ascii="Arial" w:hAnsi="Arial" w:cs="Arial"/>
          <w:lang w:val="en-AU"/>
        </w:rPr>
        <w:t>McDonald J</w:t>
      </w:r>
      <w:r w:rsidR="00CB0BC0">
        <w:rPr>
          <w:rFonts w:ascii="Arial" w:hAnsi="Arial" w:cs="Arial"/>
          <w:lang w:val="en-AU"/>
        </w:rPr>
        <w:t xml:space="preserve"> held </w:t>
      </w:r>
      <w:r w:rsidR="006E519D">
        <w:rPr>
          <w:rFonts w:ascii="Arial" w:hAnsi="Arial" w:cs="Arial"/>
          <w:lang w:val="en-AU"/>
        </w:rPr>
        <w:t xml:space="preserve">(at [6]) </w:t>
      </w:r>
      <w:r w:rsidR="00CB0BC0">
        <w:rPr>
          <w:rFonts w:ascii="Arial" w:hAnsi="Arial" w:cs="Arial"/>
          <w:lang w:val="en-AU"/>
        </w:rPr>
        <w:t>that the defendant was entitled to an order that the plaintiff pay his costs</w:t>
      </w:r>
      <w:r w:rsidR="006E74A4">
        <w:rPr>
          <w:rFonts w:ascii="Arial" w:hAnsi="Arial" w:cs="Arial"/>
          <w:lang w:val="en-AU"/>
        </w:rPr>
        <w:t xml:space="preserve"> in respect of the interlocutory injunction application</w:t>
      </w:r>
      <w:r w:rsidR="00CB0BC0">
        <w:rPr>
          <w:rFonts w:ascii="Arial" w:hAnsi="Arial" w:cs="Arial"/>
          <w:lang w:val="en-AU"/>
        </w:rPr>
        <w:t>.</w:t>
      </w:r>
    </w:p>
    <w:p w14:paraId="6F6B1809" w14:textId="77777777" w:rsidR="006E519D" w:rsidRPr="004D2ABC" w:rsidRDefault="3A5A0E67" w:rsidP="00275E33">
      <w:pPr>
        <w:pStyle w:val="Heading1"/>
        <w:spacing w:line="240" w:lineRule="atLeast"/>
        <w:ind w:left="1440" w:firstLine="0"/>
        <w:rPr>
          <w:rFonts w:ascii="Arial" w:hAnsi="Arial" w:cs="Arial"/>
          <w:sz w:val="22"/>
          <w:szCs w:val="22"/>
        </w:rPr>
      </w:pPr>
      <w:r w:rsidRPr="3A5A0E67">
        <w:rPr>
          <w:rFonts w:ascii="Arial" w:hAnsi="Arial" w:cs="Arial"/>
          <w:sz w:val="22"/>
          <w:szCs w:val="22"/>
        </w:rPr>
        <w:t>The fact that [the plaintiff] obtained an interlocutory injunction is not determinative of who should be liable to pay the costs of the interlocutory proceedings.   Ultimately, [the defendant] succeeded in establishing that [the plaintiff] repudiated his contract with the consequence that the restraint was unenforceable.  Having succeeded on this key issue, [the defendant] established an entitlement to damages for breach of contract.  Costs should follow the event.  Consequently, [the defendant] is entitled to costs in respect of the interlocutory application…</w:t>
      </w:r>
    </w:p>
    <w:p w14:paraId="268FF18F" w14:textId="704FA24F" w:rsidR="00AE03D2" w:rsidRPr="00AE03D2" w:rsidRDefault="0047018D" w:rsidP="00621FC7">
      <w:pPr>
        <w:pStyle w:val="ListParagraph"/>
        <w:spacing w:before="480" w:line="480" w:lineRule="atLeast"/>
        <w:contextualSpacing w:val="0"/>
        <w:jc w:val="both"/>
        <w:rPr>
          <w:rFonts w:ascii="Arial" w:hAnsi="Arial" w:cs="Arial"/>
          <w:b/>
          <w:bCs/>
          <w:lang w:val="en-AU"/>
        </w:rPr>
      </w:pPr>
      <w:r>
        <w:rPr>
          <w:rFonts w:ascii="Arial" w:hAnsi="Arial" w:cs="Arial"/>
          <w:b/>
          <w:bCs/>
          <w:lang w:val="en-AU"/>
        </w:rPr>
        <w:t>Disclosure</w:t>
      </w:r>
      <w:r w:rsidRPr="3A5A0E67">
        <w:rPr>
          <w:rFonts w:ascii="Arial" w:hAnsi="Arial" w:cs="Arial"/>
          <w:b/>
          <w:bCs/>
          <w:lang w:val="en-AU"/>
        </w:rPr>
        <w:t xml:space="preserve"> </w:t>
      </w:r>
      <w:r>
        <w:rPr>
          <w:rFonts w:ascii="Arial" w:hAnsi="Arial" w:cs="Arial"/>
          <w:b/>
          <w:bCs/>
          <w:lang w:val="en-AU"/>
        </w:rPr>
        <w:t xml:space="preserve">of </w:t>
      </w:r>
      <w:r w:rsidR="3A5A0E67" w:rsidRPr="3A5A0E67">
        <w:rPr>
          <w:rFonts w:ascii="Arial" w:hAnsi="Arial" w:cs="Arial"/>
          <w:b/>
          <w:bCs/>
          <w:lang w:val="en-AU"/>
        </w:rPr>
        <w:t xml:space="preserve">Costs </w:t>
      </w:r>
      <w:r>
        <w:rPr>
          <w:rFonts w:ascii="Arial" w:hAnsi="Arial" w:cs="Arial"/>
          <w:b/>
          <w:bCs/>
          <w:lang w:val="en-AU"/>
        </w:rPr>
        <w:t>and</w:t>
      </w:r>
      <w:r w:rsidR="3A5A0E67" w:rsidRPr="3A5A0E67">
        <w:rPr>
          <w:rFonts w:ascii="Arial" w:hAnsi="Arial" w:cs="Arial"/>
          <w:b/>
          <w:bCs/>
          <w:lang w:val="en-AU"/>
        </w:rPr>
        <w:t xml:space="preserve"> Mediation</w:t>
      </w:r>
    </w:p>
    <w:p w14:paraId="7B32C26E" w14:textId="77777777" w:rsidR="00AE03D2" w:rsidRDefault="3A5A0E67" w:rsidP="3A5A0E67">
      <w:pPr>
        <w:pStyle w:val="ListParagraph"/>
        <w:numPr>
          <w:ilvl w:val="0"/>
          <w:numId w:val="1"/>
        </w:numPr>
        <w:spacing w:after="240" w:line="480" w:lineRule="atLeast"/>
        <w:ind w:left="720" w:hanging="720"/>
        <w:jc w:val="both"/>
        <w:rPr>
          <w:rFonts w:ascii="Arial" w:hAnsi="Arial" w:cs="Arial"/>
          <w:lang w:val="en-AU"/>
        </w:rPr>
      </w:pPr>
      <w:r w:rsidRPr="3A5A0E67">
        <w:rPr>
          <w:rFonts w:ascii="Arial" w:hAnsi="Arial" w:cs="Arial"/>
          <w:lang w:val="en-AU"/>
        </w:rPr>
        <w:t xml:space="preserve">On the subject of costs and interlocutory matters, legal practitioners should bear in mind their obligations under section 177 of the Legal Profession Uniform Law, contained in Schedule 1 to the </w:t>
      </w:r>
      <w:r w:rsidRPr="3A5A0E67">
        <w:rPr>
          <w:rFonts w:ascii="Arial" w:hAnsi="Arial" w:cs="Arial"/>
          <w:i/>
          <w:iCs/>
          <w:lang w:val="en-AU"/>
        </w:rPr>
        <w:t>Legal Profession Uniform Law Application Act 2014</w:t>
      </w:r>
      <w:r w:rsidRPr="3A5A0E67">
        <w:rPr>
          <w:rFonts w:ascii="Arial" w:hAnsi="Arial" w:cs="Arial"/>
          <w:lang w:val="en-AU"/>
        </w:rPr>
        <w:t xml:space="preserve"> (Vic).  </w:t>
      </w:r>
    </w:p>
    <w:p w14:paraId="6559F1BE" w14:textId="77777777" w:rsidR="00AC5345" w:rsidRPr="00AC5345" w:rsidRDefault="3A5A0E67" w:rsidP="3A5A0E67">
      <w:pPr>
        <w:spacing w:after="240" w:line="240" w:lineRule="atLeast"/>
        <w:ind w:left="1440"/>
        <w:jc w:val="both"/>
        <w:rPr>
          <w:rFonts w:ascii="Arial" w:hAnsi="Arial" w:cs="Arial"/>
          <w:b/>
          <w:bCs/>
        </w:rPr>
      </w:pPr>
      <w:r w:rsidRPr="3A5A0E67">
        <w:rPr>
          <w:rFonts w:ascii="Arial" w:hAnsi="Arial" w:cs="Arial"/>
          <w:b/>
          <w:bCs/>
        </w:rPr>
        <w:t>177</w:t>
      </w:r>
      <w:r w:rsidR="00621FC7">
        <w:rPr>
          <w:rFonts w:ascii="Arial" w:hAnsi="Arial" w:cs="Arial"/>
          <w:b/>
          <w:bCs/>
        </w:rPr>
        <w:tab/>
      </w:r>
      <w:r w:rsidRPr="3A5A0E67">
        <w:rPr>
          <w:rFonts w:ascii="Arial" w:hAnsi="Arial" w:cs="Arial"/>
          <w:b/>
          <w:bCs/>
        </w:rPr>
        <w:t xml:space="preserve">Disclosure obligations regarding settlement of litigious matters </w:t>
      </w:r>
    </w:p>
    <w:p w14:paraId="469BE28F" w14:textId="77777777" w:rsidR="00AC5345" w:rsidRPr="00AC5345" w:rsidRDefault="3A5A0E67" w:rsidP="00275E33">
      <w:pPr>
        <w:spacing w:after="240" w:line="240" w:lineRule="atLeast"/>
        <w:ind w:left="2160" w:hanging="720"/>
        <w:jc w:val="both"/>
        <w:rPr>
          <w:rFonts w:ascii="Arial" w:hAnsi="Arial" w:cs="Arial"/>
        </w:rPr>
      </w:pPr>
      <w:r w:rsidRPr="3A5A0E67">
        <w:rPr>
          <w:rFonts w:ascii="Arial" w:hAnsi="Arial" w:cs="Arial"/>
        </w:rPr>
        <w:t>(1)</w:t>
      </w:r>
      <w:r w:rsidR="00621FC7">
        <w:rPr>
          <w:rFonts w:ascii="Arial" w:hAnsi="Arial" w:cs="Arial"/>
        </w:rPr>
        <w:tab/>
      </w:r>
      <w:r w:rsidRPr="3A5A0E67">
        <w:rPr>
          <w:rFonts w:ascii="Arial" w:hAnsi="Arial" w:cs="Arial"/>
        </w:rPr>
        <w:t xml:space="preserve">If a law practice negotiates the settlement of a litigious matter on behalf of a client, the law practice must disclose to the client, before the settlement is executed— </w:t>
      </w:r>
    </w:p>
    <w:p w14:paraId="654F6E4D" w14:textId="77777777" w:rsidR="00AC5345" w:rsidRPr="00AC5345" w:rsidRDefault="3A5A0E67" w:rsidP="00275E33">
      <w:pPr>
        <w:spacing w:after="240" w:line="240" w:lineRule="atLeast"/>
        <w:ind w:left="2880" w:hanging="720"/>
        <w:jc w:val="both"/>
        <w:rPr>
          <w:rFonts w:ascii="Arial" w:hAnsi="Arial" w:cs="Arial"/>
        </w:rPr>
      </w:pPr>
      <w:r w:rsidRPr="3A5A0E67">
        <w:rPr>
          <w:rFonts w:ascii="Arial" w:hAnsi="Arial" w:cs="Arial"/>
        </w:rPr>
        <w:lastRenderedPageBreak/>
        <w:t>(a)</w:t>
      </w:r>
      <w:r w:rsidR="00621FC7">
        <w:rPr>
          <w:rFonts w:ascii="Arial" w:hAnsi="Arial" w:cs="Arial"/>
        </w:rPr>
        <w:tab/>
      </w:r>
      <w:r w:rsidRPr="3A5A0E67">
        <w:rPr>
          <w:rFonts w:ascii="Arial" w:hAnsi="Arial" w:cs="Arial"/>
        </w:rPr>
        <w:t xml:space="preserve">a reasonable estimate of the amount of legal costs payable by the client if the matter is settled (including any legal costs of another party that the client is to pay); and </w:t>
      </w:r>
    </w:p>
    <w:p w14:paraId="33475E75" w14:textId="77777777" w:rsidR="00AC5345" w:rsidRPr="00AC5345" w:rsidRDefault="3A5A0E67" w:rsidP="00275E33">
      <w:pPr>
        <w:spacing w:after="240" w:line="240" w:lineRule="atLeast"/>
        <w:ind w:left="2880" w:hanging="720"/>
        <w:jc w:val="both"/>
        <w:rPr>
          <w:rFonts w:ascii="Arial" w:hAnsi="Arial" w:cs="Arial"/>
        </w:rPr>
      </w:pPr>
      <w:r w:rsidRPr="3A5A0E67">
        <w:rPr>
          <w:rFonts w:ascii="Arial" w:hAnsi="Arial" w:cs="Arial"/>
        </w:rPr>
        <w:t>(b</w:t>
      </w:r>
      <w:r w:rsidR="00621FC7">
        <w:rPr>
          <w:rFonts w:ascii="Arial" w:hAnsi="Arial" w:cs="Arial"/>
        </w:rPr>
        <w:t>)</w:t>
      </w:r>
      <w:r w:rsidR="00621FC7">
        <w:rPr>
          <w:rFonts w:ascii="Arial" w:hAnsi="Arial" w:cs="Arial"/>
        </w:rPr>
        <w:tab/>
      </w:r>
      <w:r w:rsidRPr="3A5A0E67">
        <w:rPr>
          <w:rFonts w:ascii="Arial" w:hAnsi="Arial" w:cs="Arial"/>
        </w:rPr>
        <w:t xml:space="preserve">a reasonable estimate of any contributions towards those costs likely to be received from another party. </w:t>
      </w:r>
    </w:p>
    <w:p w14:paraId="53FF8A37" w14:textId="77777777" w:rsidR="00AC5345" w:rsidRPr="00AC5345" w:rsidRDefault="3A5A0E67" w:rsidP="00275E33">
      <w:pPr>
        <w:spacing w:after="240" w:line="240" w:lineRule="atLeast"/>
        <w:ind w:left="2160" w:hanging="720"/>
        <w:jc w:val="both"/>
        <w:rPr>
          <w:rFonts w:ascii="Arial" w:hAnsi="Arial" w:cs="Arial"/>
        </w:rPr>
      </w:pPr>
      <w:r w:rsidRPr="3A5A0E67">
        <w:rPr>
          <w:rFonts w:ascii="Arial" w:hAnsi="Arial" w:cs="Arial"/>
        </w:rPr>
        <w:t>(2)</w:t>
      </w:r>
      <w:r w:rsidR="00275E33">
        <w:rPr>
          <w:rFonts w:ascii="Arial" w:hAnsi="Arial" w:cs="Arial"/>
        </w:rPr>
        <w:tab/>
      </w:r>
      <w:r w:rsidRPr="3A5A0E67">
        <w:rPr>
          <w:rFonts w:ascii="Arial" w:hAnsi="Arial" w:cs="Arial"/>
        </w:rPr>
        <w:t>A law practice retained on behalf of a client by another law practice is not required to make a disclosure to the client under subsection (1), if the other law practice makes the disclosure to the client before the settlement is executed.</w:t>
      </w:r>
    </w:p>
    <w:p w14:paraId="0D664669" w14:textId="77777777" w:rsidR="00AC5345" w:rsidRDefault="3A5A0E67" w:rsidP="3A5A0E67">
      <w:pPr>
        <w:pStyle w:val="ListParagraph"/>
        <w:numPr>
          <w:ilvl w:val="0"/>
          <w:numId w:val="1"/>
        </w:numPr>
        <w:spacing w:after="240" w:line="480" w:lineRule="atLeast"/>
        <w:ind w:left="720" w:hanging="720"/>
        <w:jc w:val="both"/>
        <w:rPr>
          <w:rFonts w:ascii="Arial" w:hAnsi="Arial" w:cs="Arial"/>
          <w:lang w:val="en-AU"/>
        </w:rPr>
      </w:pPr>
      <w:r w:rsidRPr="3A5A0E67">
        <w:rPr>
          <w:rFonts w:ascii="Arial" w:hAnsi="Arial" w:cs="Arial"/>
          <w:lang w:val="en-AU"/>
        </w:rPr>
        <w:t>A regular order contained in referrals to judicial mediation is:</w:t>
      </w:r>
    </w:p>
    <w:p w14:paraId="27A7E93C" w14:textId="77777777" w:rsidR="00AC5345" w:rsidRPr="00AC5345" w:rsidRDefault="3A5A0E67" w:rsidP="00621FC7">
      <w:pPr>
        <w:spacing w:after="240" w:line="240" w:lineRule="atLeast"/>
        <w:ind w:left="1080"/>
        <w:jc w:val="both"/>
        <w:rPr>
          <w:rFonts w:ascii="Arial" w:hAnsi="Arial" w:cs="Arial"/>
        </w:rPr>
      </w:pPr>
      <w:r w:rsidRPr="3A5A0E67">
        <w:rPr>
          <w:rFonts w:ascii="Arial" w:hAnsi="Arial" w:cs="Arial"/>
        </w:rPr>
        <w:t>The legal practitioners for the parties shall provide to the mediator and to each other prior to the commencement of the mediation, a reasonable estimate of:</w:t>
      </w:r>
    </w:p>
    <w:p w14:paraId="6FAB7A63" w14:textId="77777777" w:rsidR="00AC5345" w:rsidRPr="00AC5345" w:rsidRDefault="3A5A0E67" w:rsidP="00621FC7">
      <w:pPr>
        <w:pStyle w:val="ListParagraph"/>
        <w:numPr>
          <w:ilvl w:val="4"/>
          <w:numId w:val="7"/>
        </w:numPr>
        <w:spacing w:after="240" w:line="240" w:lineRule="atLeast"/>
        <w:ind w:hanging="720"/>
        <w:jc w:val="both"/>
        <w:rPr>
          <w:rFonts w:ascii="Arial" w:hAnsi="Arial" w:cs="Arial"/>
          <w:sz w:val="22"/>
          <w:szCs w:val="22"/>
          <w:lang w:val="en-AU"/>
        </w:rPr>
      </w:pPr>
      <w:r w:rsidRPr="3A5A0E67">
        <w:rPr>
          <w:rFonts w:ascii="Arial" w:hAnsi="Arial" w:cs="Arial"/>
          <w:sz w:val="22"/>
          <w:szCs w:val="22"/>
          <w:lang w:val="en-AU"/>
        </w:rPr>
        <w:t>their costs and disbursements on a standard basis in relation to the</w:t>
      </w:r>
      <w:r w:rsidRPr="3A5A0E67">
        <w:rPr>
          <w:rFonts w:ascii="Arial" w:hAnsi="Arial" w:cs="Arial"/>
        </w:rPr>
        <w:t xml:space="preserve"> </w:t>
      </w:r>
      <w:r w:rsidRPr="3A5A0E67">
        <w:rPr>
          <w:rFonts w:ascii="Arial" w:hAnsi="Arial" w:cs="Arial"/>
          <w:sz w:val="22"/>
          <w:szCs w:val="22"/>
          <w:lang w:val="en-AU"/>
        </w:rPr>
        <w:t>proceeding up to and including the mediation;</w:t>
      </w:r>
    </w:p>
    <w:p w14:paraId="20830EC5" w14:textId="77777777" w:rsidR="00AC5345" w:rsidRPr="00AC5345" w:rsidRDefault="3A5A0E67" w:rsidP="00621FC7">
      <w:pPr>
        <w:pStyle w:val="ListParagraph"/>
        <w:numPr>
          <w:ilvl w:val="4"/>
          <w:numId w:val="7"/>
        </w:numPr>
        <w:spacing w:after="240" w:line="240" w:lineRule="atLeast"/>
        <w:ind w:hanging="720"/>
        <w:jc w:val="both"/>
        <w:rPr>
          <w:rFonts w:ascii="Arial" w:hAnsi="Arial" w:cs="Arial"/>
          <w:lang w:val="en-AU"/>
        </w:rPr>
      </w:pPr>
      <w:r w:rsidRPr="3A5A0E67">
        <w:rPr>
          <w:rFonts w:ascii="Arial" w:hAnsi="Arial" w:cs="Arial"/>
          <w:sz w:val="22"/>
          <w:szCs w:val="22"/>
          <w:lang w:val="en-AU"/>
        </w:rPr>
        <w:t>the length of the trial; and</w:t>
      </w:r>
    </w:p>
    <w:p w14:paraId="5EDA5722" w14:textId="77777777" w:rsidR="00AC5345" w:rsidRPr="00AC5345" w:rsidRDefault="3A5A0E67" w:rsidP="00621FC7">
      <w:pPr>
        <w:pStyle w:val="ListParagraph"/>
        <w:numPr>
          <w:ilvl w:val="4"/>
          <w:numId w:val="7"/>
        </w:numPr>
        <w:spacing w:after="240" w:line="240" w:lineRule="atLeast"/>
        <w:ind w:hanging="720"/>
        <w:jc w:val="both"/>
        <w:rPr>
          <w:rFonts w:ascii="Arial" w:hAnsi="Arial" w:cs="Arial"/>
          <w:lang w:val="en-AU"/>
        </w:rPr>
      </w:pPr>
      <w:r w:rsidRPr="3A5A0E67">
        <w:rPr>
          <w:rFonts w:ascii="Arial" w:hAnsi="Arial" w:cs="Arial"/>
          <w:sz w:val="22"/>
          <w:szCs w:val="22"/>
          <w:lang w:val="en-AU"/>
        </w:rPr>
        <w:t>their anticipated costs and disbursements on a standard basis in relation to the trial.</w:t>
      </w:r>
    </w:p>
    <w:p w14:paraId="794D9CB3" w14:textId="77777777" w:rsidR="00506AD4" w:rsidRPr="0023696E" w:rsidRDefault="3A5A0E67" w:rsidP="00621FC7">
      <w:pPr>
        <w:pStyle w:val="ListParagraph"/>
        <w:spacing w:before="480" w:line="480" w:lineRule="atLeast"/>
        <w:contextualSpacing w:val="0"/>
        <w:jc w:val="both"/>
        <w:rPr>
          <w:rFonts w:ascii="Arial" w:hAnsi="Arial" w:cs="Arial"/>
          <w:b/>
          <w:bCs/>
          <w:lang w:val="en-AU"/>
        </w:rPr>
      </w:pPr>
      <w:r w:rsidRPr="3A5A0E67">
        <w:rPr>
          <w:rFonts w:ascii="Arial" w:hAnsi="Arial" w:cs="Arial"/>
          <w:b/>
          <w:bCs/>
          <w:lang w:val="en-AU"/>
        </w:rPr>
        <w:t xml:space="preserve">Application of s 570 of the </w:t>
      </w:r>
      <w:r w:rsidRPr="008D2B3F">
        <w:rPr>
          <w:rFonts w:ascii="Arial" w:hAnsi="Arial" w:cs="Arial"/>
          <w:b/>
          <w:bCs/>
          <w:i/>
          <w:lang w:val="en-AU"/>
        </w:rPr>
        <w:t>Fair Work Act</w:t>
      </w:r>
      <w:r w:rsidRPr="3A5A0E67">
        <w:rPr>
          <w:rFonts w:ascii="Arial" w:hAnsi="Arial" w:cs="Arial"/>
          <w:b/>
          <w:bCs/>
          <w:lang w:val="en-AU"/>
        </w:rPr>
        <w:t xml:space="preserve"> </w:t>
      </w:r>
    </w:p>
    <w:p w14:paraId="318167B4" w14:textId="77777777" w:rsidR="0023696E" w:rsidRPr="00C637EE" w:rsidRDefault="3A5A0E67" w:rsidP="3A5A0E67">
      <w:pPr>
        <w:pStyle w:val="ListParagraph"/>
        <w:numPr>
          <w:ilvl w:val="0"/>
          <w:numId w:val="1"/>
        </w:numPr>
        <w:spacing w:after="240" w:line="480" w:lineRule="atLeast"/>
        <w:ind w:left="720" w:hanging="720"/>
        <w:contextualSpacing w:val="0"/>
        <w:jc w:val="both"/>
        <w:rPr>
          <w:rFonts w:ascii="Arial" w:hAnsi="Arial" w:cs="Arial"/>
          <w:lang w:val="en-AU"/>
        </w:rPr>
      </w:pPr>
      <w:r w:rsidRPr="3A5A0E67">
        <w:rPr>
          <w:rFonts w:ascii="Arial" w:hAnsi="Arial" w:cs="Arial"/>
          <w:lang w:val="en-AU"/>
        </w:rPr>
        <w:t>I have been discussing the Rules.  I now wish to briefly mention an issue which ha</w:t>
      </w:r>
      <w:r w:rsidR="00DC4335">
        <w:rPr>
          <w:rFonts w:ascii="Arial" w:hAnsi="Arial" w:cs="Arial"/>
          <w:lang w:val="en-AU"/>
        </w:rPr>
        <w:t>s yet to be decided.  It concerns</w:t>
      </w:r>
      <w:r w:rsidRPr="3A5A0E67">
        <w:rPr>
          <w:rFonts w:ascii="Arial" w:hAnsi="Arial" w:cs="Arial"/>
          <w:lang w:val="en-AU"/>
        </w:rPr>
        <w:t xml:space="preserve"> the application of s 570 of the </w:t>
      </w:r>
      <w:r w:rsidRPr="3A5A0E67">
        <w:rPr>
          <w:rFonts w:ascii="Arial" w:hAnsi="Arial" w:cs="Arial"/>
          <w:i/>
          <w:iCs/>
          <w:lang w:val="en-AU"/>
        </w:rPr>
        <w:t>Fair Work Act 2009</w:t>
      </w:r>
      <w:r w:rsidRPr="3A5A0E67">
        <w:rPr>
          <w:rFonts w:ascii="Arial" w:hAnsi="Arial" w:cs="Arial"/>
          <w:lang w:val="en-AU"/>
        </w:rPr>
        <w:t xml:space="preserve"> (Cth).  As you know, it provides:</w:t>
      </w:r>
    </w:p>
    <w:p w14:paraId="4C7434CA" w14:textId="77777777" w:rsidR="00537CE8" w:rsidRPr="00537CE8" w:rsidRDefault="00537CE8" w:rsidP="3A5A0E67">
      <w:pPr>
        <w:pStyle w:val="ListParagraph"/>
        <w:spacing w:after="120" w:line="240" w:lineRule="atLeast"/>
        <w:ind w:left="1440" w:hanging="720"/>
        <w:contextualSpacing w:val="0"/>
        <w:jc w:val="both"/>
        <w:rPr>
          <w:rFonts w:ascii="Arial" w:hAnsi="Arial" w:cs="Arial"/>
          <w:sz w:val="22"/>
          <w:szCs w:val="22"/>
          <w:lang w:val="en-AU"/>
        </w:rPr>
      </w:pPr>
      <w:r w:rsidRPr="3A5A0E67">
        <w:rPr>
          <w:rFonts w:ascii="Arial" w:hAnsi="Arial" w:cs="Arial"/>
          <w:sz w:val="22"/>
          <w:szCs w:val="22"/>
          <w:lang w:val="en-AU"/>
        </w:rPr>
        <w:t>(1)</w:t>
      </w:r>
      <w:r w:rsidRPr="00537CE8">
        <w:rPr>
          <w:rFonts w:ascii="Arial" w:hAnsi="Arial" w:cs="Arial"/>
          <w:sz w:val="22"/>
          <w:lang w:val="en-AU"/>
        </w:rPr>
        <w:tab/>
      </w:r>
      <w:r w:rsidRPr="3A5A0E67">
        <w:rPr>
          <w:rFonts w:ascii="Arial" w:hAnsi="Arial" w:cs="Arial"/>
          <w:sz w:val="22"/>
          <w:szCs w:val="22"/>
          <w:lang w:val="en-AU"/>
        </w:rPr>
        <w:t>A party to proceedings (including an appeal) in a court (including of a State or Territory) in relation to a matter arising under this Act may be ordered by the court to pay costs incurred by another party to the proceedings only in accordance with subsection (2) or section 569 or 569A.</w:t>
      </w:r>
    </w:p>
    <w:p w14:paraId="2119FF67" w14:textId="77777777" w:rsidR="00537CE8" w:rsidRPr="00537CE8" w:rsidRDefault="00537CE8" w:rsidP="3A5A0E67">
      <w:pPr>
        <w:pStyle w:val="ListParagraph"/>
        <w:spacing w:after="120" w:line="240" w:lineRule="atLeast"/>
        <w:ind w:left="1440" w:hanging="720"/>
        <w:contextualSpacing w:val="0"/>
        <w:jc w:val="both"/>
        <w:rPr>
          <w:rFonts w:ascii="Arial" w:hAnsi="Arial" w:cs="Arial"/>
          <w:sz w:val="22"/>
          <w:szCs w:val="22"/>
          <w:lang w:val="en-AU"/>
        </w:rPr>
      </w:pPr>
      <w:r w:rsidRPr="3A5A0E67">
        <w:rPr>
          <w:rFonts w:ascii="Arial" w:hAnsi="Arial" w:cs="Arial"/>
          <w:sz w:val="22"/>
          <w:szCs w:val="22"/>
          <w:lang w:val="en-AU"/>
        </w:rPr>
        <w:t>(2)</w:t>
      </w:r>
      <w:r w:rsidRPr="00537CE8">
        <w:rPr>
          <w:rFonts w:ascii="Arial" w:hAnsi="Arial" w:cs="Arial"/>
          <w:sz w:val="22"/>
          <w:lang w:val="en-AU"/>
        </w:rPr>
        <w:tab/>
      </w:r>
      <w:r w:rsidRPr="3A5A0E67">
        <w:rPr>
          <w:rFonts w:ascii="Arial" w:hAnsi="Arial" w:cs="Arial"/>
          <w:sz w:val="22"/>
          <w:szCs w:val="22"/>
          <w:lang w:val="en-AU"/>
        </w:rPr>
        <w:t>The party may be ordered to pay the costs only if:</w:t>
      </w:r>
    </w:p>
    <w:p w14:paraId="7D67D9F9" w14:textId="77777777" w:rsidR="00537CE8" w:rsidRPr="00537CE8" w:rsidRDefault="00537CE8" w:rsidP="3A5A0E67">
      <w:pPr>
        <w:pStyle w:val="ListParagraph"/>
        <w:spacing w:after="120" w:line="240" w:lineRule="atLeast"/>
        <w:ind w:left="2160" w:hanging="720"/>
        <w:contextualSpacing w:val="0"/>
        <w:jc w:val="both"/>
        <w:rPr>
          <w:rFonts w:ascii="Arial" w:hAnsi="Arial" w:cs="Arial"/>
          <w:sz w:val="22"/>
          <w:szCs w:val="22"/>
          <w:lang w:val="en-AU"/>
        </w:rPr>
      </w:pPr>
      <w:r w:rsidRPr="3A5A0E67">
        <w:rPr>
          <w:rFonts w:ascii="Arial" w:hAnsi="Arial" w:cs="Arial"/>
          <w:sz w:val="22"/>
          <w:szCs w:val="22"/>
          <w:lang w:val="en-AU"/>
        </w:rPr>
        <w:t>(a)</w:t>
      </w:r>
      <w:r w:rsidRPr="00537CE8">
        <w:rPr>
          <w:rFonts w:ascii="Arial" w:hAnsi="Arial" w:cs="Arial"/>
          <w:sz w:val="22"/>
          <w:lang w:val="en-AU"/>
        </w:rPr>
        <w:tab/>
      </w:r>
      <w:r w:rsidRPr="3A5A0E67">
        <w:rPr>
          <w:rFonts w:ascii="Arial" w:hAnsi="Arial" w:cs="Arial"/>
          <w:sz w:val="22"/>
          <w:szCs w:val="22"/>
          <w:lang w:val="en-AU"/>
        </w:rPr>
        <w:t>the court is satisfied that the party instituted the proceedings vexatiously or without reasonable cause; or</w:t>
      </w:r>
    </w:p>
    <w:p w14:paraId="14221135" w14:textId="77777777" w:rsidR="00537CE8" w:rsidRPr="00537CE8" w:rsidRDefault="00537CE8" w:rsidP="3A5A0E67">
      <w:pPr>
        <w:pStyle w:val="ListParagraph"/>
        <w:spacing w:after="120" w:line="240" w:lineRule="atLeast"/>
        <w:ind w:left="2160" w:hanging="720"/>
        <w:contextualSpacing w:val="0"/>
        <w:jc w:val="both"/>
        <w:rPr>
          <w:rFonts w:ascii="Arial" w:hAnsi="Arial" w:cs="Arial"/>
          <w:sz w:val="22"/>
          <w:szCs w:val="22"/>
          <w:lang w:val="en-AU"/>
        </w:rPr>
      </w:pPr>
      <w:r w:rsidRPr="3A5A0E67">
        <w:rPr>
          <w:rFonts w:ascii="Arial" w:hAnsi="Arial" w:cs="Arial"/>
          <w:sz w:val="22"/>
          <w:szCs w:val="22"/>
          <w:lang w:val="en-AU"/>
        </w:rPr>
        <w:t>(b)</w:t>
      </w:r>
      <w:r w:rsidRPr="00537CE8">
        <w:rPr>
          <w:rFonts w:ascii="Arial" w:hAnsi="Arial" w:cs="Arial"/>
          <w:sz w:val="22"/>
          <w:lang w:val="en-AU"/>
        </w:rPr>
        <w:tab/>
      </w:r>
      <w:r w:rsidRPr="3A5A0E67">
        <w:rPr>
          <w:rFonts w:ascii="Arial" w:hAnsi="Arial" w:cs="Arial"/>
          <w:sz w:val="22"/>
          <w:szCs w:val="22"/>
          <w:lang w:val="en-AU"/>
        </w:rPr>
        <w:t xml:space="preserve">the court is satisfied that the party’s unreasonable act or omission caused the other party to incur the costs; or </w:t>
      </w:r>
    </w:p>
    <w:p w14:paraId="79FAD985" w14:textId="77777777" w:rsidR="00537CE8" w:rsidRPr="00537CE8" w:rsidRDefault="00537CE8" w:rsidP="3A5A0E67">
      <w:pPr>
        <w:pStyle w:val="ListParagraph"/>
        <w:spacing w:after="120" w:line="240" w:lineRule="atLeast"/>
        <w:ind w:left="2160" w:hanging="720"/>
        <w:contextualSpacing w:val="0"/>
        <w:jc w:val="both"/>
        <w:rPr>
          <w:rFonts w:ascii="Arial" w:hAnsi="Arial" w:cs="Arial"/>
          <w:sz w:val="22"/>
          <w:szCs w:val="22"/>
          <w:lang w:val="en-AU"/>
        </w:rPr>
      </w:pPr>
      <w:r w:rsidRPr="3A5A0E67">
        <w:rPr>
          <w:rFonts w:ascii="Arial" w:hAnsi="Arial" w:cs="Arial"/>
          <w:sz w:val="22"/>
          <w:szCs w:val="22"/>
          <w:lang w:val="en-AU"/>
        </w:rPr>
        <w:t>(c)</w:t>
      </w:r>
      <w:r w:rsidRPr="00537CE8">
        <w:rPr>
          <w:rFonts w:ascii="Arial" w:hAnsi="Arial" w:cs="Arial"/>
          <w:sz w:val="22"/>
          <w:lang w:val="en-AU"/>
        </w:rPr>
        <w:tab/>
      </w:r>
      <w:r w:rsidRPr="3A5A0E67">
        <w:rPr>
          <w:rFonts w:ascii="Arial" w:hAnsi="Arial" w:cs="Arial"/>
          <w:sz w:val="22"/>
          <w:szCs w:val="22"/>
          <w:lang w:val="en-AU"/>
        </w:rPr>
        <w:t>the court is satisfied of both of the following:</w:t>
      </w:r>
    </w:p>
    <w:p w14:paraId="2777B728" w14:textId="77777777" w:rsidR="00537CE8" w:rsidRPr="00537CE8" w:rsidRDefault="00537CE8" w:rsidP="3A5A0E67">
      <w:pPr>
        <w:pStyle w:val="ListParagraph"/>
        <w:spacing w:after="120" w:line="240" w:lineRule="atLeast"/>
        <w:ind w:left="2880" w:hanging="720"/>
        <w:contextualSpacing w:val="0"/>
        <w:jc w:val="both"/>
        <w:rPr>
          <w:rFonts w:ascii="Arial" w:hAnsi="Arial" w:cs="Arial"/>
          <w:sz w:val="22"/>
          <w:szCs w:val="22"/>
          <w:lang w:val="en-AU"/>
        </w:rPr>
      </w:pPr>
      <w:r w:rsidRPr="3A5A0E67">
        <w:rPr>
          <w:rFonts w:ascii="Arial" w:hAnsi="Arial" w:cs="Arial"/>
          <w:sz w:val="22"/>
          <w:szCs w:val="22"/>
          <w:lang w:val="en-AU"/>
        </w:rPr>
        <w:t>(i</w:t>
      </w:r>
      <w:r w:rsidR="008D2B3F">
        <w:rPr>
          <w:rFonts w:ascii="Arial" w:hAnsi="Arial" w:cs="Arial"/>
          <w:sz w:val="22"/>
          <w:szCs w:val="22"/>
          <w:lang w:val="en-AU"/>
        </w:rPr>
        <w:t>)</w:t>
      </w:r>
      <w:r w:rsidRPr="00537CE8">
        <w:rPr>
          <w:rFonts w:ascii="Arial" w:hAnsi="Arial" w:cs="Arial"/>
          <w:sz w:val="22"/>
          <w:lang w:val="en-AU"/>
        </w:rPr>
        <w:tab/>
      </w:r>
      <w:r w:rsidRPr="3A5A0E67">
        <w:rPr>
          <w:rFonts w:ascii="Arial" w:hAnsi="Arial" w:cs="Arial"/>
          <w:sz w:val="22"/>
          <w:szCs w:val="22"/>
          <w:lang w:val="en-AU"/>
        </w:rPr>
        <w:t>the party unreasonably refused to participate in a matter before the FWC;</w:t>
      </w:r>
    </w:p>
    <w:p w14:paraId="36BA4C7A" w14:textId="77777777" w:rsidR="00537CE8" w:rsidRPr="00537CE8" w:rsidRDefault="00537CE8" w:rsidP="3A5A0E67">
      <w:pPr>
        <w:pStyle w:val="ListParagraph"/>
        <w:spacing w:after="240" w:line="240" w:lineRule="atLeast"/>
        <w:ind w:left="2880" w:hanging="720"/>
        <w:contextualSpacing w:val="0"/>
        <w:jc w:val="both"/>
        <w:rPr>
          <w:rFonts w:ascii="Arial" w:hAnsi="Arial" w:cs="Arial"/>
          <w:sz w:val="22"/>
          <w:szCs w:val="22"/>
          <w:lang w:val="en-AU"/>
        </w:rPr>
      </w:pPr>
      <w:r w:rsidRPr="3A5A0E67">
        <w:rPr>
          <w:rFonts w:ascii="Arial" w:hAnsi="Arial" w:cs="Arial"/>
          <w:sz w:val="22"/>
          <w:szCs w:val="22"/>
          <w:lang w:val="en-AU"/>
        </w:rPr>
        <w:t>(ii)</w:t>
      </w:r>
      <w:r w:rsidRPr="00537CE8">
        <w:rPr>
          <w:rFonts w:ascii="Arial" w:hAnsi="Arial" w:cs="Arial"/>
          <w:sz w:val="22"/>
          <w:lang w:val="en-AU"/>
        </w:rPr>
        <w:tab/>
      </w:r>
      <w:r w:rsidRPr="3A5A0E67">
        <w:rPr>
          <w:rFonts w:ascii="Arial" w:hAnsi="Arial" w:cs="Arial"/>
          <w:sz w:val="22"/>
          <w:szCs w:val="22"/>
          <w:lang w:val="en-AU"/>
        </w:rPr>
        <w:t>the matter arose from the same facts as the proceedings.</w:t>
      </w:r>
    </w:p>
    <w:p w14:paraId="2414C115" w14:textId="77777777" w:rsidR="0023696E" w:rsidRDefault="3A5A0E67" w:rsidP="00AF2592">
      <w:pPr>
        <w:pStyle w:val="ListParagraph"/>
        <w:keepNext/>
        <w:keepLines/>
        <w:numPr>
          <w:ilvl w:val="0"/>
          <w:numId w:val="1"/>
        </w:numPr>
        <w:spacing w:after="240" w:line="480" w:lineRule="atLeast"/>
        <w:ind w:left="720" w:hanging="720"/>
        <w:jc w:val="both"/>
        <w:rPr>
          <w:rFonts w:ascii="Arial" w:hAnsi="Arial" w:cs="Arial"/>
          <w:lang w:val="en-AU"/>
        </w:rPr>
      </w:pPr>
      <w:r w:rsidRPr="3A5A0E67">
        <w:rPr>
          <w:rFonts w:ascii="Arial" w:hAnsi="Arial" w:cs="Arial"/>
          <w:lang w:val="en-AU"/>
        </w:rPr>
        <w:lastRenderedPageBreak/>
        <w:t xml:space="preserve">How this provision affects our jurisdiction is yet to be determined.  In </w:t>
      </w:r>
      <w:r w:rsidRPr="3A5A0E67">
        <w:rPr>
          <w:rFonts w:ascii="Arial" w:hAnsi="Arial" w:cs="Arial"/>
          <w:i/>
          <w:iCs/>
          <w:lang w:val="en-AU"/>
        </w:rPr>
        <w:t>Adidem Pty Ltd v Cowdery</w:t>
      </w:r>
      <w:r w:rsidRPr="3A5A0E67">
        <w:rPr>
          <w:rFonts w:ascii="Arial" w:hAnsi="Arial" w:cs="Arial"/>
          <w:lang w:val="en-AU"/>
        </w:rPr>
        <w:t xml:space="preserve"> [2014] VSC 533 at [31], McDonald J stated:</w:t>
      </w:r>
    </w:p>
    <w:p w14:paraId="4B401786" w14:textId="77777777" w:rsidR="0019762F" w:rsidRPr="008D2B3F" w:rsidRDefault="3A5A0E67" w:rsidP="008D2B3F">
      <w:pPr>
        <w:pStyle w:val="Heading1"/>
        <w:keepNext/>
        <w:keepLines/>
        <w:spacing w:line="240" w:lineRule="atLeast"/>
        <w:ind w:left="1440" w:firstLine="0"/>
        <w:rPr>
          <w:rFonts w:ascii="Arial" w:hAnsi="Arial" w:cs="Arial"/>
          <w:sz w:val="22"/>
        </w:rPr>
      </w:pPr>
      <w:r w:rsidRPr="008D2B3F">
        <w:rPr>
          <w:rFonts w:ascii="Arial" w:hAnsi="Arial" w:cs="Arial"/>
          <w:sz w:val="22"/>
        </w:rPr>
        <w:t xml:space="preserve">There will be no order as to costs.  During the course of the proceedings I raised with the parties the potential impact of s 570 of the </w:t>
      </w:r>
      <w:r w:rsidRPr="008D2B3F">
        <w:rPr>
          <w:rFonts w:ascii="Arial" w:hAnsi="Arial" w:cs="Arial"/>
          <w:i/>
          <w:iCs/>
          <w:sz w:val="22"/>
        </w:rPr>
        <w:t xml:space="preserve">Fair Work Act </w:t>
      </w:r>
      <w:r w:rsidRPr="008D2B3F">
        <w:rPr>
          <w:rFonts w:ascii="Arial" w:hAnsi="Arial" w:cs="Arial"/>
          <w:sz w:val="22"/>
        </w:rPr>
        <w:t xml:space="preserve"> upon the power of the Supreme Court to order costs pursuant to s 24 of the </w:t>
      </w:r>
      <w:r w:rsidRPr="008D2B3F">
        <w:rPr>
          <w:rFonts w:ascii="Arial" w:hAnsi="Arial" w:cs="Arial"/>
          <w:i/>
          <w:iCs/>
          <w:sz w:val="22"/>
        </w:rPr>
        <w:t>Supreme Court Act 1986</w:t>
      </w:r>
      <w:r w:rsidRPr="008D2B3F">
        <w:rPr>
          <w:rFonts w:ascii="Arial" w:hAnsi="Arial" w:cs="Arial"/>
          <w:sz w:val="22"/>
        </w:rPr>
        <w:t xml:space="preserve">.  Shortly after the conclusion of the proceedings, I was informed by each of the parties that, if successful in the appeal, no order for costs would be sought.  </w:t>
      </w:r>
    </w:p>
    <w:p w14:paraId="74D341CC" w14:textId="77777777" w:rsidR="0023696E" w:rsidRDefault="3A5A0E67" w:rsidP="3A5A0E67">
      <w:pPr>
        <w:pStyle w:val="ListParagraph"/>
        <w:numPr>
          <w:ilvl w:val="0"/>
          <w:numId w:val="1"/>
        </w:numPr>
        <w:spacing w:after="240" w:line="480" w:lineRule="atLeast"/>
        <w:ind w:left="720" w:hanging="720"/>
        <w:jc w:val="both"/>
        <w:rPr>
          <w:rFonts w:ascii="Arial" w:hAnsi="Arial" w:cs="Arial"/>
          <w:lang w:val="en-AU"/>
        </w:rPr>
      </w:pPr>
      <w:r w:rsidRPr="3A5A0E67">
        <w:rPr>
          <w:rFonts w:ascii="Arial" w:hAnsi="Arial" w:cs="Arial"/>
          <w:lang w:val="en-AU"/>
        </w:rPr>
        <w:t xml:space="preserve">Many of you will be familiar with </w:t>
      </w:r>
      <w:r w:rsidRPr="3A5A0E67">
        <w:rPr>
          <w:rFonts w:ascii="Arial" w:hAnsi="Arial" w:cs="Arial"/>
          <w:i/>
          <w:iCs/>
          <w:lang w:val="en-AU"/>
        </w:rPr>
        <w:t>Melbourne Stadiums Limited v Sautner</w:t>
      </w:r>
      <w:r w:rsidRPr="3A5A0E67">
        <w:rPr>
          <w:rFonts w:ascii="Arial" w:hAnsi="Arial" w:cs="Arial"/>
          <w:lang w:val="en-AU"/>
        </w:rPr>
        <w:t xml:space="preserve"> (2015) 317 ALR 665.  In that decision, the Full Court of the Federal Court held at [157] that: </w:t>
      </w:r>
    </w:p>
    <w:p w14:paraId="6790324F" w14:textId="77777777" w:rsidR="00E564FE" w:rsidRPr="00B14C09" w:rsidRDefault="3A5A0E67" w:rsidP="3A5A0E67">
      <w:pPr>
        <w:pStyle w:val="Heading1"/>
        <w:spacing w:line="240" w:lineRule="atLeast"/>
        <w:ind w:left="1440" w:firstLine="0"/>
        <w:rPr>
          <w:rFonts w:ascii="Arial" w:hAnsi="Arial" w:cs="Arial"/>
          <w:sz w:val="22"/>
          <w:szCs w:val="22"/>
        </w:rPr>
      </w:pPr>
      <w:r w:rsidRPr="00B14C09">
        <w:rPr>
          <w:rFonts w:ascii="Arial" w:hAnsi="Arial" w:cs="Arial"/>
          <w:sz w:val="22"/>
          <w:szCs w:val="22"/>
        </w:rPr>
        <w:t xml:space="preserve">There was a single proceeding which was commenced and prosecuted to judgment in the County Court. Mr Sautner made claims under the </w:t>
      </w:r>
      <w:r w:rsidRPr="00B14C09">
        <w:rPr>
          <w:rFonts w:ascii="Arial" w:hAnsi="Arial" w:cs="Arial"/>
          <w:i/>
          <w:iCs/>
          <w:sz w:val="22"/>
          <w:szCs w:val="22"/>
        </w:rPr>
        <w:t>Fair Work Act</w:t>
      </w:r>
      <w:r w:rsidRPr="00B14C09">
        <w:rPr>
          <w:rFonts w:ascii="Arial" w:hAnsi="Arial" w:cs="Arial"/>
          <w:sz w:val="22"/>
          <w:szCs w:val="22"/>
        </w:rPr>
        <w:t xml:space="preserve"> and at common law. The claims under the </w:t>
      </w:r>
      <w:r w:rsidRPr="00B14C09">
        <w:rPr>
          <w:rFonts w:ascii="Arial" w:hAnsi="Arial" w:cs="Arial"/>
          <w:i/>
          <w:iCs/>
          <w:sz w:val="22"/>
          <w:szCs w:val="22"/>
        </w:rPr>
        <w:t>Fair Work Act</w:t>
      </w:r>
      <w:r w:rsidRPr="00B14C09">
        <w:rPr>
          <w:rFonts w:ascii="Arial" w:hAnsi="Arial" w:cs="Arial"/>
          <w:sz w:val="22"/>
          <w:szCs w:val="22"/>
        </w:rPr>
        <w:t xml:space="preserve"> were “matters” within the meaning of s 570(1) of the </w:t>
      </w:r>
      <w:r w:rsidRPr="00B14C09">
        <w:rPr>
          <w:rFonts w:ascii="Arial" w:hAnsi="Arial" w:cs="Arial"/>
          <w:i/>
          <w:iCs/>
          <w:sz w:val="22"/>
          <w:szCs w:val="22"/>
        </w:rPr>
        <w:t>Fair Work Act</w:t>
      </w:r>
      <w:r w:rsidRPr="00B14C09">
        <w:rPr>
          <w:rFonts w:ascii="Arial" w:hAnsi="Arial" w:cs="Arial"/>
          <w:sz w:val="22"/>
          <w:szCs w:val="22"/>
        </w:rPr>
        <w:t>. The proceeding was, as a result, a proceeding in relation to a matter arising under that Act. Section 570(1) operated to preclude the court from ordering MSL (“another party to the proceedings”) to pay any costs incurred by Mr Sautner in prosecuting his claims unless he could satisfy the court that one of the exceptions, provided for in s 570(2), applied.</w:t>
      </w:r>
    </w:p>
    <w:p w14:paraId="21E6DCA3" w14:textId="77777777" w:rsidR="005B2392" w:rsidRPr="00F538EB" w:rsidRDefault="3A5A0E67" w:rsidP="008D2B3F">
      <w:pPr>
        <w:pStyle w:val="ListParagraph"/>
        <w:spacing w:before="480" w:line="480" w:lineRule="atLeast"/>
        <w:contextualSpacing w:val="0"/>
        <w:jc w:val="both"/>
        <w:rPr>
          <w:rFonts w:ascii="Arial" w:hAnsi="Arial" w:cs="Arial"/>
          <w:b/>
          <w:bCs/>
          <w:lang w:val="en-AU"/>
        </w:rPr>
      </w:pPr>
      <w:r w:rsidRPr="3A5A0E67">
        <w:rPr>
          <w:rFonts w:ascii="Arial" w:hAnsi="Arial" w:cs="Arial"/>
          <w:b/>
          <w:bCs/>
          <w:lang w:val="en-AU"/>
        </w:rPr>
        <w:t>Practical Suggestions - Summary</w:t>
      </w:r>
    </w:p>
    <w:p w14:paraId="30AB2E2F" w14:textId="777DDC82" w:rsidR="005B2392" w:rsidRPr="009E55B5" w:rsidRDefault="00DC4335" w:rsidP="006D53CF">
      <w:pPr>
        <w:pStyle w:val="ListParagraph"/>
        <w:numPr>
          <w:ilvl w:val="0"/>
          <w:numId w:val="1"/>
        </w:numPr>
        <w:spacing w:after="240" w:line="480" w:lineRule="atLeast"/>
        <w:ind w:left="720" w:hanging="720"/>
        <w:jc w:val="both"/>
        <w:rPr>
          <w:rFonts w:ascii="Arial" w:hAnsi="Arial" w:cs="Arial"/>
        </w:rPr>
      </w:pPr>
      <w:r w:rsidRPr="009E55B5">
        <w:rPr>
          <w:rFonts w:ascii="Arial" w:hAnsi="Arial" w:cs="Arial"/>
          <w:lang w:val="en-AU"/>
        </w:rPr>
        <w:t>In conclusion</w:t>
      </w:r>
      <w:r w:rsidR="005B2392" w:rsidRPr="009E55B5">
        <w:rPr>
          <w:rFonts w:ascii="Arial" w:hAnsi="Arial" w:cs="Arial"/>
          <w:lang w:val="en-AU"/>
        </w:rPr>
        <w:t>, I of</w:t>
      </w:r>
      <w:r w:rsidR="007A57D7" w:rsidRPr="009E55B5">
        <w:rPr>
          <w:rFonts w:ascii="Arial" w:hAnsi="Arial" w:cs="Arial"/>
          <w:lang w:val="en-AU"/>
        </w:rPr>
        <w:t xml:space="preserve">fer the following </w:t>
      </w:r>
      <w:r w:rsidR="003035B2" w:rsidRPr="009E55B5">
        <w:rPr>
          <w:rFonts w:ascii="Arial" w:hAnsi="Arial" w:cs="Arial"/>
          <w:lang w:val="en-AU"/>
        </w:rPr>
        <w:t>three</w:t>
      </w:r>
      <w:r w:rsidR="007A57D7" w:rsidRPr="009E55B5">
        <w:rPr>
          <w:rFonts w:ascii="Arial" w:hAnsi="Arial" w:cs="Arial"/>
          <w:lang w:val="en-AU"/>
        </w:rPr>
        <w:t xml:space="preserve"> suggestions</w:t>
      </w:r>
      <w:r w:rsidR="002D5281" w:rsidRPr="009E55B5">
        <w:rPr>
          <w:rFonts w:ascii="Arial" w:hAnsi="Arial" w:cs="Arial"/>
          <w:lang w:val="en-AU"/>
        </w:rPr>
        <w:t>:</w:t>
      </w:r>
    </w:p>
    <w:p w14:paraId="32179A2A" w14:textId="77777777" w:rsidR="00CC2CDA" w:rsidRDefault="00CC2CDA" w:rsidP="3A5A0E67">
      <w:pPr>
        <w:pStyle w:val="ListParagraph"/>
        <w:numPr>
          <w:ilvl w:val="0"/>
          <w:numId w:val="3"/>
        </w:numPr>
        <w:spacing w:after="240" w:line="480" w:lineRule="atLeast"/>
        <w:jc w:val="both"/>
        <w:rPr>
          <w:rFonts w:ascii="Arial" w:hAnsi="Arial" w:cs="Arial"/>
          <w:lang w:val="en-AU"/>
        </w:rPr>
      </w:pPr>
      <w:r>
        <w:rPr>
          <w:rFonts w:ascii="Arial" w:hAnsi="Arial" w:cs="Arial"/>
          <w:lang w:val="en-AU"/>
        </w:rPr>
        <w:t>Consider the application of the</w:t>
      </w:r>
      <w:r w:rsidR="00DC4335">
        <w:rPr>
          <w:rFonts w:ascii="Arial" w:hAnsi="Arial" w:cs="Arial"/>
          <w:lang w:val="en-AU"/>
        </w:rPr>
        <w:t xml:space="preserve"> CPA</w:t>
      </w:r>
      <w:r>
        <w:rPr>
          <w:rFonts w:ascii="Arial" w:hAnsi="Arial" w:cs="Arial"/>
          <w:lang w:val="en-AU"/>
        </w:rPr>
        <w:t>.  It may be relevant to whether the Court exercises its discretion to order costs.</w:t>
      </w:r>
      <w:r>
        <w:rPr>
          <w:rStyle w:val="FootnoteReference"/>
          <w:rFonts w:ascii="Arial" w:hAnsi="Arial" w:cs="Arial"/>
          <w:lang w:val="en-AU"/>
        </w:rPr>
        <w:footnoteReference w:id="22"/>
      </w:r>
    </w:p>
    <w:p w14:paraId="4E8215F9" w14:textId="77777777" w:rsidR="005B2392" w:rsidRDefault="3A5A0E67" w:rsidP="3A5A0E67">
      <w:pPr>
        <w:pStyle w:val="ListParagraph"/>
        <w:numPr>
          <w:ilvl w:val="0"/>
          <w:numId w:val="3"/>
        </w:numPr>
        <w:spacing w:after="240" w:line="480" w:lineRule="atLeast"/>
        <w:jc w:val="both"/>
        <w:rPr>
          <w:rFonts w:ascii="Arial" w:hAnsi="Arial" w:cs="Arial"/>
          <w:lang w:val="en-AU"/>
        </w:rPr>
      </w:pPr>
      <w:r w:rsidRPr="3A5A0E67">
        <w:rPr>
          <w:rFonts w:ascii="Arial" w:hAnsi="Arial" w:cs="Arial"/>
          <w:lang w:val="en-AU"/>
        </w:rPr>
        <w:t>Before deciding to make an application for the costs of an interlocutory application, carefully consider the presumptive rules discussed above.  If you decide to proceed with the application, you will need to explain why the Court should ‘otherwise order’.</w:t>
      </w:r>
    </w:p>
    <w:p w14:paraId="6F91CDB1" w14:textId="6322609A" w:rsidR="00CC2CDA" w:rsidRDefault="3A5A0E67" w:rsidP="3A5A0E67">
      <w:pPr>
        <w:pStyle w:val="ListParagraph"/>
        <w:numPr>
          <w:ilvl w:val="0"/>
          <w:numId w:val="3"/>
        </w:numPr>
        <w:spacing w:after="240" w:line="480" w:lineRule="atLeast"/>
        <w:jc w:val="both"/>
        <w:rPr>
          <w:rFonts w:ascii="Arial" w:hAnsi="Arial" w:cs="Arial"/>
          <w:lang w:val="en-AU"/>
        </w:rPr>
      </w:pPr>
      <w:r w:rsidRPr="3A5A0E67">
        <w:rPr>
          <w:rFonts w:ascii="Arial" w:hAnsi="Arial" w:cs="Arial"/>
          <w:lang w:val="en-AU"/>
        </w:rPr>
        <w:t xml:space="preserve">If the proceeding concerns claims made under the </w:t>
      </w:r>
      <w:r w:rsidRPr="3A5A0E67">
        <w:rPr>
          <w:rFonts w:ascii="Arial" w:hAnsi="Arial" w:cs="Arial"/>
          <w:i/>
          <w:iCs/>
          <w:lang w:val="en-AU"/>
        </w:rPr>
        <w:t>Fair Work Act 2009 (Cth)</w:t>
      </w:r>
      <w:r w:rsidRPr="3A5A0E67">
        <w:rPr>
          <w:rFonts w:ascii="Arial" w:hAnsi="Arial" w:cs="Arial"/>
          <w:lang w:val="en-AU"/>
        </w:rPr>
        <w:t>,  consider whether the appropriate costs order</w:t>
      </w:r>
      <w:r w:rsidR="00CD37E4">
        <w:rPr>
          <w:rFonts w:ascii="Arial" w:hAnsi="Arial" w:cs="Arial"/>
          <w:lang w:val="en-AU"/>
        </w:rPr>
        <w:t>s</w:t>
      </w:r>
      <w:r w:rsidRPr="3A5A0E67">
        <w:rPr>
          <w:rFonts w:ascii="Arial" w:hAnsi="Arial" w:cs="Arial"/>
          <w:lang w:val="en-AU"/>
        </w:rPr>
        <w:t xml:space="preserve"> at an interlocutory stage are to reserve costs. </w:t>
      </w:r>
    </w:p>
    <w:p w14:paraId="478CF025" w14:textId="77777777" w:rsidR="00DC4335" w:rsidRDefault="3A5A0E67" w:rsidP="00DC4335">
      <w:pPr>
        <w:pStyle w:val="ListParagraph"/>
        <w:numPr>
          <w:ilvl w:val="0"/>
          <w:numId w:val="1"/>
        </w:numPr>
        <w:spacing w:after="240" w:line="480" w:lineRule="atLeast"/>
        <w:ind w:left="720" w:hanging="720"/>
        <w:jc w:val="both"/>
        <w:rPr>
          <w:rFonts w:ascii="Arial" w:hAnsi="Arial" w:cs="Arial"/>
          <w:lang w:val="en-AU"/>
        </w:rPr>
      </w:pPr>
      <w:r w:rsidRPr="00DC4335">
        <w:rPr>
          <w:rFonts w:ascii="Arial" w:hAnsi="Arial" w:cs="Arial"/>
          <w:lang w:val="en-AU"/>
        </w:rPr>
        <w:lastRenderedPageBreak/>
        <w:t xml:space="preserve">I make a final observation.  Costs disputes have likely been a feature of litigation since the </w:t>
      </w:r>
      <w:r w:rsidRPr="00DC4335">
        <w:rPr>
          <w:rFonts w:ascii="Arial" w:hAnsi="Arial" w:cs="Arial"/>
          <w:i/>
          <w:lang w:val="en-AU"/>
        </w:rPr>
        <w:t>Statute of Westminster</w:t>
      </w:r>
      <w:r w:rsidRPr="00DC4335">
        <w:rPr>
          <w:rFonts w:ascii="Arial" w:hAnsi="Arial" w:cs="Arial"/>
          <w:lang w:val="en-AU"/>
        </w:rPr>
        <w:t xml:space="preserve"> introduced the entitlement to recover costs in 1275.</w:t>
      </w:r>
      <w:r w:rsidR="00DB5EA8">
        <w:rPr>
          <w:rStyle w:val="FootnoteReference"/>
          <w:rFonts w:ascii="Arial" w:hAnsi="Arial" w:cs="Arial"/>
          <w:lang w:val="en-AU"/>
        </w:rPr>
        <w:footnoteReference w:id="23"/>
      </w:r>
      <w:r w:rsidRPr="00DC4335">
        <w:rPr>
          <w:rFonts w:ascii="Arial" w:hAnsi="Arial" w:cs="Arial"/>
          <w:lang w:val="en-AU"/>
        </w:rPr>
        <w:t xml:space="preserve">  </w:t>
      </w:r>
      <w:r w:rsidR="00DC4335">
        <w:rPr>
          <w:rFonts w:ascii="Arial" w:hAnsi="Arial" w:cs="Arial"/>
          <w:lang w:val="en-AU"/>
        </w:rPr>
        <w:t>If the last 700 years or so is any guide, they will continue to be of vital importance to those you represent</w:t>
      </w:r>
      <w:r w:rsidRPr="00DC4335">
        <w:rPr>
          <w:rFonts w:ascii="Arial" w:hAnsi="Arial" w:cs="Arial"/>
          <w:lang w:val="en-AU"/>
        </w:rPr>
        <w:t xml:space="preserve"> and</w:t>
      </w:r>
      <w:r w:rsidR="00DC4335">
        <w:rPr>
          <w:rFonts w:ascii="Arial" w:hAnsi="Arial" w:cs="Arial"/>
          <w:lang w:val="en-AU"/>
        </w:rPr>
        <w:t xml:space="preserve"> therefore an important skill to have in your armoury</w:t>
      </w:r>
      <w:r w:rsidRPr="00DC4335">
        <w:rPr>
          <w:rFonts w:ascii="Arial" w:hAnsi="Arial" w:cs="Arial"/>
          <w:lang w:val="en-AU"/>
        </w:rPr>
        <w:t>.</w:t>
      </w:r>
    </w:p>
    <w:p w14:paraId="04E58433" w14:textId="77777777" w:rsidR="00BF15C5" w:rsidRPr="00DC4335" w:rsidRDefault="00DC4335" w:rsidP="00DC4335">
      <w:pPr>
        <w:pStyle w:val="ListParagraph"/>
        <w:numPr>
          <w:ilvl w:val="0"/>
          <w:numId w:val="1"/>
        </w:numPr>
        <w:spacing w:after="240" w:line="480" w:lineRule="atLeast"/>
        <w:ind w:left="720" w:hanging="720"/>
        <w:jc w:val="both"/>
        <w:rPr>
          <w:rFonts w:ascii="Arial" w:hAnsi="Arial" w:cs="Arial"/>
          <w:lang w:val="en-AU"/>
        </w:rPr>
      </w:pPr>
      <w:r>
        <w:rPr>
          <w:rFonts w:ascii="Arial" w:hAnsi="Arial" w:cs="Arial"/>
          <w:lang w:val="en-AU"/>
        </w:rPr>
        <w:t xml:space="preserve">I wish you all a healthy and fruitful year ahead.  </w:t>
      </w:r>
      <w:r w:rsidR="3A5A0E67" w:rsidRPr="00DC4335">
        <w:rPr>
          <w:rFonts w:ascii="Arial" w:hAnsi="Arial" w:cs="Arial"/>
        </w:rPr>
        <w:t>Thank you.</w:t>
      </w:r>
    </w:p>
    <w:p w14:paraId="740D5A50" w14:textId="77777777" w:rsidR="00537CE8" w:rsidRDefault="00537CE8" w:rsidP="00537CE8">
      <w:pPr>
        <w:spacing w:after="240" w:line="480" w:lineRule="atLeast"/>
        <w:jc w:val="both"/>
      </w:pPr>
    </w:p>
    <w:p w14:paraId="3F4E9B56" w14:textId="77777777" w:rsidR="006543D3" w:rsidRPr="00A504B9" w:rsidRDefault="006543D3">
      <w:pPr>
        <w:rPr>
          <w:sz w:val="24"/>
          <w:szCs w:val="24"/>
        </w:rPr>
      </w:pPr>
    </w:p>
    <w:sectPr w:rsidR="006543D3" w:rsidRPr="00A504B9" w:rsidSect="003469CB">
      <w:headerReference w:type="default" r:id="rId21"/>
      <w:footerReference w:type="first" r:id="rId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5B3AB" w14:textId="77777777" w:rsidR="00B05E57" w:rsidRDefault="00B05E57" w:rsidP="00DE56BF">
      <w:pPr>
        <w:spacing w:after="0" w:line="240" w:lineRule="auto"/>
      </w:pPr>
      <w:r>
        <w:separator/>
      </w:r>
    </w:p>
  </w:endnote>
  <w:endnote w:type="continuationSeparator" w:id="0">
    <w:p w14:paraId="713AFE69" w14:textId="77777777" w:rsidR="00B05E57" w:rsidRDefault="00B05E57" w:rsidP="00DE56BF">
      <w:pPr>
        <w:spacing w:after="0" w:line="240" w:lineRule="auto"/>
      </w:pPr>
      <w:r>
        <w:continuationSeparator/>
      </w:r>
    </w:p>
  </w:endnote>
  <w:endnote w:type="continuationNotice" w:id="1">
    <w:p w14:paraId="2CF9BCB9" w14:textId="77777777" w:rsidR="00B05E57" w:rsidRDefault="00B05E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6ED44" w14:textId="77777777" w:rsidR="00AB234F" w:rsidRPr="003A2B16" w:rsidRDefault="00AB234F" w:rsidP="3A5A0E67">
    <w:pPr>
      <w:pStyle w:val="FootnoteText"/>
      <w:ind w:left="360"/>
      <w:rPr>
        <w:rFonts w:ascii="Arial" w:hAnsi="Arial" w:cs="Arial"/>
        <w:sz w:val="18"/>
        <w:szCs w:val="18"/>
      </w:rPr>
    </w:pPr>
    <w:r w:rsidRPr="3A5A0E67">
      <w:rPr>
        <w:rFonts w:ascii="Arial" w:hAnsi="Arial" w:cs="Arial"/>
        <w:sz w:val="18"/>
        <w:szCs w:val="18"/>
      </w:rPr>
      <w:t>*Associate Justice of the Supreme Court of Victoria.  I would like to thank my Associate, Kalina  Sobczak, for her editorial assistance.</w:t>
    </w:r>
  </w:p>
  <w:p w14:paraId="74791C7F" w14:textId="77777777" w:rsidR="00AB234F" w:rsidRDefault="00AB23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9F7DA" w14:textId="77777777" w:rsidR="00B05E57" w:rsidRDefault="00B05E57" w:rsidP="00DE56BF">
      <w:pPr>
        <w:spacing w:after="0" w:line="240" w:lineRule="auto"/>
      </w:pPr>
      <w:r>
        <w:separator/>
      </w:r>
    </w:p>
  </w:footnote>
  <w:footnote w:type="continuationSeparator" w:id="0">
    <w:p w14:paraId="31AADBE2" w14:textId="77777777" w:rsidR="00B05E57" w:rsidRDefault="00B05E57" w:rsidP="00DE56BF">
      <w:pPr>
        <w:spacing w:after="0" w:line="240" w:lineRule="auto"/>
      </w:pPr>
      <w:r>
        <w:continuationSeparator/>
      </w:r>
    </w:p>
  </w:footnote>
  <w:footnote w:type="continuationNotice" w:id="1">
    <w:p w14:paraId="72817936" w14:textId="77777777" w:rsidR="00B05E57" w:rsidRDefault="00B05E57">
      <w:pPr>
        <w:spacing w:after="0" w:line="240" w:lineRule="auto"/>
      </w:pPr>
    </w:p>
  </w:footnote>
  <w:footnote w:id="2">
    <w:p w14:paraId="59DB1241" w14:textId="64089286" w:rsidR="00AB234F" w:rsidRDefault="00AB234F">
      <w:pPr>
        <w:pStyle w:val="FootnoteText"/>
      </w:pPr>
      <w:r>
        <w:rPr>
          <w:rStyle w:val="FootnoteReference"/>
        </w:rPr>
        <w:footnoteRef/>
      </w:r>
      <w:r>
        <w:t xml:space="preserve"> </w:t>
      </w:r>
      <w:r>
        <w:tab/>
      </w:r>
      <w:r w:rsidRPr="001064E8">
        <w:rPr>
          <w:i/>
        </w:rPr>
        <w:t>Timbercorp Finance Pty Ltd (In Liq) v Allan (Costs)</w:t>
      </w:r>
      <w:r w:rsidR="006D53CF">
        <w:t xml:space="preserve"> [2016] VSC 633</w:t>
      </w:r>
      <w:r>
        <w:t xml:space="preserve"> [13]-[15].</w:t>
      </w:r>
    </w:p>
  </w:footnote>
  <w:footnote w:id="3">
    <w:p w14:paraId="44582BA5" w14:textId="77777777" w:rsidR="00AB234F" w:rsidRDefault="00AB234F">
      <w:pPr>
        <w:pStyle w:val="FootnoteText"/>
        <w:rPr>
          <w:i/>
        </w:rPr>
      </w:pPr>
      <w:r>
        <w:rPr>
          <w:rStyle w:val="FootnoteReference"/>
        </w:rPr>
        <w:footnoteRef/>
      </w:r>
      <w:r>
        <w:t xml:space="preserve"> </w:t>
      </w:r>
      <w:r>
        <w:tab/>
      </w:r>
      <w:r w:rsidRPr="001064E8">
        <w:rPr>
          <w:i/>
        </w:rPr>
        <w:t>Fair Work Act 2009 (Cth)</w:t>
      </w:r>
      <w:r>
        <w:t xml:space="preserve">, s 611 and see ss 375B, 400A,  570, 779A for relevant exceptions; </w:t>
      </w:r>
      <w:r w:rsidRPr="00E07935">
        <w:rPr>
          <w:i/>
        </w:rPr>
        <w:t xml:space="preserve">Victorian </w:t>
      </w:r>
    </w:p>
    <w:p w14:paraId="058F1F3A" w14:textId="77777777" w:rsidR="00AB234F" w:rsidRDefault="00AB234F" w:rsidP="00F81525">
      <w:pPr>
        <w:pStyle w:val="FootnoteText"/>
        <w:ind w:firstLine="720"/>
      </w:pPr>
      <w:r w:rsidRPr="00E07935">
        <w:rPr>
          <w:i/>
        </w:rPr>
        <w:t>Civil and Administrative Tribunal Act</w:t>
      </w:r>
      <w:r>
        <w:t xml:space="preserve"> 1998, s 109.</w:t>
      </w:r>
    </w:p>
  </w:footnote>
  <w:footnote w:id="4">
    <w:p w14:paraId="5EADB615" w14:textId="7450EDA3" w:rsidR="00AB234F" w:rsidRDefault="00AB234F">
      <w:pPr>
        <w:pStyle w:val="FootnoteText"/>
      </w:pPr>
      <w:r>
        <w:rPr>
          <w:rStyle w:val="FootnoteReference"/>
        </w:rPr>
        <w:footnoteRef/>
      </w:r>
      <w:r>
        <w:t xml:space="preserve"> </w:t>
      </w:r>
      <w:r>
        <w:tab/>
        <w:t>Section 7(1)</w:t>
      </w:r>
      <w:r w:rsidR="006D53CF">
        <w:t xml:space="preserve"> CPA</w:t>
      </w:r>
      <w:r>
        <w:t>.</w:t>
      </w:r>
    </w:p>
  </w:footnote>
  <w:footnote w:id="5">
    <w:p w14:paraId="492F1E71" w14:textId="5FB968F8" w:rsidR="00AB234F" w:rsidRDefault="00AB234F">
      <w:pPr>
        <w:pStyle w:val="FootnoteText"/>
      </w:pPr>
      <w:r>
        <w:rPr>
          <w:rStyle w:val="FootnoteReference"/>
        </w:rPr>
        <w:footnoteRef/>
      </w:r>
      <w:r>
        <w:t xml:space="preserve"> </w:t>
      </w:r>
      <w:r>
        <w:tab/>
        <w:t>Section 11</w:t>
      </w:r>
      <w:r w:rsidR="006D53CF">
        <w:t xml:space="preserve"> CPA</w:t>
      </w:r>
      <w:r>
        <w:t>.</w:t>
      </w:r>
    </w:p>
  </w:footnote>
  <w:footnote w:id="6">
    <w:p w14:paraId="2FAFB496" w14:textId="77777777" w:rsidR="008C37F4" w:rsidRDefault="008C37F4">
      <w:pPr>
        <w:pStyle w:val="FootnoteText"/>
      </w:pPr>
      <w:r>
        <w:rPr>
          <w:rStyle w:val="FootnoteReference"/>
        </w:rPr>
        <w:footnoteRef/>
      </w:r>
      <w:r>
        <w:t xml:space="preserve"> </w:t>
      </w:r>
      <w:r>
        <w:tab/>
        <w:t>49 VR 573.</w:t>
      </w:r>
    </w:p>
  </w:footnote>
  <w:footnote w:id="7">
    <w:p w14:paraId="02AFA8AD" w14:textId="66FCDB84" w:rsidR="00705905" w:rsidRDefault="00705905">
      <w:pPr>
        <w:pStyle w:val="FootnoteText"/>
      </w:pPr>
      <w:r>
        <w:rPr>
          <w:rStyle w:val="FootnoteReference"/>
        </w:rPr>
        <w:footnoteRef/>
      </w:r>
      <w:r>
        <w:t xml:space="preserve"> </w:t>
      </w:r>
      <w:r>
        <w:tab/>
      </w:r>
      <w:r w:rsidR="008C37F4">
        <w:t xml:space="preserve">Ibid </w:t>
      </w:r>
      <w:r>
        <w:t>[60].</w:t>
      </w:r>
    </w:p>
  </w:footnote>
  <w:footnote w:id="8">
    <w:p w14:paraId="27E6A195" w14:textId="77777777" w:rsidR="008777C5" w:rsidRDefault="008777C5">
      <w:pPr>
        <w:pStyle w:val="FootnoteText"/>
      </w:pPr>
      <w:r>
        <w:rPr>
          <w:rStyle w:val="FootnoteReference"/>
        </w:rPr>
        <w:footnoteRef/>
      </w:r>
      <w:r>
        <w:t xml:space="preserve"> </w:t>
      </w:r>
      <w:r w:rsidR="00314A43">
        <w:tab/>
        <w:t>Ibid [27].</w:t>
      </w:r>
    </w:p>
  </w:footnote>
  <w:footnote w:id="9">
    <w:p w14:paraId="55D19577" w14:textId="77777777" w:rsidR="00AB234F" w:rsidRDefault="00AB234F">
      <w:pPr>
        <w:pStyle w:val="FootnoteText"/>
      </w:pPr>
      <w:r>
        <w:rPr>
          <w:rStyle w:val="FootnoteReference"/>
        </w:rPr>
        <w:footnoteRef/>
      </w:r>
      <w:r>
        <w:t xml:space="preserve"> </w:t>
      </w:r>
      <w:r>
        <w:tab/>
        <w:t>41 VR 302.</w:t>
      </w:r>
    </w:p>
  </w:footnote>
  <w:footnote w:id="10">
    <w:p w14:paraId="645FD9E2" w14:textId="77777777" w:rsidR="00AB234F" w:rsidRDefault="00AB234F">
      <w:pPr>
        <w:pStyle w:val="FootnoteText"/>
      </w:pPr>
      <w:r>
        <w:rPr>
          <w:rStyle w:val="FootnoteReference"/>
        </w:rPr>
        <w:footnoteRef/>
      </w:r>
      <w:r w:rsidR="00F9471C">
        <w:t xml:space="preserve"> </w:t>
      </w:r>
      <w:r w:rsidR="00F9471C">
        <w:tab/>
        <w:t>Ibid</w:t>
      </w:r>
      <w:r w:rsidR="00414AA2">
        <w:t xml:space="preserve"> </w:t>
      </w:r>
      <w:r>
        <w:t>[33] [34]</w:t>
      </w:r>
      <w:r w:rsidR="00414AA2">
        <w:t>.</w:t>
      </w:r>
    </w:p>
  </w:footnote>
  <w:footnote w:id="11">
    <w:p w14:paraId="4C36A345" w14:textId="506E1971" w:rsidR="00AB234F" w:rsidRDefault="00AB234F">
      <w:pPr>
        <w:pStyle w:val="FootnoteText"/>
      </w:pPr>
      <w:r>
        <w:rPr>
          <w:rStyle w:val="FootnoteReference"/>
        </w:rPr>
        <w:footnoteRef/>
      </w:r>
      <w:r w:rsidR="00F9471C">
        <w:t xml:space="preserve"> </w:t>
      </w:r>
      <w:r w:rsidR="00F9471C">
        <w:tab/>
      </w:r>
      <w:r w:rsidR="00C7178E">
        <w:t xml:space="preserve">41 VR 302 </w:t>
      </w:r>
      <w:r>
        <w:t>[37]</w:t>
      </w:r>
    </w:p>
  </w:footnote>
  <w:footnote w:id="12">
    <w:p w14:paraId="672264AE" w14:textId="77777777" w:rsidR="00AB234F" w:rsidRDefault="00AB234F">
      <w:pPr>
        <w:pStyle w:val="FootnoteText"/>
      </w:pPr>
      <w:r>
        <w:rPr>
          <w:rStyle w:val="FootnoteReference"/>
        </w:rPr>
        <w:footnoteRef/>
      </w:r>
      <w:r w:rsidR="00F9471C">
        <w:t xml:space="preserve"> </w:t>
      </w:r>
      <w:r w:rsidR="00F9471C">
        <w:tab/>
        <w:t>Ibid</w:t>
      </w:r>
      <w:r>
        <w:t xml:space="preserve">  [36].</w:t>
      </w:r>
    </w:p>
  </w:footnote>
  <w:footnote w:id="13">
    <w:p w14:paraId="2D7D6684" w14:textId="77777777" w:rsidR="00AB234F" w:rsidRDefault="00AB234F">
      <w:pPr>
        <w:pStyle w:val="FootnoteText"/>
      </w:pPr>
      <w:r>
        <w:rPr>
          <w:rStyle w:val="FootnoteReference"/>
        </w:rPr>
        <w:footnoteRef/>
      </w:r>
      <w:r w:rsidR="00F9471C">
        <w:t xml:space="preserve"> </w:t>
      </w:r>
      <w:r w:rsidR="00F9471C">
        <w:tab/>
      </w:r>
      <w:r w:rsidR="00C7178E">
        <w:t xml:space="preserve">Ibid </w:t>
      </w:r>
      <w:r>
        <w:t>[51]</w:t>
      </w:r>
      <w:r w:rsidR="00C7178E">
        <w:t>-</w:t>
      </w:r>
      <w:r>
        <w:t xml:space="preserve"> [52] (underline added).</w:t>
      </w:r>
    </w:p>
  </w:footnote>
  <w:footnote w:id="14">
    <w:p w14:paraId="3ED2A0BB" w14:textId="77777777" w:rsidR="00AB234F" w:rsidRDefault="00AB234F" w:rsidP="00F81525">
      <w:pPr>
        <w:pStyle w:val="FootnoteText"/>
      </w:pPr>
      <w:r>
        <w:rPr>
          <w:rStyle w:val="FootnoteReference"/>
        </w:rPr>
        <w:footnoteRef/>
      </w:r>
      <w:r w:rsidR="00F9471C">
        <w:t xml:space="preserve"> </w:t>
      </w:r>
      <w:r w:rsidR="00F9471C">
        <w:tab/>
      </w:r>
      <w:r w:rsidR="00C7178E">
        <w:t xml:space="preserve">41 VR 302 </w:t>
      </w:r>
      <w:r>
        <w:t>[61].</w:t>
      </w:r>
    </w:p>
  </w:footnote>
  <w:footnote w:id="15">
    <w:p w14:paraId="316D0A6A" w14:textId="77777777" w:rsidR="00AB234F" w:rsidRDefault="00AB234F">
      <w:pPr>
        <w:pStyle w:val="FootnoteText"/>
      </w:pPr>
      <w:r>
        <w:rPr>
          <w:rStyle w:val="FootnoteReference"/>
        </w:rPr>
        <w:footnoteRef/>
      </w:r>
      <w:r w:rsidR="00F9471C">
        <w:t xml:space="preserve"> </w:t>
      </w:r>
      <w:r w:rsidR="00F9471C">
        <w:tab/>
        <w:t>Ss</w:t>
      </w:r>
      <w:r>
        <w:t xml:space="preserve"> 28, 29  CPA.</w:t>
      </w:r>
    </w:p>
  </w:footnote>
  <w:footnote w:id="16">
    <w:p w14:paraId="3F354E3D" w14:textId="0BF2CA00" w:rsidR="001375AB" w:rsidRDefault="001375AB">
      <w:pPr>
        <w:pStyle w:val="FootnoteText"/>
      </w:pPr>
      <w:r>
        <w:rPr>
          <w:rStyle w:val="FootnoteReference"/>
        </w:rPr>
        <w:footnoteRef/>
      </w:r>
      <w:r>
        <w:t xml:space="preserve"> </w:t>
      </w:r>
      <w:r>
        <w:tab/>
      </w:r>
      <w:r w:rsidR="00C90877">
        <w:t>49 VR 573</w:t>
      </w:r>
      <w:r>
        <w:t xml:space="preserve"> [110]</w:t>
      </w:r>
      <w:r w:rsidR="003A0F09">
        <w:t>.</w:t>
      </w:r>
    </w:p>
  </w:footnote>
  <w:footnote w:id="17">
    <w:p w14:paraId="7B0749CE" w14:textId="77777777" w:rsidR="00AB234F" w:rsidRDefault="00AB234F">
      <w:pPr>
        <w:pStyle w:val="FootnoteText"/>
      </w:pPr>
      <w:r>
        <w:rPr>
          <w:rStyle w:val="FootnoteReference"/>
        </w:rPr>
        <w:footnoteRef/>
      </w:r>
      <w:r>
        <w:t xml:space="preserve"> </w:t>
      </w:r>
      <w:r>
        <w:tab/>
      </w:r>
      <w:r w:rsidRPr="00F81525">
        <w:rPr>
          <w:i/>
        </w:rPr>
        <w:t>Supreme Court (General Civil Procedure) Rules 2015</w:t>
      </w:r>
      <w:r>
        <w:t xml:space="preserve">, rr 63.23, 63.28, 63.30.1.  See also </w:t>
      </w:r>
      <w:r w:rsidRPr="00F81525">
        <w:rPr>
          <w:i/>
        </w:rPr>
        <w:t>Yara v Oswal</w:t>
      </w:r>
      <w:r w:rsidR="00F9471C">
        <w:t xml:space="preserve"> </w:t>
      </w:r>
      <w:r>
        <w:tab/>
      </w:r>
      <w:r w:rsidR="00187476">
        <w:t xml:space="preserve">41 VR 302 </w:t>
      </w:r>
      <w:r>
        <w:t xml:space="preserve"> [56]-[57].</w:t>
      </w:r>
    </w:p>
  </w:footnote>
  <w:footnote w:id="18">
    <w:p w14:paraId="229A70F2" w14:textId="77777777" w:rsidR="0047018D" w:rsidRDefault="0047018D" w:rsidP="0047018D">
      <w:pPr>
        <w:pStyle w:val="FootnoteText"/>
      </w:pPr>
      <w:r>
        <w:rPr>
          <w:rStyle w:val="FootnoteReference"/>
        </w:rPr>
        <w:footnoteRef/>
      </w:r>
      <w:r>
        <w:t xml:space="preserve"> </w:t>
      </w:r>
      <w:r>
        <w:tab/>
        <w:t xml:space="preserve">Victorian Law Reform Commission, </w:t>
      </w:r>
      <w:r w:rsidRPr="00F81525">
        <w:rPr>
          <w:i/>
        </w:rPr>
        <w:t>Civil Justice Review</w:t>
      </w:r>
      <w:r>
        <w:rPr>
          <w:i/>
        </w:rPr>
        <w:t>:</w:t>
      </w:r>
      <w:r w:rsidRPr="00F81525">
        <w:rPr>
          <w:i/>
        </w:rPr>
        <w:t xml:space="preserve"> Report</w:t>
      </w:r>
      <w:r>
        <w:t>,  4 March 2008, Chapter 12, 715.</w:t>
      </w:r>
    </w:p>
  </w:footnote>
  <w:footnote w:id="19">
    <w:p w14:paraId="19EBB10F" w14:textId="083C42B7" w:rsidR="0047018D" w:rsidRDefault="0047018D" w:rsidP="0047018D">
      <w:pPr>
        <w:pStyle w:val="FootnoteText"/>
      </w:pPr>
      <w:r>
        <w:rPr>
          <w:rStyle w:val="FootnoteReference"/>
        </w:rPr>
        <w:footnoteRef/>
      </w:r>
      <w:r>
        <w:t xml:space="preserve"> </w:t>
      </w:r>
      <w:r>
        <w:tab/>
        <w:t>Victorian Law Reform Commission, Chapter 11, 680.</w:t>
      </w:r>
    </w:p>
  </w:footnote>
  <w:footnote w:id="20">
    <w:p w14:paraId="01F44852" w14:textId="77777777" w:rsidR="0047018D" w:rsidRPr="001E0FC9" w:rsidRDefault="0047018D" w:rsidP="0047018D">
      <w:pPr>
        <w:pStyle w:val="FootnoteText"/>
      </w:pPr>
      <w:r>
        <w:rPr>
          <w:rStyle w:val="FootnoteReference"/>
        </w:rPr>
        <w:footnoteRef/>
      </w:r>
      <w:r>
        <w:t xml:space="preserve"> </w:t>
      </w:r>
      <w:r>
        <w:tab/>
      </w:r>
      <w:r w:rsidRPr="001E0FC9">
        <w:t xml:space="preserve">The circumstances when the demands of justice may require a departure from the ordinary rule were </w:t>
      </w:r>
    </w:p>
    <w:p w14:paraId="13872A4A" w14:textId="77777777" w:rsidR="0047018D" w:rsidRPr="00F81525" w:rsidRDefault="0047018D" w:rsidP="0047018D">
      <w:pPr>
        <w:pStyle w:val="FootnoteText"/>
        <w:ind w:firstLine="720"/>
        <w:rPr>
          <w:rFonts w:cs="Arial"/>
        </w:rPr>
      </w:pPr>
      <w:r w:rsidRPr="001E0FC9">
        <w:t xml:space="preserve">outlined in </w:t>
      </w:r>
      <w:r w:rsidRPr="00F81525">
        <w:rPr>
          <w:rFonts w:cs="Arial"/>
          <w:i/>
          <w:iCs/>
        </w:rPr>
        <w:t>Clayton Utz v Dale (No 3)</w:t>
      </w:r>
      <w:r w:rsidRPr="00F81525">
        <w:rPr>
          <w:rFonts w:cs="Arial"/>
        </w:rPr>
        <w:t xml:space="preserve"> [2013] VSC 593 [65], and more recently by Hargrave J </w:t>
      </w:r>
    </w:p>
    <w:p w14:paraId="436E0AB6" w14:textId="77777777" w:rsidR="0047018D" w:rsidRDefault="0047018D" w:rsidP="0047018D">
      <w:pPr>
        <w:pStyle w:val="FootnoteText"/>
        <w:ind w:firstLine="720"/>
      </w:pPr>
      <w:r w:rsidRPr="00F81525">
        <w:rPr>
          <w:rFonts w:cs="Arial"/>
        </w:rPr>
        <w:t xml:space="preserve">(as he then was) in </w:t>
      </w:r>
      <w:r w:rsidRPr="00DB06F8">
        <w:rPr>
          <w:rFonts w:cs="Arial"/>
          <w:i/>
        </w:rPr>
        <w:t>Fanissa Pty Ltd &amp; Anor v Versace &amp; Anor</w:t>
      </w:r>
      <w:r w:rsidRPr="00F81525">
        <w:rPr>
          <w:rFonts w:cs="Arial"/>
        </w:rPr>
        <w:t xml:space="preserve"> [2016] VSC 416 [25]-[33].</w:t>
      </w:r>
    </w:p>
  </w:footnote>
  <w:footnote w:id="21">
    <w:p w14:paraId="61A76742" w14:textId="77777777" w:rsidR="00AB234F" w:rsidRDefault="00AB234F">
      <w:pPr>
        <w:pStyle w:val="FootnoteText"/>
      </w:pPr>
      <w:r>
        <w:rPr>
          <w:rStyle w:val="FootnoteReference"/>
        </w:rPr>
        <w:footnoteRef/>
      </w:r>
      <w:r>
        <w:t xml:space="preserve"> </w:t>
      </w:r>
      <w:r>
        <w:tab/>
      </w:r>
      <w:r w:rsidRPr="00081B6E">
        <w:rPr>
          <w:rFonts w:ascii="Arial" w:hAnsi="Arial" w:cs="Arial"/>
        </w:rPr>
        <w:t>[2017] VSC 656</w:t>
      </w:r>
      <w:r>
        <w:rPr>
          <w:rFonts w:ascii="Arial" w:hAnsi="Arial" w:cs="Arial"/>
        </w:rPr>
        <w:t>.</w:t>
      </w:r>
    </w:p>
  </w:footnote>
  <w:footnote w:id="22">
    <w:p w14:paraId="59CDC3F9" w14:textId="77777777" w:rsidR="00AB234F" w:rsidRDefault="00AB234F" w:rsidP="00CC2CDA">
      <w:pPr>
        <w:pStyle w:val="FootnoteText"/>
      </w:pPr>
      <w:r>
        <w:rPr>
          <w:rStyle w:val="FootnoteReference"/>
        </w:rPr>
        <w:footnoteRef/>
      </w:r>
      <w:r>
        <w:t xml:space="preserve"> </w:t>
      </w:r>
      <w:r>
        <w:tab/>
        <w:t xml:space="preserve">See, for example: </w:t>
      </w:r>
      <w:r w:rsidRPr="3A5A0E67">
        <w:rPr>
          <w:i/>
          <w:iCs/>
        </w:rPr>
        <w:t>Crowe Horwath (Aust) Pty Ltd v Lawson</w:t>
      </w:r>
      <w:r w:rsidRPr="009E039D">
        <w:t xml:space="preserve"> [2017] VSC</w:t>
      </w:r>
      <w:r>
        <w:t xml:space="preserve"> 118.</w:t>
      </w:r>
    </w:p>
  </w:footnote>
  <w:footnote w:id="23">
    <w:p w14:paraId="45E4032B" w14:textId="77777777" w:rsidR="00DB5EA8" w:rsidRDefault="00DB5EA8">
      <w:pPr>
        <w:pStyle w:val="FootnoteText"/>
      </w:pPr>
      <w:r>
        <w:rPr>
          <w:rStyle w:val="FootnoteReference"/>
        </w:rPr>
        <w:footnoteRef/>
      </w:r>
      <w:r>
        <w:t xml:space="preserve"> </w:t>
      </w:r>
      <w:r>
        <w:tab/>
        <w:t>Victorian Law Reform Commission, Ch</w:t>
      </w:r>
      <w:r w:rsidR="00274F8A">
        <w:t>apter</w:t>
      </w:r>
      <w:r>
        <w:t xml:space="preserve"> 11, 658.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369496"/>
      <w:docPartObj>
        <w:docPartGallery w:val="Page Numbers (Top of Page)"/>
        <w:docPartUnique/>
      </w:docPartObj>
    </w:sdtPr>
    <w:sdtEndPr>
      <w:rPr>
        <w:noProof/>
      </w:rPr>
    </w:sdtEndPr>
    <w:sdtContent>
      <w:p w14:paraId="6E798F54" w14:textId="77777777" w:rsidR="00AB234F" w:rsidRDefault="00AB234F">
        <w:pPr>
          <w:pStyle w:val="Header"/>
          <w:jc w:val="right"/>
        </w:pPr>
        <w:r>
          <w:fldChar w:fldCharType="begin"/>
        </w:r>
        <w:r>
          <w:instrText xml:space="preserve"> PAGE   \* MERGEFORMAT </w:instrText>
        </w:r>
        <w:r>
          <w:fldChar w:fldCharType="separate"/>
        </w:r>
        <w:r w:rsidR="00635D20">
          <w:rPr>
            <w:noProof/>
          </w:rPr>
          <w:t>3</w:t>
        </w:r>
        <w:r>
          <w:rPr>
            <w:noProof/>
          </w:rPr>
          <w:fldChar w:fldCharType="end"/>
        </w:r>
      </w:p>
    </w:sdtContent>
  </w:sdt>
  <w:p w14:paraId="487C7470" w14:textId="77777777" w:rsidR="00AB234F" w:rsidRDefault="00AB23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5E2D5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3485116"/>
    <w:multiLevelType w:val="hybridMultilevel"/>
    <w:tmpl w:val="E8A81B8C"/>
    <w:lvl w:ilvl="0" w:tplc="0409000F">
      <w:start w:val="1"/>
      <w:numFmt w:val="decimal"/>
      <w:lvlText w:val="%1."/>
      <w:lvlJc w:val="left"/>
      <w:pPr>
        <w:ind w:left="144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65E54C5"/>
    <w:multiLevelType w:val="hybridMultilevel"/>
    <w:tmpl w:val="C180E98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75AD2D66"/>
    <w:multiLevelType w:val="hybridMultilevel"/>
    <w:tmpl w:val="9C46A7F2"/>
    <w:lvl w:ilvl="0" w:tplc="0C09000F">
      <w:start w:val="1"/>
      <w:numFmt w:val="decimal"/>
      <w:lvlText w:val="%1."/>
      <w:lvlJc w:val="left"/>
      <w:pPr>
        <w:ind w:left="720" w:hanging="360"/>
      </w:pPr>
    </w:lvl>
    <w:lvl w:ilvl="1" w:tplc="913AF82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82E4431"/>
    <w:multiLevelType w:val="hybridMultilevel"/>
    <w:tmpl w:val="8FD69D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7A03255F"/>
    <w:multiLevelType w:val="hybridMultilevel"/>
    <w:tmpl w:val="D67AAE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7E740CF1"/>
    <w:multiLevelType w:val="multilevel"/>
    <w:tmpl w:val="764E33A6"/>
    <w:lvl w:ilvl="0">
      <w:start w:val="1"/>
      <w:numFmt w:val="decimal"/>
      <w:lvlText w:val="%1"/>
      <w:lvlJc w:val="left"/>
      <w:pPr>
        <w:tabs>
          <w:tab w:val="num" w:pos="1080"/>
        </w:tabs>
        <w:ind w:left="108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Restart w:val="1"/>
      <w:lvlText w:val="(%3)"/>
      <w:lvlJc w:val="left"/>
      <w:pPr>
        <w:tabs>
          <w:tab w:val="num" w:pos="1800"/>
        </w:tabs>
        <w:ind w:left="1800" w:hanging="360"/>
      </w:pPr>
      <w:rPr>
        <w:rFonts w:hint="default"/>
      </w:rPr>
    </w:lvl>
    <w:lvl w:ilvl="3">
      <w:start w:val="1"/>
      <w:numFmt w:val="none"/>
      <w:lvlText w:val=""/>
      <w:lvlJc w:val="left"/>
      <w:pPr>
        <w:tabs>
          <w:tab w:val="num" w:pos="2160"/>
        </w:tabs>
        <w:ind w:left="2160" w:hanging="360"/>
      </w:pPr>
      <w:rPr>
        <w:rFonts w:hint="default"/>
      </w:rPr>
    </w:lvl>
    <w:lvl w:ilvl="4">
      <w:start w:val="1"/>
      <w:numFmt w:val="none"/>
      <w:lvlText w:val=""/>
      <w:lvlJc w:val="left"/>
      <w:pPr>
        <w:tabs>
          <w:tab w:val="num" w:pos="2520"/>
        </w:tabs>
        <w:ind w:left="2520" w:hanging="360"/>
      </w:pPr>
      <w:rPr>
        <w:rFonts w:hint="default"/>
      </w:rPr>
    </w:lvl>
    <w:lvl w:ilvl="5">
      <w:numFmt w:val="none"/>
      <w:lvlText w:val=""/>
      <w:lvlJc w:val="left"/>
      <w:pPr>
        <w:tabs>
          <w:tab w:val="num" w:pos="360"/>
        </w:tabs>
      </w:pPr>
    </w:lvl>
    <w:lvl w:ilvl="6">
      <w:start w:val="1"/>
      <w:numFmt w:val="none"/>
      <w:lvlText w:val="%7"/>
      <w:lvlJc w:val="left"/>
      <w:pPr>
        <w:tabs>
          <w:tab w:val="num" w:pos="3240"/>
        </w:tabs>
        <w:ind w:left="3240" w:hanging="360"/>
      </w:pPr>
      <w:rPr>
        <w:rFonts w:hint="default"/>
      </w:rPr>
    </w:lvl>
    <w:lvl w:ilvl="7">
      <w:start w:val="1"/>
      <w:numFmt w:val="none"/>
      <w:lvlText w:val="%8"/>
      <w:lvlJc w:val="left"/>
      <w:pPr>
        <w:tabs>
          <w:tab w:val="num" w:pos="3600"/>
        </w:tabs>
        <w:ind w:left="3600" w:hanging="360"/>
      </w:pPr>
      <w:rPr>
        <w:rFonts w:hint="default"/>
      </w:rPr>
    </w:lvl>
    <w:lvl w:ilvl="8">
      <w:start w:val="1"/>
      <w:numFmt w:val="none"/>
      <w:lvlText w:val="%9"/>
      <w:lvlJc w:val="left"/>
      <w:pPr>
        <w:tabs>
          <w:tab w:val="num" w:pos="3960"/>
        </w:tabs>
        <w:ind w:left="3960" w:hanging="3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D3"/>
    <w:rsid w:val="00011B40"/>
    <w:rsid w:val="000139DF"/>
    <w:rsid w:val="00016A94"/>
    <w:rsid w:val="0003048A"/>
    <w:rsid w:val="00032588"/>
    <w:rsid w:val="00043390"/>
    <w:rsid w:val="00043835"/>
    <w:rsid w:val="0007613E"/>
    <w:rsid w:val="00081B6E"/>
    <w:rsid w:val="000B260B"/>
    <w:rsid w:val="000F5CEB"/>
    <w:rsid w:val="001064E8"/>
    <w:rsid w:val="00120184"/>
    <w:rsid w:val="00125BAE"/>
    <w:rsid w:val="00126C12"/>
    <w:rsid w:val="00137582"/>
    <w:rsid w:val="001375AB"/>
    <w:rsid w:val="0014453A"/>
    <w:rsid w:val="00151832"/>
    <w:rsid w:val="0016339F"/>
    <w:rsid w:val="00181FD4"/>
    <w:rsid w:val="00187476"/>
    <w:rsid w:val="00193728"/>
    <w:rsid w:val="0019762F"/>
    <w:rsid w:val="001A29DB"/>
    <w:rsid w:val="001E0FC9"/>
    <w:rsid w:val="001F4109"/>
    <w:rsid w:val="001F6535"/>
    <w:rsid w:val="001F6681"/>
    <w:rsid w:val="001F7A05"/>
    <w:rsid w:val="002054D8"/>
    <w:rsid w:val="0023696E"/>
    <w:rsid w:val="00240C6F"/>
    <w:rsid w:val="00274F8A"/>
    <w:rsid w:val="00275E33"/>
    <w:rsid w:val="002C5B7B"/>
    <w:rsid w:val="002D5281"/>
    <w:rsid w:val="003035B2"/>
    <w:rsid w:val="0030716A"/>
    <w:rsid w:val="00312452"/>
    <w:rsid w:val="00314A43"/>
    <w:rsid w:val="003469CB"/>
    <w:rsid w:val="0036089D"/>
    <w:rsid w:val="00361D3C"/>
    <w:rsid w:val="00383F2E"/>
    <w:rsid w:val="003948D3"/>
    <w:rsid w:val="003A0F09"/>
    <w:rsid w:val="003A2B16"/>
    <w:rsid w:val="003B52B3"/>
    <w:rsid w:val="003C0A96"/>
    <w:rsid w:val="003D00B0"/>
    <w:rsid w:val="003E7490"/>
    <w:rsid w:val="003F076F"/>
    <w:rsid w:val="003F66A2"/>
    <w:rsid w:val="00403C40"/>
    <w:rsid w:val="00405987"/>
    <w:rsid w:val="00414AA2"/>
    <w:rsid w:val="0047018D"/>
    <w:rsid w:val="00474900"/>
    <w:rsid w:val="00474C6B"/>
    <w:rsid w:val="0048163C"/>
    <w:rsid w:val="004912F4"/>
    <w:rsid w:val="004A5E74"/>
    <w:rsid w:val="004B6E9C"/>
    <w:rsid w:val="004C7987"/>
    <w:rsid w:val="004D2ABC"/>
    <w:rsid w:val="004E006F"/>
    <w:rsid w:val="0050121A"/>
    <w:rsid w:val="00506118"/>
    <w:rsid w:val="00506AD4"/>
    <w:rsid w:val="00507E14"/>
    <w:rsid w:val="00512855"/>
    <w:rsid w:val="005164E7"/>
    <w:rsid w:val="00525D93"/>
    <w:rsid w:val="005337E5"/>
    <w:rsid w:val="00533CEF"/>
    <w:rsid w:val="00537CE8"/>
    <w:rsid w:val="00541285"/>
    <w:rsid w:val="00542BE7"/>
    <w:rsid w:val="005724FF"/>
    <w:rsid w:val="00577B06"/>
    <w:rsid w:val="005A1AB4"/>
    <w:rsid w:val="005B2392"/>
    <w:rsid w:val="005C08B6"/>
    <w:rsid w:val="005D09EA"/>
    <w:rsid w:val="005F390B"/>
    <w:rsid w:val="00603000"/>
    <w:rsid w:val="00614BE6"/>
    <w:rsid w:val="00621FC7"/>
    <w:rsid w:val="00635D20"/>
    <w:rsid w:val="0065195A"/>
    <w:rsid w:val="006543D3"/>
    <w:rsid w:val="006A0413"/>
    <w:rsid w:val="006A0569"/>
    <w:rsid w:val="006A3ABF"/>
    <w:rsid w:val="006A6FE1"/>
    <w:rsid w:val="006C71DB"/>
    <w:rsid w:val="006D53CF"/>
    <w:rsid w:val="006E35FB"/>
    <w:rsid w:val="006E3E92"/>
    <w:rsid w:val="006E519D"/>
    <w:rsid w:val="006E74A4"/>
    <w:rsid w:val="0070023A"/>
    <w:rsid w:val="00701B12"/>
    <w:rsid w:val="00705905"/>
    <w:rsid w:val="00716454"/>
    <w:rsid w:val="00717513"/>
    <w:rsid w:val="00733ADD"/>
    <w:rsid w:val="00772C1C"/>
    <w:rsid w:val="00785C92"/>
    <w:rsid w:val="00794132"/>
    <w:rsid w:val="007A57D7"/>
    <w:rsid w:val="007C061A"/>
    <w:rsid w:val="007E55FC"/>
    <w:rsid w:val="007F575B"/>
    <w:rsid w:val="00847C44"/>
    <w:rsid w:val="008777C5"/>
    <w:rsid w:val="008A2C5F"/>
    <w:rsid w:val="008A3539"/>
    <w:rsid w:val="008A72DB"/>
    <w:rsid w:val="008C0FD1"/>
    <w:rsid w:val="008C37F4"/>
    <w:rsid w:val="008D2B3F"/>
    <w:rsid w:val="00903B70"/>
    <w:rsid w:val="00907BBA"/>
    <w:rsid w:val="0091188B"/>
    <w:rsid w:val="00915ED4"/>
    <w:rsid w:val="009213AF"/>
    <w:rsid w:val="00923E15"/>
    <w:rsid w:val="00924A42"/>
    <w:rsid w:val="0095003C"/>
    <w:rsid w:val="0096377F"/>
    <w:rsid w:val="00963A80"/>
    <w:rsid w:val="00976725"/>
    <w:rsid w:val="0098504C"/>
    <w:rsid w:val="009B3829"/>
    <w:rsid w:val="009D358F"/>
    <w:rsid w:val="009D56BE"/>
    <w:rsid w:val="009E039D"/>
    <w:rsid w:val="009E55B5"/>
    <w:rsid w:val="00A0121B"/>
    <w:rsid w:val="00A11481"/>
    <w:rsid w:val="00A11544"/>
    <w:rsid w:val="00A504B9"/>
    <w:rsid w:val="00A621BA"/>
    <w:rsid w:val="00A634C9"/>
    <w:rsid w:val="00A91435"/>
    <w:rsid w:val="00A9538B"/>
    <w:rsid w:val="00A96BA5"/>
    <w:rsid w:val="00AB234F"/>
    <w:rsid w:val="00AC5345"/>
    <w:rsid w:val="00AD4753"/>
    <w:rsid w:val="00AD5BA9"/>
    <w:rsid w:val="00AE03D2"/>
    <w:rsid w:val="00AE6BF6"/>
    <w:rsid w:val="00AF2592"/>
    <w:rsid w:val="00AF4E4D"/>
    <w:rsid w:val="00B01F34"/>
    <w:rsid w:val="00B05E57"/>
    <w:rsid w:val="00B0602E"/>
    <w:rsid w:val="00B14C09"/>
    <w:rsid w:val="00B51D57"/>
    <w:rsid w:val="00B533B0"/>
    <w:rsid w:val="00B6236C"/>
    <w:rsid w:val="00B92CFF"/>
    <w:rsid w:val="00B97E2C"/>
    <w:rsid w:val="00BA2A6F"/>
    <w:rsid w:val="00BA2C3C"/>
    <w:rsid w:val="00BA550C"/>
    <w:rsid w:val="00BC6B8C"/>
    <w:rsid w:val="00BD0B08"/>
    <w:rsid w:val="00BF15C5"/>
    <w:rsid w:val="00BF6C0C"/>
    <w:rsid w:val="00C3392C"/>
    <w:rsid w:val="00C43FC9"/>
    <w:rsid w:val="00C541AC"/>
    <w:rsid w:val="00C637EE"/>
    <w:rsid w:val="00C7178E"/>
    <w:rsid w:val="00C872F2"/>
    <w:rsid w:val="00C90877"/>
    <w:rsid w:val="00C952DA"/>
    <w:rsid w:val="00C97D2B"/>
    <w:rsid w:val="00CA342D"/>
    <w:rsid w:val="00CB0BC0"/>
    <w:rsid w:val="00CC2CDA"/>
    <w:rsid w:val="00CD37E4"/>
    <w:rsid w:val="00CF4C40"/>
    <w:rsid w:val="00D0253C"/>
    <w:rsid w:val="00D14CDE"/>
    <w:rsid w:val="00D21EB3"/>
    <w:rsid w:val="00D25318"/>
    <w:rsid w:val="00D4768E"/>
    <w:rsid w:val="00D6792B"/>
    <w:rsid w:val="00D67F29"/>
    <w:rsid w:val="00DB06F8"/>
    <w:rsid w:val="00DB3776"/>
    <w:rsid w:val="00DB5C87"/>
    <w:rsid w:val="00DB5EA8"/>
    <w:rsid w:val="00DC4335"/>
    <w:rsid w:val="00DC76A0"/>
    <w:rsid w:val="00DD76C0"/>
    <w:rsid w:val="00DE56BF"/>
    <w:rsid w:val="00DE6B9B"/>
    <w:rsid w:val="00E00D8F"/>
    <w:rsid w:val="00E07935"/>
    <w:rsid w:val="00E23FCC"/>
    <w:rsid w:val="00E24B30"/>
    <w:rsid w:val="00E25100"/>
    <w:rsid w:val="00E2584E"/>
    <w:rsid w:val="00E25AE6"/>
    <w:rsid w:val="00E277BD"/>
    <w:rsid w:val="00E40A59"/>
    <w:rsid w:val="00E4632B"/>
    <w:rsid w:val="00E53D01"/>
    <w:rsid w:val="00E54A53"/>
    <w:rsid w:val="00E54D20"/>
    <w:rsid w:val="00E564FE"/>
    <w:rsid w:val="00E571BF"/>
    <w:rsid w:val="00E67961"/>
    <w:rsid w:val="00E74EC7"/>
    <w:rsid w:val="00E92486"/>
    <w:rsid w:val="00E924A5"/>
    <w:rsid w:val="00E94CA1"/>
    <w:rsid w:val="00EA2C34"/>
    <w:rsid w:val="00EB3502"/>
    <w:rsid w:val="00EE50BA"/>
    <w:rsid w:val="00EF1F6A"/>
    <w:rsid w:val="00EF545D"/>
    <w:rsid w:val="00F03D13"/>
    <w:rsid w:val="00F13D67"/>
    <w:rsid w:val="00F25440"/>
    <w:rsid w:val="00F32B29"/>
    <w:rsid w:val="00F50A1A"/>
    <w:rsid w:val="00F538EB"/>
    <w:rsid w:val="00F62C12"/>
    <w:rsid w:val="00F65937"/>
    <w:rsid w:val="00F73D1C"/>
    <w:rsid w:val="00F81525"/>
    <w:rsid w:val="00F92EA2"/>
    <w:rsid w:val="00F9471C"/>
    <w:rsid w:val="00FA193E"/>
    <w:rsid w:val="00FD2D61"/>
    <w:rsid w:val="3A5A0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BC7727"/>
  <w15:chartTrackingRefBased/>
  <w15:docId w15:val="{56DE2358-28C0-47E0-9B9E-78BB81F7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1F6535"/>
    <w:pPr>
      <w:widowControl w:val="0"/>
      <w:tabs>
        <w:tab w:val="left" w:pos="720"/>
        <w:tab w:val="num" w:pos="1080"/>
      </w:tabs>
      <w:spacing w:after="240" w:line="480" w:lineRule="atLeast"/>
      <w:ind w:left="1080" w:hanging="360"/>
      <w:jc w:val="both"/>
      <w:outlineLvl w:val="0"/>
    </w:pPr>
    <w:rPr>
      <w:rFonts w:ascii="Book Antiqua" w:eastAsia="Times New Roman" w:hAnsi="Book Antiqua" w:cs="Times New Roman"/>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C40"/>
    <w:pPr>
      <w:spacing w:after="0" w:line="240" w:lineRule="auto"/>
      <w:ind w:left="720"/>
      <w:contextualSpacing/>
    </w:pPr>
    <w:rPr>
      <w:rFonts w:ascii="Times New Roman" w:hAnsi="Times New Roman" w:cs="Times New Roman"/>
      <w:sz w:val="24"/>
      <w:szCs w:val="24"/>
      <w:lang w:val="en-US"/>
    </w:rPr>
  </w:style>
  <w:style w:type="paragraph" w:customStyle="1" w:styleId="Default">
    <w:name w:val="Default"/>
    <w:rsid w:val="006E35FB"/>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DE5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6BF"/>
    <w:rPr>
      <w:rFonts w:ascii="Segoe UI" w:hAnsi="Segoe UI" w:cs="Segoe UI"/>
      <w:sz w:val="18"/>
      <w:szCs w:val="18"/>
    </w:rPr>
  </w:style>
  <w:style w:type="paragraph" w:styleId="Header">
    <w:name w:val="header"/>
    <w:basedOn w:val="Normal"/>
    <w:link w:val="HeaderChar"/>
    <w:uiPriority w:val="99"/>
    <w:unhideWhenUsed/>
    <w:rsid w:val="00DE56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6BF"/>
  </w:style>
  <w:style w:type="paragraph" w:styleId="Footer">
    <w:name w:val="footer"/>
    <w:basedOn w:val="Normal"/>
    <w:link w:val="FooterChar"/>
    <w:uiPriority w:val="99"/>
    <w:unhideWhenUsed/>
    <w:rsid w:val="00DE56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6BF"/>
  </w:style>
  <w:style w:type="paragraph" w:styleId="FootnoteText">
    <w:name w:val="footnote text"/>
    <w:basedOn w:val="Normal"/>
    <w:link w:val="FootnoteTextChar"/>
    <w:unhideWhenUsed/>
    <w:rsid w:val="001F4109"/>
    <w:pPr>
      <w:spacing w:after="0" w:line="240" w:lineRule="auto"/>
    </w:pPr>
    <w:rPr>
      <w:sz w:val="20"/>
      <w:szCs w:val="20"/>
    </w:rPr>
  </w:style>
  <w:style w:type="character" w:customStyle="1" w:styleId="FootnoteTextChar">
    <w:name w:val="Footnote Text Char"/>
    <w:basedOn w:val="DefaultParagraphFont"/>
    <w:link w:val="FootnoteText"/>
    <w:rsid w:val="001F4109"/>
    <w:rPr>
      <w:sz w:val="20"/>
      <w:szCs w:val="20"/>
    </w:rPr>
  </w:style>
  <w:style w:type="character" w:styleId="FootnoteReference">
    <w:name w:val="footnote reference"/>
    <w:basedOn w:val="DefaultParagraphFont"/>
    <w:semiHidden/>
    <w:unhideWhenUsed/>
    <w:rsid w:val="001F4109"/>
    <w:rPr>
      <w:vertAlign w:val="superscript"/>
    </w:rPr>
  </w:style>
  <w:style w:type="character" w:styleId="Hyperlink">
    <w:name w:val="Hyperlink"/>
    <w:basedOn w:val="DefaultParagraphFont"/>
    <w:uiPriority w:val="99"/>
    <w:unhideWhenUsed/>
    <w:rsid w:val="001F4109"/>
    <w:rPr>
      <w:color w:val="0563C1" w:themeColor="hyperlink"/>
      <w:u w:val="single"/>
    </w:rPr>
  </w:style>
  <w:style w:type="character" w:styleId="CommentReference">
    <w:name w:val="annotation reference"/>
    <w:basedOn w:val="DefaultParagraphFont"/>
    <w:uiPriority w:val="99"/>
    <w:semiHidden/>
    <w:unhideWhenUsed/>
    <w:rsid w:val="009D56BE"/>
    <w:rPr>
      <w:sz w:val="16"/>
      <w:szCs w:val="16"/>
    </w:rPr>
  </w:style>
  <w:style w:type="paragraph" w:styleId="CommentText">
    <w:name w:val="annotation text"/>
    <w:basedOn w:val="Normal"/>
    <w:link w:val="CommentTextChar"/>
    <w:uiPriority w:val="99"/>
    <w:semiHidden/>
    <w:unhideWhenUsed/>
    <w:rsid w:val="009D56BE"/>
    <w:pPr>
      <w:spacing w:line="240" w:lineRule="auto"/>
    </w:pPr>
    <w:rPr>
      <w:sz w:val="20"/>
      <w:szCs w:val="20"/>
    </w:rPr>
  </w:style>
  <w:style w:type="character" w:customStyle="1" w:styleId="CommentTextChar">
    <w:name w:val="Comment Text Char"/>
    <w:basedOn w:val="DefaultParagraphFont"/>
    <w:link w:val="CommentText"/>
    <w:uiPriority w:val="99"/>
    <w:semiHidden/>
    <w:rsid w:val="009D56BE"/>
    <w:rPr>
      <w:sz w:val="20"/>
      <w:szCs w:val="20"/>
    </w:rPr>
  </w:style>
  <w:style w:type="paragraph" w:styleId="CommentSubject">
    <w:name w:val="annotation subject"/>
    <w:basedOn w:val="CommentText"/>
    <w:next w:val="CommentText"/>
    <w:link w:val="CommentSubjectChar"/>
    <w:uiPriority w:val="99"/>
    <w:semiHidden/>
    <w:unhideWhenUsed/>
    <w:rsid w:val="009D56BE"/>
    <w:rPr>
      <w:b/>
      <w:bCs/>
    </w:rPr>
  </w:style>
  <w:style w:type="character" w:customStyle="1" w:styleId="CommentSubjectChar">
    <w:name w:val="Comment Subject Char"/>
    <w:basedOn w:val="CommentTextChar"/>
    <w:link w:val="CommentSubject"/>
    <w:uiPriority w:val="99"/>
    <w:semiHidden/>
    <w:rsid w:val="009D56BE"/>
    <w:rPr>
      <w:b/>
      <w:bCs/>
      <w:sz w:val="20"/>
      <w:szCs w:val="20"/>
    </w:rPr>
  </w:style>
  <w:style w:type="character" w:customStyle="1" w:styleId="Heading1Char">
    <w:name w:val="Heading 1 Char"/>
    <w:basedOn w:val="DefaultParagraphFont"/>
    <w:link w:val="Heading1"/>
    <w:rsid w:val="001F6535"/>
    <w:rPr>
      <w:rFonts w:ascii="Book Antiqua" w:eastAsia="Times New Roman" w:hAnsi="Book Antiqua" w:cs="Times New Roman"/>
      <w:kern w:val="28"/>
      <w:sz w:val="24"/>
      <w:szCs w:val="20"/>
    </w:rPr>
  </w:style>
  <w:style w:type="paragraph" w:styleId="NormalWeb">
    <w:name w:val="Normal (Web)"/>
    <w:basedOn w:val="Normal"/>
    <w:uiPriority w:val="99"/>
    <w:semiHidden/>
    <w:unhideWhenUsed/>
    <w:rsid w:val="001F653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thead5">
    <w:name w:val="acthead5"/>
    <w:basedOn w:val="Normal"/>
    <w:rsid w:val="00537CE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
    <w:name w:val="charsectno"/>
    <w:basedOn w:val="DefaultParagraphFont"/>
    <w:rsid w:val="00537CE8"/>
  </w:style>
  <w:style w:type="paragraph" w:customStyle="1" w:styleId="subsection">
    <w:name w:val="subsection"/>
    <w:basedOn w:val="Normal"/>
    <w:rsid w:val="00537CE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etext">
    <w:name w:val="notetext"/>
    <w:basedOn w:val="Normal"/>
    <w:rsid w:val="00537CE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537CE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
    <w:name w:val="paragraphsub"/>
    <w:basedOn w:val="Normal"/>
    <w:rsid w:val="00537CE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SectionSubChar">
    <w:name w:val="Body Section (Sub) Char"/>
    <w:basedOn w:val="DefaultParagraphFont"/>
    <w:link w:val="BodySectionSub"/>
    <w:locked/>
    <w:rsid w:val="004D2ABC"/>
    <w:rPr>
      <w:sz w:val="24"/>
    </w:rPr>
  </w:style>
  <w:style w:type="paragraph" w:customStyle="1" w:styleId="BodySectionSub">
    <w:name w:val="Body Section (Sub)"/>
    <w:next w:val="Normal"/>
    <w:link w:val="BodySectionSubChar"/>
    <w:rsid w:val="004D2ABC"/>
    <w:pPr>
      <w:overflowPunct w:val="0"/>
      <w:autoSpaceDE w:val="0"/>
      <w:autoSpaceDN w:val="0"/>
      <w:adjustRightInd w:val="0"/>
      <w:spacing w:before="120" w:after="0" w:line="240" w:lineRule="auto"/>
      <w:ind w:left="1361"/>
    </w:pPr>
    <w:rPr>
      <w:sz w:val="24"/>
    </w:rPr>
  </w:style>
  <w:style w:type="paragraph" w:customStyle="1" w:styleId="DraftHeading1">
    <w:name w:val="Draft Heading 1"/>
    <w:basedOn w:val="Normal"/>
    <w:next w:val="Normal"/>
    <w:rsid w:val="004D2ABC"/>
    <w:pPr>
      <w:overflowPunct w:val="0"/>
      <w:autoSpaceDE w:val="0"/>
      <w:autoSpaceDN w:val="0"/>
      <w:adjustRightInd w:val="0"/>
      <w:spacing w:before="120" w:after="0" w:line="240" w:lineRule="auto"/>
      <w:outlineLvl w:val="2"/>
    </w:pPr>
    <w:rPr>
      <w:rFonts w:ascii="Times New Roman" w:eastAsia="Times New Roman" w:hAnsi="Times New Roman" w:cs="Times New Roman"/>
      <w:b/>
      <w:sz w:val="24"/>
      <w:szCs w:val="24"/>
    </w:rPr>
  </w:style>
  <w:style w:type="character" w:styleId="Strong">
    <w:name w:val="Strong"/>
    <w:basedOn w:val="DefaultParagraphFont"/>
    <w:uiPriority w:val="22"/>
    <w:qFormat/>
    <w:rsid w:val="00923E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20901">
      <w:bodyDiv w:val="1"/>
      <w:marLeft w:val="0"/>
      <w:marRight w:val="0"/>
      <w:marTop w:val="0"/>
      <w:marBottom w:val="0"/>
      <w:divBdr>
        <w:top w:val="none" w:sz="0" w:space="0" w:color="auto"/>
        <w:left w:val="none" w:sz="0" w:space="0" w:color="auto"/>
        <w:bottom w:val="none" w:sz="0" w:space="0" w:color="auto"/>
        <w:right w:val="none" w:sz="0" w:space="0" w:color="auto"/>
      </w:divBdr>
      <w:divsChild>
        <w:div w:id="690104383">
          <w:marLeft w:val="0"/>
          <w:marRight w:val="0"/>
          <w:marTop w:val="0"/>
          <w:marBottom w:val="0"/>
          <w:divBdr>
            <w:top w:val="none" w:sz="0" w:space="0" w:color="auto"/>
            <w:left w:val="none" w:sz="0" w:space="0" w:color="auto"/>
            <w:bottom w:val="none" w:sz="0" w:space="0" w:color="auto"/>
            <w:right w:val="none" w:sz="0" w:space="0" w:color="auto"/>
          </w:divBdr>
          <w:divsChild>
            <w:div w:id="6931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83813">
      <w:bodyDiv w:val="1"/>
      <w:marLeft w:val="0"/>
      <w:marRight w:val="0"/>
      <w:marTop w:val="0"/>
      <w:marBottom w:val="0"/>
      <w:divBdr>
        <w:top w:val="none" w:sz="0" w:space="0" w:color="auto"/>
        <w:left w:val="none" w:sz="0" w:space="0" w:color="auto"/>
        <w:bottom w:val="none" w:sz="0" w:space="0" w:color="auto"/>
        <w:right w:val="none" w:sz="0" w:space="0" w:color="auto"/>
      </w:divBdr>
    </w:div>
    <w:div w:id="1091702870">
      <w:bodyDiv w:val="1"/>
      <w:marLeft w:val="0"/>
      <w:marRight w:val="0"/>
      <w:marTop w:val="0"/>
      <w:marBottom w:val="0"/>
      <w:divBdr>
        <w:top w:val="none" w:sz="0" w:space="0" w:color="auto"/>
        <w:left w:val="none" w:sz="0" w:space="0" w:color="auto"/>
        <w:bottom w:val="none" w:sz="0" w:space="0" w:color="auto"/>
        <w:right w:val="none" w:sz="0" w:space="0" w:color="auto"/>
      </w:divBdr>
      <w:divsChild>
        <w:div w:id="1910536109">
          <w:marLeft w:val="0"/>
          <w:marRight w:val="0"/>
          <w:marTop w:val="0"/>
          <w:marBottom w:val="0"/>
          <w:divBdr>
            <w:top w:val="none" w:sz="0" w:space="0" w:color="auto"/>
            <w:left w:val="none" w:sz="0" w:space="0" w:color="auto"/>
            <w:bottom w:val="none" w:sz="0" w:space="0" w:color="auto"/>
            <w:right w:val="none" w:sz="0" w:space="0" w:color="auto"/>
          </w:divBdr>
          <w:divsChild>
            <w:div w:id="1467501873">
              <w:marLeft w:val="0"/>
              <w:marRight w:val="0"/>
              <w:marTop w:val="0"/>
              <w:marBottom w:val="0"/>
              <w:divBdr>
                <w:top w:val="none" w:sz="0" w:space="0" w:color="auto"/>
                <w:left w:val="none" w:sz="0" w:space="0" w:color="auto"/>
                <w:bottom w:val="none" w:sz="0" w:space="0" w:color="auto"/>
                <w:right w:val="none" w:sz="0" w:space="0" w:color="auto"/>
              </w:divBdr>
              <w:divsChild>
                <w:div w:id="904490124">
                  <w:marLeft w:val="0"/>
                  <w:marRight w:val="0"/>
                  <w:marTop w:val="0"/>
                  <w:marBottom w:val="0"/>
                  <w:divBdr>
                    <w:top w:val="none" w:sz="0" w:space="0" w:color="auto"/>
                    <w:left w:val="none" w:sz="0" w:space="0" w:color="auto"/>
                    <w:bottom w:val="none" w:sz="0" w:space="0" w:color="auto"/>
                    <w:right w:val="none" w:sz="0" w:space="0" w:color="auto"/>
                  </w:divBdr>
                  <w:divsChild>
                    <w:div w:id="954016962">
                      <w:marLeft w:val="0"/>
                      <w:marRight w:val="0"/>
                      <w:marTop w:val="0"/>
                      <w:marBottom w:val="0"/>
                      <w:divBdr>
                        <w:top w:val="none" w:sz="0" w:space="0" w:color="auto"/>
                        <w:left w:val="none" w:sz="0" w:space="0" w:color="auto"/>
                        <w:bottom w:val="none" w:sz="0" w:space="0" w:color="auto"/>
                        <w:right w:val="none" w:sz="0" w:space="0" w:color="auto"/>
                      </w:divBdr>
                      <w:divsChild>
                        <w:div w:id="1744915629">
                          <w:marLeft w:val="0"/>
                          <w:marRight w:val="0"/>
                          <w:marTop w:val="0"/>
                          <w:marBottom w:val="0"/>
                          <w:divBdr>
                            <w:top w:val="none" w:sz="0" w:space="0" w:color="auto"/>
                            <w:left w:val="none" w:sz="0" w:space="0" w:color="auto"/>
                            <w:bottom w:val="none" w:sz="0" w:space="0" w:color="auto"/>
                            <w:right w:val="none" w:sz="0" w:space="0" w:color="auto"/>
                          </w:divBdr>
                          <w:divsChild>
                            <w:div w:id="827087934">
                              <w:marLeft w:val="0"/>
                              <w:marRight w:val="0"/>
                              <w:marTop w:val="0"/>
                              <w:marBottom w:val="0"/>
                              <w:divBdr>
                                <w:top w:val="none" w:sz="0" w:space="0" w:color="auto"/>
                                <w:left w:val="none" w:sz="0" w:space="0" w:color="auto"/>
                                <w:bottom w:val="none" w:sz="0" w:space="0" w:color="auto"/>
                                <w:right w:val="none" w:sz="0" w:space="0" w:color="auto"/>
                              </w:divBdr>
                              <w:divsChild>
                                <w:div w:id="1135832086">
                                  <w:marLeft w:val="0"/>
                                  <w:marRight w:val="0"/>
                                  <w:marTop w:val="0"/>
                                  <w:marBottom w:val="0"/>
                                  <w:divBdr>
                                    <w:top w:val="none" w:sz="0" w:space="0" w:color="auto"/>
                                    <w:left w:val="none" w:sz="0" w:space="0" w:color="auto"/>
                                    <w:bottom w:val="none" w:sz="0" w:space="0" w:color="auto"/>
                                    <w:right w:val="none" w:sz="0" w:space="0" w:color="auto"/>
                                  </w:divBdr>
                                  <w:divsChild>
                                    <w:div w:id="526407191">
                                      <w:marLeft w:val="0"/>
                                      <w:marRight w:val="0"/>
                                      <w:marTop w:val="0"/>
                                      <w:marBottom w:val="0"/>
                                      <w:divBdr>
                                        <w:top w:val="none" w:sz="0" w:space="0" w:color="auto"/>
                                        <w:left w:val="none" w:sz="0" w:space="0" w:color="auto"/>
                                        <w:bottom w:val="none" w:sz="0" w:space="0" w:color="auto"/>
                                        <w:right w:val="none" w:sz="0" w:space="0" w:color="auto"/>
                                      </w:divBdr>
                                      <w:divsChild>
                                        <w:div w:id="604311767">
                                          <w:marLeft w:val="0"/>
                                          <w:marRight w:val="0"/>
                                          <w:marTop w:val="0"/>
                                          <w:marBottom w:val="0"/>
                                          <w:divBdr>
                                            <w:top w:val="none" w:sz="0" w:space="0" w:color="auto"/>
                                            <w:left w:val="none" w:sz="0" w:space="0" w:color="auto"/>
                                            <w:bottom w:val="none" w:sz="0" w:space="0" w:color="auto"/>
                                            <w:right w:val="none" w:sz="0" w:space="0" w:color="auto"/>
                                          </w:divBdr>
                                          <w:divsChild>
                                            <w:div w:id="114175230">
                                              <w:marLeft w:val="0"/>
                                              <w:marRight w:val="0"/>
                                              <w:marTop w:val="0"/>
                                              <w:marBottom w:val="0"/>
                                              <w:divBdr>
                                                <w:top w:val="none" w:sz="0" w:space="0" w:color="auto"/>
                                                <w:left w:val="none" w:sz="0" w:space="0" w:color="auto"/>
                                                <w:bottom w:val="none" w:sz="0" w:space="0" w:color="auto"/>
                                                <w:right w:val="none" w:sz="0" w:space="0" w:color="auto"/>
                                              </w:divBdr>
                                              <w:divsChild>
                                                <w:div w:id="394668265">
                                                  <w:marLeft w:val="0"/>
                                                  <w:marRight w:val="0"/>
                                                  <w:marTop w:val="0"/>
                                                  <w:marBottom w:val="0"/>
                                                  <w:divBdr>
                                                    <w:top w:val="none" w:sz="0" w:space="0" w:color="auto"/>
                                                    <w:left w:val="none" w:sz="0" w:space="0" w:color="auto"/>
                                                    <w:bottom w:val="none" w:sz="0" w:space="0" w:color="auto"/>
                                                    <w:right w:val="none" w:sz="0" w:space="0" w:color="auto"/>
                                                  </w:divBdr>
                                                  <w:divsChild>
                                                    <w:div w:id="1128619339">
                                                      <w:marLeft w:val="0"/>
                                                      <w:marRight w:val="0"/>
                                                      <w:marTop w:val="0"/>
                                                      <w:marBottom w:val="0"/>
                                                      <w:divBdr>
                                                        <w:top w:val="none" w:sz="0" w:space="0" w:color="auto"/>
                                                        <w:left w:val="none" w:sz="0" w:space="0" w:color="auto"/>
                                                        <w:bottom w:val="none" w:sz="0" w:space="0" w:color="auto"/>
                                                        <w:right w:val="none" w:sz="0" w:space="0" w:color="auto"/>
                                                      </w:divBdr>
                                                      <w:divsChild>
                                                        <w:div w:id="50636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5971003">
      <w:bodyDiv w:val="1"/>
      <w:marLeft w:val="0"/>
      <w:marRight w:val="0"/>
      <w:marTop w:val="0"/>
      <w:marBottom w:val="0"/>
      <w:divBdr>
        <w:top w:val="none" w:sz="0" w:space="0" w:color="auto"/>
        <w:left w:val="none" w:sz="0" w:space="0" w:color="auto"/>
        <w:bottom w:val="none" w:sz="0" w:space="0" w:color="auto"/>
        <w:right w:val="none" w:sz="0" w:space="0" w:color="auto"/>
      </w:divBdr>
    </w:div>
    <w:div w:id="213440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8.austlii.edu.au/cgi-bin/viewdoc/au/legis/vic/num_reg/sccpr2015n103o2015514/s63.01.html" TargetMode="External"/><Relationship Id="rId18" Type="http://schemas.openxmlformats.org/officeDocument/2006/relationships/hyperlink" Target="http://www8.austlii.edu.au/cgi-bin/viewdoc/au/legis/vic/num_reg/sccpr2015n103o2015514/s63.56.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8.austlii.edu.au/cgi-bin/viewdoc/au/legis/vic/num_reg/sccpr2015n103o2015514/s63.56.html" TargetMode="External"/><Relationship Id="rId17" Type="http://schemas.openxmlformats.org/officeDocument/2006/relationships/hyperlink" Target="http://www8.austlii.edu.au/cgi-bin/viewdoc/au/legis/vic/num_reg/sccpr2015n103o2015514/s1.13.html" TargetMode="External"/><Relationship Id="rId2" Type="http://schemas.openxmlformats.org/officeDocument/2006/relationships/customXml" Target="../customXml/item2.xml"/><Relationship Id="rId16" Type="http://schemas.openxmlformats.org/officeDocument/2006/relationships/hyperlink" Target="http://www8.austlii.edu.au/cgi-bin/viewdoc/au/legis/vic/num_reg/sccpr2015n103o2015514/s63.01.html" TargetMode="External"/><Relationship Id="rId20" Type="http://schemas.openxmlformats.org/officeDocument/2006/relationships/hyperlink" Target="http://www8.austlii.edu.au/cgi-bin/viewdoc/au/legis/vic/num_reg/sccpr2015n103o2015514/s63.01.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8.austlii.edu.au/cgi-bin/viewdoc/au/legis/vic/num_reg/sccpr2015n103o2015514/s63.56.htm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8.austlii.edu.au/cgi-bin/viewdoc/au/legis/vic/num_reg/sccpr2015n103o2015514/s63.56.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8.austlii.edu.au/cgi-bin/viewdoc/au/legis/vic/num_reg/sccpr2015n103o2015514/s63.01.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dde84cb-4b1f-4b74-b4a5-14e1a433eee1">
      <UserInfo>
        <DisplayName>Elizabeth Blount</DisplayName>
        <AccountId>150</AccountId>
        <AccountType/>
      </UserInfo>
      <UserInfo>
        <DisplayName>Kalina Sobczak</DisplayName>
        <AccountId>371</AccountId>
        <AccountType/>
      </UserInfo>
    </SharedWithUsers>
    <FileShareCreatedBy xmlns="263eaefd-0475-4860-b86f-622cd66f4e0c" xsi:nil="true"/>
    <FileShareModifiedBy xmlns="263eaefd-0475-4860-b86f-622cd66f4e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9" ma:contentTypeDescription="Create a new document." ma:contentTypeScope="" ma:versionID="fd6e178f3c84e428f07a72f808ccbb0a">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d6db6542bac248780420748ee41ba040"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3FEFF-AC7E-454D-9613-253B2AE11216}">
  <ds:schemaRefs>
    <ds:schemaRef ds:uri="http://schemas.microsoft.com/sharepoint/v3/contenttype/forms"/>
  </ds:schemaRefs>
</ds:datastoreItem>
</file>

<file path=customXml/itemProps2.xml><?xml version="1.0" encoding="utf-8"?>
<ds:datastoreItem xmlns:ds="http://schemas.openxmlformats.org/officeDocument/2006/customXml" ds:itemID="{6C592943-FCCC-49A7-98C7-0F8DCFF1E5D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263eaefd-0475-4860-b86f-622cd66f4e0c"/>
    <ds:schemaRef ds:uri="http://purl.org/dc/terms/"/>
    <ds:schemaRef ds:uri="http://schemas.openxmlformats.org/package/2006/metadata/core-properties"/>
    <ds:schemaRef ds:uri="bdde84cb-4b1f-4b74-b4a5-14e1a433eee1"/>
    <ds:schemaRef ds:uri="http://www.w3.org/XML/1998/namespace"/>
    <ds:schemaRef ds:uri="http://purl.org/dc/dcmitype/"/>
  </ds:schemaRefs>
</ds:datastoreItem>
</file>

<file path=customXml/itemProps3.xml><?xml version="1.0" encoding="utf-8"?>
<ds:datastoreItem xmlns:ds="http://schemas.openxmlformats.org/officeDocument/2006/customXml" ds:itemID="{76A346AE-4B58-46B2-BB69-DB2DAE687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5EA4AB-4828-4C91-8966-9E959A60D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3358</Words>
  <Characters>19141</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Associate Justice Ierodiaconou</dc:creator>
  <cp:keywords/>
  <dc:description/>
  <cp:lastModifiedBy>Andrew Wicking</cp:lastModifiedBy>
  <cp:revision>2</cp:revision>
  <cp:lastPrinted>2016-11-14T04:20:00Z</cp:lastPrinted>
  <dcterms:created xsi:type="dcterms:W3CDTF">2018-03-26T00:35:00Z</dcterms:created>
  <dcterms:modified xsi:type="dcterms:W3CDTF">2018-03-26T00:35:00Z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0x010100FC344B925675ED46837EB14F9BF5688C</vt:lpwstr>
  </property>
</Properties>
</file>