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BC226" w14:textId="328DC5BB" w:rsidR="00C914E9" w:rsidRPr="007B0913" w:rsidRDefault="007B0913" w:rsidP="006B2E41">
      <w:pPr>
        <w:jc w:val="center"/>
        <w:rPr>
          <w:rFonts w:ascii="Times New Roman" w:hAnsi="Times New Roman" w:cs="Times New Roman"/>
          <w:b/>
          <w:sz w:val="28"/>
          <w:szCs w:val="24"/>
        </w:rPr>
      </w:pPr>
      <w:r w:rsidRPr="007B0913">
        <w:rPr>
          <w:rFonts w:ascii="Times New Roman" w:hAnsi="Times New Roman" w:cs="Times New Roman"/>
          <w:b/>
          <w:sz w:val="28"/>
          <w:szCs w:val="24"/>
        </w:rPr>
        <w:t>Bar Association of Queensland 2016 Annual Conference</w:t>
      </w:r>
    </w:p>
    <w:p w14:paraId="3D50E0AF" w14:textId="6C83D461" w:rsidR="00C41E8D" w:rsidRPr="007B0913" w:rsidRDefault="00360AD3" w:rsidP="006B2E41">
      <w:pPr>
        <w:jc w:val="center"/>
        <w:rPr>
          <w:rFonts w:ascii="Times New Roman" w:hAnsi="Times New Roman" w:cs="Times New Roman"/>
          <w:b/>
          <w:sz w:val="28"/>
          <w:szCs w:val="24"/>
        </w:rPr>
      </w:pPr>
      <w:r w:rsidRPr="007B0913">
        <w:rPr>
          <w:rFonts w:ascii="Times New Roman" w:hAnsi="Times New Roman" w:cs="Times New Roman"/>
          <w:b/>
          <w:sz w:val="28"/>
          <w:szCs w:val="24"/>
        </w:rPr>
        <w:t>Saturday 27 February 2016</w:t>
      </w:r>
    </w:p>
    <w:p w14:paraId="75BEFB1B" w14:textId="77777777" w:rsidR="007B0913" w:rsidRDefault="007B0913" w:rsidP="006B2E41">
      <w:pPr>
        <w:jc w:val="center"/>
        <w:rPr>
          <w:rFonts w:ascii="Times New Roman" w:hAnsi="Times New Roman" w:cs="Times New Roman"/>
          <w:b/>
          <w:sz w:val="24"/>
          <w:szCs w:val="24"/>
        </w:rPr>
      </w:pPr>
    </w:p>
    <w:p w14:paraId="62C8792E" w14:textId="7EE78D2F" w:rsidR="00360AD3" w:rsidRPr="007B0913" w:rsidRDefault="007B0913" w:rsidP="006B2E41">
      <w:pPr>
        <w:jc w:val="center"/>
        <w:rPr>
          <w:rFonts w:ascii="Times New Roman" w:hAnsi="Times New Roman" w:cs="Times New Roman"/>
          <w:b/>
          <w:sz w:val="28"/>
          <w:szCs w:val="24"/>
        </w:rPr>
      </w:pPr>
      <w:r w:rsidRPr="007B0913">
        <w:rPr>
          <w:rFonts w:ascii="Times New Roman" w:hAnsi="Times New Roman" w:cs="Times New Roman"/>
          <w:b/>
          <w:sz w:val="28"/>
          <w:szCs w:val="24"/>
        </w:rPr>
        <w:t xml:space="preserve">Stream B: Criminal Law – Human Rights </w:t>
      </w:r>
      <w:r>
        <w:rPr>
          <w:rFonts w:ascii="Times New Roman" w:hAnsi="Times New Roman" w:cs="Times New Roman"/>
          <w:b/>
          <w:sz w:val="28"/>
          <w:szCs w:val="24"/>
        </w:rPr>
        <w:t>a</w:t>
      </w:r>
      <w:r w:rsidRPr="007B0913">
        <w:rPr>
          <w:rFonts w:ascii="Times New Roman" w:hAnsi="Times New Roman" w:cs="Times New Roman"/>
          <w:b/>
          <w:sz w:val="28"/>
          <w:szCs w:val="24"/>
        </w:rPr>
        <w:t xml:space="preserve">nd </w:t>
      </w:r>
      <w:r>
        <w:rPr>
          <w:rFonts w:ascii="Times New Roman" w:hAnsi="Times New Roman" w:cs="Times New Roman"/>
          <w:b/>
          <w:sz w:val="28"/>
          <w:szCs w:val="24"/>
        </w:rPr>
        <w:t>t</w:t>
      </w:r>
      <w:r w:rsidRPr="007B0913">
        <w:rPr>
          <w:rFonts w:ascii="Times New Roman" w:hAnsi="Times New Roman" w:cs="Times New Roman"/>
          <w:b/>
          <w:sz w:val="28"/>
          <w:szCs w:val="24"/>
        </w:rPr>
        <w:t>he Criminal Law</w:t>
      </w:r>
    </w:p>
    <w:p w14:paraId="6ACEB199" w14:textId="34A60C71" w:rsidR="00C914E9" w:rsidRPr="007B0913" w:rsidRDefault="007B0913" w:rsidP="006B2E41">
      <w:pPr>
        <w:jc w:val="center"/>
        <w:rPr>
          <w:rFonts w:ascii="Times New Roman" w:hAnsi="Times New Roman" w:cs="Times New Roman"/>
          <w:b/>
          <w:sz w:val="28"/>
          <w:szCs w:val="24"/>
        </w:rPr>
      </w:pPr>
      <w:r w:rsidRPr="007B0913">
        <w:rPr>
          <w:rFonts w:ascii="Times New Roman" w:hAnsi="Times New Roman" w:cs="Times New Roman"/>
          <w:b/>
          <w:sz w:val="28"/>
          <w:szCs w:val="24"/>
        </w:rPr>
        <w:t xml:space="preserve">‘Human Rights, Bills Of Rights, </w:t>
      </w:r>
      <w:r>
        <w:rPr>
          <w:rFonts w:ascii="Times New Roman" w:hAnsi="Times New Roman" w:cs="Times New Roman"/>
          <w:b/>
          <w:sz w:val="28"/>
          <w:szCs w:val="24"/>
        </w:rPr>
        <w:t>a</w:t>
      </w:r>
      <w:r w:rsidRPr="007B0913">
        <w:rPr>
          <w:rFonts w:ascii="Times New Roman" w:hAnsi="Times New Roman" w:cs="Times New Roman"/>
          <w:b/>
          <w:sz w:val="28"/>
          <w:szCs w:val="24"/>
        </w:rPr>
        <w:t xml:space="preserve">nd </w:t>
      </w:r>
      <w:r>
        <w:rPr>
          <w:rFonts w:ascii="Times New Roman" w:hAnsi="Times New Roman" w:cs="Times New Roman"/>
          <w:b/>
          <w:sz w:val="28"/>
          <w:szCs w:val="24"/>
        </w:rPr>
        <w:t>t</w:t>
      </w:r>
      <w:r w:rsidRPr="007B0913">
        <w:rPr>
          <w:rFonts w:ascii="Times New Roman" w:hAnsi="Times New Roman" w:cs="Times New Roman"/>
          <w:b/>
          <w:sz w:val="28"/>
          <w:szCs w:val="24"/>
        </w:rPr>
        <w:t>he Criminal Law’</w:t>
      </w:r>
    </w:p>
    <w:p w14:paraId="159CACE7" w14:textId="432462DA" w:rsidR="00725690" w:rsidRPr="007B0913" w:rsidRDefault="007B0913" w:rsidP="006B2E41">
      <w:pPr>
        <w:jc w:val="right"/>
        <w:rPr>
          <w:rFonts w:ascii="Times New Roman" w:hAnsi="Times New Roman" w:cs="Times New Roman"/>
          <w:b/>
          <w:sz w:val="28"/>
          <w:szCs w:val="24"/>
        </w:rPr>
      </w:pPr>
      <w:r w:rsidRPr="007B0913">
        <w:rPr>
          <w:rFonts w:ascii="Times New Roman" w:hAnsi="Times New Roman" w:cs="Times New Roman"/>
          <w:b/>
          <w:sz w:val="28"/>
          <w:szCs w:val="24"/>
        </w:rPr>
        <w:t>Justice Mark Weinberg</w:t>
      </w:r>
      <w:r w:rsidR="00C914E9" w:rsidRPr="007B0913">
        <w:rPr>
          <w:rStyle w:val="FootnoteReference"/>
          <w:rFonts w:ascii="Times New Roman" w:hAnsi="Times New Roman" w:cs="Times New Roman"/>
          <w:b/>
          <w:sz w:val="28"/>
          <w:szCs w:val="24"/>
        </w:rPr>
        <w:footnoteReference w:customMarkFollows="1" w:id="1"/>
        <w:sym w:font="Symbol" w:char="F02A"/>
      </w:r>
      <w:r w:rsidRPr="007B0913">
        <w:rPr>
          <w:rFonts w:ascii="Times New Roman" w:hAnsi="Times New Roman" w:cs="Times New Roman"/>
          <w:b/>
          <w:sz w:val="28"/>
          <w:szCs w:val="24"/>
        </w:rPr>
        <w:t xml:space="preserve"> </w:t>
      </w:r>
    </w:p>
    <w:p w14:paraId="2CBE190C" w14:textId="77777777" w:rsidR="00851718" w:rsidRDefault="00851718" w:rsidP="006B2E41">
      <w:pPr>
        <w:jc w:val="both"/>
        <w:rPr>
          <w:rFonts w:ascii="Times New Roman" w:hAnsi="Times New Roman" w:cs="Times New Roman"/>
          <w:b/>
          <w:sz w:val="24"/>
          <w:szCs w:val="24"/>
        </w:rPr>
      </w:pPr>
    </w:p>
    <w:p w14:paraId="556477EE" w14:textId="08A4C096" w:rsidR="000A21C1" w:rsidRPr="007B0913" w:rsidRDefault="000A21C1" w:rsidP="006B2E41">
      <w:pPr>
        <w:jc w:val="both"/>
        <w:rPr>
          <w:rFonts w:ascii="Times New Roman" w:hAnsi="Times New Roman" w:cs="Times New Roman"/>
          <w:b/>
          <w:sz w:val="24"/>
          <w:szCs w:val="24"/>
        </w:rPr>
      </w:pPr>
      <w:r w:rsidRPr="007B0913">
        <w:rPr>
          <w:rFonts w:ascii="Times New Roman" w:hAnsi="Times New Roman" w:cs="Times New Roman"/>
          <w:b/>
          <w:sz w:val="24"/>
          <w:szCs w:val="24"/>
        </w:rPr>
        <w:t>Introduction</w:t>
      </w:r>
    </w:p>
    <w:p w14:paraId="4BE1A2AF" w14:textId="293FC4FA" w:rsidR="006F1B5D" w:rsidRPr="007B0913" w:rsidRDefault="00C94939"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H</w:t>
      </w:r>
      <w:r w:rsidR="0049394A" w:rsidRPr="007B0913">
        <w:rPr>
          <w:rFonts w:ascii="Times New Roman" w:hAnsi="Times New Roman" w:cs="Times New Roman"/>
          <w:sz w:val="24"/>
          <w:szCs w:val="24"/>
        </w:rPr>
        <w:t>uman rights</w:t>
      </w:r>
      <w:r w:rsidR="00B4701E" w:rsidRPr="007B0913">
        <w:rPr>
          <w:rFonts w:ascii="Times New Roman" w:hAnsi="Times New Roman" w:cs="Times New Roman"/>
          <w:sz w:val="24"/>
          <w:szCs w:val="24"/>
        </w:rPr>
        <w:t>, it has repeatedly</w:t>
      </w:r>
      <w:r w:rsidR="009A70BA" w:rsidRPr="007B0913">
        <w:rPr>
          <w:rFonts w:ascii="Times New Roman" w:hAnsi="Times New Roman" w:cs="Times New Roman"/>
          <w:sz w:val="24"/>
          <w:szCs w:val="24"/>
        </w:rPr>
        <w:t xml:space="preserve"> been said,</w:t>
      </w:r>
      <w:r w:rsidR="0049394A" w:rsidRPr="007B0913">
        <w:rPr>
          <w:rFonts w:ascii="Times New Roman" w:hAnsi="Times New Roman" w:cs="Times New Roman"/>
          <w:sz w:val="24"/>
          <w:szCs w:val="24"/>
        </w:rPr>
        <w:t xml:space="preserve"> </w:t>
      </w:r>
      <w:r w:rsidR="00460C66" w:rsidRPr="007B0913">
        <w:rPr>
          <w:rFonts w:ascii="Times New Roman" w:hAnsi="Times New Roman" w:cs="Times New Roman"/>
          <w:sz w:val="24"/>
          <w:szCs w:val="24"/>
        </w:rPr>
        <w:t xml:space="preserve">are </w:t>
      </w:r>
      <w:r w:rsidR="009A70BA" w:rsidRPr="007B0913">
        <w:rPr>
          <w:rFonts w:ascii="Times New Roman" w:hAnsi="Times New Roman" w:cs="Times New Roman"/>
          <w:sz w:val="24"/>
          <w:szCs w:val="24"/>
        </w:rPr>
        <w:t xml:space="preserve">both </w:t>
      </w:r>
      <w:r w:rsidR="006665D4" w:rsidRPr="007B0913">
        <w:rPr>
          <w:rFonts w:ascii="Times New Roman" w:hAnsi="Times New Roman" w:cs="Times New Roman"/>
          <w:sz w:val="24"/>
          <w:szCs w:val="24"/>
        </w:rPr>
        <w:t>fundamental and inalienable.</w:t>
      </w:r>
      <w:r w:rsidR="00036479" w:rsidRPr="007B0913">
        <w:rPr>
          <w:rFonts w:ascii="Times New Roman" w:hAnsi="Times New Roman" w:cs="Times New Roman"/>
          <w:sz w:val="24"/>
          <w:szCs w:val="24"/>
        </w:rPr>
        <w:t xml:space="preserve">  </w:t>
      </w:r>
      <w:r w:rsidR="00A17124" w:rsidRPr="007B0913">
        <w:rPr>
          <w:rFonts w:ascii="Times New Roman" w:hAnsi="Times New Roman" w:cs="Times New Roman"/>
          <w:sz w:val="24"/>
          <w:szCs w:val="24"/>
        </w:rPr>
        <w:t>They</w:t>
      </w:r>
      <w:r w:rsidR="00133F69" w:rsidRPr="007B0913">
        <w:rPr>
          <w:rFonts w:ascii="Times New Roman" w:hAnsi="Times New Roman" w:cs="Times New Roman"/>
          <w:sz w:val="24"/>
          <w:szCs w:val="24"/>
        </w:rPr>
        <w:t xml:space="preserve"> underpin </w:t>
      </w:r>
      <w:r w:rsidR="00567A08" w:rsidRPr="007B0913">
        <w:rPr>
          <w:rFonts w:ascii="Times New Roman" w:hAnsi="Times New Roman" w:cs="Times New Roman"/>
          <w:sz w:val="24"/>
          <w:szCs w:val="24"/>
        </w:rPr>
        <w:t xml:space="preserve">basic legal norms, particularly those </w:t>
      </w:r>
      <w:r w:rsidR="001461F6" w:rsidRPr="007B0913">
        <w:rPr>
          <w:rFonts w:ascii="Times New Roman" w:hAnsi="Times New Roman" w:cs="Times New Roman"/>
          <w:sz w:val="24"/>
          <w:szCs w:val="24"/>
        </w:rPr>
        <w:t xml:space="preserve">specifically </w:t>
      </w:r>
      <w:r w:rsidR="00567A08" w:rsidRPr="007B0913">
        <w:rPr>
          <w:rFonts w:ascii="Times New Roman" w:hAnsi="Times New Roman" w:cs="Times New Roman"/>
          <w:sz w:val="24"/>
          <w:szCs w:val="24"/>
        </w:rPr>
        <w:t>associated with</w:t>
      </w:r>
      <w:r w:rsidR="005247CA" w:rsidRPr="007B0913">
        <w:rPr>
          <w:rFonts w:ascii="Times New Roman" w:hAnsi="Times New Roman" w:cs="Times New Roman"/>
          <w:sz w:val="24"/>
          <w:szCs w:val="24"/>
        </w:rPr>
        <w:t xml:space="preserve"> </w:t>
      </w:r>
      <w:r w:rsidR="00385B6D" w:rsidRPr="007B0913">
        <w:rPr>
          <w:rFonts w:ascii="Times New Roman" w:hAnsi="Times New Roman" w:cs="Times New Roman"/>
          <w:sz w:val="24"/>
          <w:szCs w:val="24"/>
        </w:rPr>
        <w:t xml:space="preserve">the need to afford </w:t>
      </w:r>
      <w:r w:rsidR="005247CA" w:rsidRPr="007B0913">
        <w:rPr>
          <w:rFonts w:ascii="Times New Roman" w:hAnsi="Times New Roman" w:cs="Times New Roman"/>
          <w:sz w:val="24"/>
          <w:szCs w:val="24"/>
        </w:rPr>
        <w:t>due process and</w:t>
      </w:r>
      <w:r w:rsidR="00385B6D" w:rsidRPr="007B0913">
        <w:rPr>
          <w:rFonts w:ascii="Times New Roman" w:hAnsi="Times New Roman" w:cs="Times New Roman"/>
          <w:sz w:val="24"/>
          <w:szCs w:val="24"/>
        </w:rPr>
        <w:t>,</w:t>
      </w:r>
      <w:r w:rsidR="005247CA" w:rsidRPr="007B0913">
        <w:rPr>
          <w:rFonts w:ascii="Times New Roman" w:hAnsi="Times New Roman" w:cs="Times New Roman"/>
          <w:sz w:val="24"/>
          <w:szCs w:val="24"/>
        </w:rPr>
        <w:t xml:space="preserve"> </w:t>
      </w:r>
      <w:r w:rsidR="00385B6D" w:rsidRPr="007B0913">
        <w:rPr>
          <w:rFonts w:ascii="Times New Roman" w:hAnsi="Times New Roman" w:cs="Times New Roman"/>
          <w:sz w:val="24"/>
          <w:szCs w:val="24"/>
        </w:rPr>
        <w:t xml:space="preserve">more generally, those encompassed within </w:t>
      </w:r>
      <w:r w:rsidR="005247CA" w:rsidRPr="007B0913">
        <w:rPr>
          <w:rFonts w:ascii="Times New Roman" w:hAnsi="Times New Roman" w:cs="Times New Roman"/>
          <w:sz w:val="24"/>
          <w:szCs w:val="24"/>
        </w:rPr>
        <w:t xml:space="preserve">what is </w:t>
      </w:r>
      <w:r w:rsidR="00F22C7F" w:rsidRPr="007B0913">
        <w:rPr>
          <w:rFonts w:ascii="Times New Roman" w:hAnsi="Times New Roman" w:cs="Times New Roman"/>
          <w:sz w:val="24"/>
          <w:szCs w:val="24"/>
        </w:rPr>
        <w:t xml:space="preserve">commonly </w:t>
      </w:r>
      <w:r w:rsidR="005247CA" w:rsidRPr="007B0913">
        <w:rPr>
          <w:rFonts w:ascii="Times New Roman" w:hAnsi="Times New Roman" w:cs="Times New Roman"/>
          <w:sz w:val="24"/>
          <w:szCs w:val="24"/>
        </w:rPr>
        <w:t xml:space="preserve">termed </w:t>
      </w:r>
      <w:r w:rsidR="00A17124" w:rsidRPr="007B0913">
        <w:rPr>
          <w:rFonts w:ascii="Times New Roman" w:hAnsi="Times New Roman" w:cs="Times New Roman"/>
          <w:sz w:val="24"/>
          <w:szCs w:val="24"/>
        </w:rPr>
        <w:t xml:space="preserve">the </w:t>
      </w:r>
      <w:r w:rsidR="005247CA" w:rsidRPr="007B0913">
        <w:rPr>
          <w:rFonts w:ascii="Times New Roman" w:hAnsi="Times New Roman" w:cs="Times New Roman"/>
          <w:sz w:val="24"/>
          <w:szCs w:val="24"/>
        </w:rPr>
        <w:t>‘</w:t>
      </w:r>
      <w:r w:rsidR="00567A08" w:rsidRPr="007B0913">
        <w:rPr>
          <w:rFonts w:ascii="Times New Roman" w:hAnsi="Times New Roman" w:cs="Times New Roman"/>
          <w:sz w:val="24"/>
          <w:szCs w:val="24"/>
        </w:rPr>
        <w:t>rule of law</w:t>
      </w:r>
      <w:r w:rsidR="005247CA" w:rsidRPr="007B0913">
        <w:rPr>
          <w:rFonts w:ascii="Times New Roman" w:hAnsi="Times New Roman" w:cs="Times New Roman"/>
          <w:sz w:val="24"/>
          <w:szCs w:val="24"/>
        </w:rPr>
        <w:t>’</w:t>
      </w:r>
      <w:r w:rsidR="00385B6D" w:rsidRPr="007B0913">
        <w:rPr>
          <w:rFonts w:ascii="Times New Roman" w:hAnsi="Times New Roman" w:cs="Times New Roman"/>
          <w:sz w:val="24"/>
          <w:szCs w:val="24"/>
        </w:rPr>
        <w:t>.  Of course, t</w:t>
      </w:r>
      <w:r w:rsidR="00A75B20" w:rsidRPr="007B0913">
        <w:rPr>
          <w:rFonts w:ascii="Times New Roman" w:hAnsi="Times New Roman" w:cs="Times New Roman"/>
          <w:sz w:val="24"/>
          <w:szCs w:val="24"/>
        </w:rPr>
        <w:t>here are those who</w:t>
      </w:r>
      <w:r w:rsidR="008761E7" w:rsidRPr="007B0913">
        <w:rPr>
          <w:rFonts w:ascii="Times New Roman" w:hAnsi="Times New Roman" w:cs="Times New Roman"/>
          <w:sz w:val="24"/>
          <w:szCs w:val="24"/>
        </w:rPr>
        <w:t xml:space="preserve"> </w:t>
      </w:r>
      <w:r w:rsidR="00385B6D" w:rsidRPr="007B0913">
        <w:rPr>
          <w:rFonts w:ascii="Times New Roman" w:hAnsi="Times New Roman" w:cs="Times New Roman"/>
          <w:sz w:val="24"/>
          <w:szCs w:val="24"/>
        </w:rPr>
        <w:t xml:space="preserve">take a broader </w:t>
      </w:r>
      <w:r w:rsidR="008761E7" w:rsidRPr="007B0913">
        <w:rPr>
          <w:rFonts w:ascii="Times New Roman" w:hAnsi="Times New Roman" w:cs="Times New Roman"/>
          <w:sz w:val="24"/>
          <w:szCs w:val="24"/>
        </w:rPr>
        <w:t>view</w:t>
      </w:r>
      <w:r w:rsidR="00385B6D" w:rsidRPr="007B0913">
        <w:rPr>
          <w:rFonts w:ascii="Times New Roman" w:hAnsi="Times New Roman" w:cs="Times New Roman"/>
          <w:sz w:val="24"/>
          <w:szCs w:val="24"/>
        </w:rPr>
        <w:t xml:space="preserve"> of human rights discourse, applying the moral principles underlying that normative field to </w:t>
      </w:r>
      <w:r w:rsidR="00A75B20" w:rsidRPr="007B0913">
        <w:rPr>
          <w:rFonts w:ascii="Times New Roman" w:hAnsi="Times New Roman" w:cs="Times New Roman"/>
          <w:sz w:val="24"/>
          <w:szCs w:val="24"/>
        </w:rPr>
        <w:t>social</w:t>
      </w:r>
      <w:r w:rsidR="003B2145" w:rsidRPr="007B0913">
        <w:rPr>
          <w:rFonts w:ascii="Times New Roman" w:hAnsi="Times New Roman" w:cs="Times New Roman"/>
          <w:sz w:val="24"/>
          <w:szCs w:val="24"/>
        </w:rPr>
        <w:t xml:space="preserve"> </w:t>
      </w:r>
      <w:r w:rsidR="00385B6D" w:rsidRPr="007B0913">
        <w:rPr>
          <w:rFonts w:ascii="Times New Roman" w:hAnsi="Times New Roman" w:cs="Times New Roman"/>
          <w:sz w:val="24"/>
          <w:szCs w:val="24"/>
        </w:rPr>
        <w:t xml:space="preserve">and economic </w:t>
      </w:r>
      <w:r w:rsidR="003B2145" w:rsidRPr="007B0913">
        <w:rPr>
          <w:rFonts w:ascii="Times New Roman" w:hAnsi="Times New Roman" w:cs="Times New Roman"/>
          <w:sz w:val="24"/>
          <w:szCs w:val="24"/>
        </w:rPr>
        <w:t>justice</w:t>
      </w:r>
      <w:r w:rsidR="00385B6D" w:rsidRPr="007B0913">
        <w:rPr>
          <w:rFonts w:ascii="Times New Roman" w:hAnsi="Times New Roman" w:cs="Times New Roman"/>
          <w:sz w:val="24"/>
          <w:szCs w:val="24"/>
        </w:rPr>
        <w:t>.</w:t>
      </w:r>
      <w:r w:rsidR="00AA25B8" w:rsidRPr="007B0913">
        <w:rPr>
          <w:rFonts w:ascii="Times New Roman" w:hAnsi="Times New Roman" w:cs="Times New Roman"/>
          <w:sz w:val="24"/>
          <w:szCs w:val="24"/>
        </w:rPr>
        <w:t xml:space="preserve">  </w:t>
      </w:r>
    </w:p>
    <w:p w14:paraId="01860EAA" w14:textId="75142137" w:rsidR="00EB050A" w:rsidRPr="007B0913" w:rsidRDefault="00567A08"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Professor Andrew Clapham</w:t>
      </w:r>
      <w:r w:rsidR="00B57C7F" w:rsidRPr="007B0913">
        <w:rPr>
          <w:rStyle w:val="FootnoteReference"/>
          <w:rFonts w:ascii="Times New Roman" w:hAnsi="Times New Roman" w:cs="Times New Roman"/>
          <w:sz w:val="24"/>
          <w:szCs w:val="24"/>
        </w:rPr>
        <w:footnoteReference w:id="2"/>
      </w:r>
      <w:r w:rsidR="00B57C7F" w:rsidRPr="007B0913">
        <w:rPr>
          <w:rFonts w:ascii="Times New Roman" w:hAnsi="Times New Roman" w:cs="Times New Roman"/>
          <w:sz w:val="24"/>
          <w:szCs w:val="24"/>
        </w:rPr>
        <w:t xml:space="preserve"> </w:t>
      </w:r>
      <w:r w:rsidR="00BB6E9D" w:rsidRPr="007B0913">
        <w:rPr>
          <w:rFonts w:ascii="Times New Roman" w:hAnsi="Times New Roman" w:cs="Times New Roman"/>
          <w:sz w:val="24"/>
          <w:szCs w:val="24"/>
        </w:rPr>
        <w:t xml:space="preserve">has </w:t>
      </w:r>
      <w:r w:rsidR="00E26B38" w:rsidRPr="007B0913">
        <w:rPr>
          <w:rFonts w:ascii="Times New Roman" w:hAnsi="Times New Roman" w:cs="Times New Roman"/>
          <w:sz w:val="24"/>
          <w:szCs w:val="24"/>
        </w:rPr>
        <w:t>made this very point.  He observes</w:t>
      </w:r>
      <w:r w:rsidR="00BB6E9D" w:rsidRPr="007B0913">
        <w:rPr>
          <w:rFonts w:ascii="Times New Roman" w:hAnsi="Times New Roman" w:cs="Times New Roman"/>
          <w:sz w:val="24"/>
          <w:szCs w:val="24"/>
        </w:rPr>
        <w:t xml:space="preserve"> </w:t>
      </w:r>
      <w:r w:rsidR="00873D69" w:rsidRPr="007B0913">
        <w:rPr>
          <w:rFonts w:ascii="Times New Roman" w:hAnsi="Times New Roman" w:cs="Times New Roman"/>
          <w:sz w:val="24"/>
          <w:szCs w:val="24"/>
        </w:rPr>
        <w:t xml:space="preserve">that </w:t>
      </w:r>
      <w:r w:rsidR="00EB050A" w:rsidRPr="007B0913">
        <w:rPr>
          <w:rFonts w:ascii="Times New Roman" w:hAnsi="Times New Roman" w:cs="Times New Roman"/>
          <w:sz w:val="24"/>
          <w:szCs w:val="24"/>
        </w:rPr>
        <w:t xml:space="preserve">different people see human rights in different ways.  For some, invoking </w:t>
      </w:r>
      <w:r w:rsidRPr="007B0913">
        <w:rPr>
          <w:rFonts w:ascii="Times New Roman" w:hAnsi="Times New Roman" w:cs="Times New Roman"/>
          <w:sz w:val="24"/>
          <w:szCs w:val="24"/>
        </w:rPr>
        <w:t>such</w:t>
      </w:r>
      <w:r w:rsidR="00EB050A" w:rsidRPr="007B0913">
        <w:rPr>
          <w:rFonts w:ascii="Times New Roman" w:hAnsi="Times New Roman" w:cs="Times New Roman"/>
          <w:sz w:val="24"/>
          <w:szCs w:val="24"/>
        </w:rPr>
        <w:t xml:space="preserve"> rights is a </w:t>
      </w:r>
      <w:r w:rsidR="00EA2B21" w:rsidRPr="007B0913">
        <w:rPr>
          <w:rFonts w:ascii="Times New Roman" w:hAnsi="Times New Roman" w:cs="Times New Roman"/>
          <w:sz w:val="24"/>
          <w:szCs w:val="24"/>
        </w:rPr>
        <w:t>‘</w:t>
      </w:r>
      <w:r w:rsidR="00EB050A" w:rsidRPr="007B0913">
        <w:rPr>
          <w:rFonts w:ascii="Times New Roman" w:hAnsi="Times New Roman" w:cs="Times New Roman"/>
          <w:sz w:val="24"/>
          <w:szCs w:val="24"/>
        </w:rPr>
        <w:t>heartfelt, morally justified deman</w:t>
      </w:r>
      <w:r w:rsidR="00873D69" w:rsidRPr="007B0913">
        <w:rPr>
          <w:rFonts w:ascii="Times New Roman" w:hAnsi="Times New Roman" w:cs="Times New Roman"/>
          <w:sz w:val="24"/>
          <w:szCs w:val="24"/>
        </w:rPr>
        <w:t>d</w:t>
      </w:r>
      <w:r w:rsidR="00EA2B21" w:rsidRPr="007B0913">
        <w:rPr>
          <w:rFonts w:ascii="Times New Roman" w:hAnsi="Times New Roman" w:cs="Times New Roman"/>
          <w:sz w:val="24"/>
          <w:szCs w:val="24"/>
        </w:rPr>
        <w:t xml:space="preserve"> </w:t>
      </w:r>
      <w:r w:rsidR="00EB050A" w:rsidRPr="007B0913">
        <w:rPr>
          <w:rFonts w:ascii="Times New Roman" w:hAnsi="Times New Roman" w:cs="Times New Roman"/>
          <w:sz w:val="24"/>
          <w:szCs w:val="24"/>
        </w:rPr>
        <w:t>to rectify all sorts of injustice</w:t>
      </w:r>
      <w:r w:rsidR="00BB6E9D" w:rsidRPr="007B0913">
        <w:rPr>
          <w:rFonts w:ascii="Times New Roman" w:hAnsi="Times New Roman" w:cs="Times New Roman"/>
          <w:sz w:val="24"/>
          <w:szCs w:val="24"/>
        </w:rPr>
        <w:t>’</w:t>
      </w:r>
      <w:r w:rsidR="00EB050A" w:rsidRPr="007B0913">
        <w:rPr>
          <w:rFonts w:ascii="Times New Roman" w:hAnsi="Times New Roman" w:cs="Times New Roman"/>
          <w:sz w:val="24"/>
          <w:szCs w:val="24"/>
        </w:rPr>
        <w:t>.</w:t>
      </w:r>
      <w:r w:rsidR="00EA2B21" w:rsidRPr="007B0913">
        <w:rPr>
          <w:rStyle w:val="FootnoteReference"/>
          <w:rFonts w:ascii="Times New Roman" w:hAnsi="Times New Roman" w:cs="Times New Roman"/>
          <w:sz w:val="24"/>
          <w:szCs w:val="24"/>
        </w:rPr>
        <w:footnoteReference w:id="3"/>
      </w:r>
      <w:r w:rsidR="0088403A" w:rsidRPr="007B0913">
        <w:rPr>
          <w:rFonts w:ascii="Times New Roman" w:hAnsi="Times New Roman" w:cs="Times New Roman"/>
          <w:sz w:val="24"/>
          <w:szCs w:val="24"/>
        </w:rPr>
        <w:t xml:space="preserve">  </w:t>
      </w:r>
      <w:r w:rsidR="00EB050A" w:rsidRPr="007B0913">
        <w:rPr>
          <w:rFonts w:ascii="Times New Roman" w:hAnsi="Times New Roman" w:cs="Times New Roman"/>
          <w:sz w:val="24"/>
          <w:szCs w:val="24"/>
        </w:rPr>
        <w:t xml:space="preserve">For others, </w:t>
      </w:r>
      <w:r w:rsidR="009600F7" w:rsidRPr="007B0913">
        <w:rPr>
          <w:rFonts w:ascii="Times New Roman" w:hAnsi="Times New Roman" w:cs="Times New Roman"/>
          <w:sz w:val="24"/>
          <w:szCs w:val="24"/>
        </w:rPr>
        <w:t>the</w:t>
      </w:r>
      <w:r w:rsidR="00EA2B21" w:rsidRPr="007B0913">
        <w:rPr>
          <w:rFonts w:ascii="Times New Roman" w:hAnsi="Times New Roman" w:cs="Times New Roman"/>
          <w:sz w:val="24"/>
          <w:szCs w:val="24"/>
        </w:rPr>
        <w:t xml:space="preserve"> appeal to </w:t>
      </w:r>
      <w:r w:rsidR="009600F7" w:rsidRPr="007B0913">
        <w:rPr>
          <w:rFonts w:ascii="Times New Roman" w:hAnsi="Times New Roman" w:cs="Times New Roman"/>
          <w:sz w:val="24"/>
          <w:szCs w:val="24"/>
        </w:rPr>
        <w:t xml:space="preserve">human rights is </w:t>
      </w:r>
      <w:r w:rsidR="00EA2B21" w:rsidRPr="007B0913">
        <w:rPr>
          <w:rFonts w:ascii="Times New Roman" w:hAnsi="Times New Roman" w:cs="Times New Roman"/>
          <w:sz w:val="24"/>
          <w:szCs w:val="24"/>
        </w:rPr>
        <w:t xml:space="preserve">often </w:t>
      </w:r>
      <w:r w:rsidR="006E19B3" w:rsidRPr="007B0913">
        <w:rPr>
          <w:rFonts w:ascii="Times New Roman" w:hAnsi="Times New Roman" w:cs="Times New Roman"/>
          <w:sz w:val="24"/>
          <w:szCs w:val="24"/>
        </w:rPr>
        <w:t xml:space="preserve">little </w:t>
      </w:r>
      <w:r w:rsidR="009600F7" w:rsidRPr="007B0913">
        <w:rPr>
          <w:rFonts w:ascii="Times New Roman" w:hAnsi="Times New Roman" w:cs="Times New Roman"/>
          <w:sz w:val="24"/>
          <w:szCs w:val="24"/>
        </w:rPr>
        <w:t>more t</w:t>
      </w:r>
      <w:r w:rsidR="00E26B38" w:rsidRPr="007B0913">
        <w:rPr>
          <w:rFonts w:ascii="Times New Roman" w:hAnsi="Times New Roman" w:cs="Times New Roman"/>
          <w:sz w:val="24"/>
          <w:szCs w:val="24"/>
        </w:rPr>
        <w:t>han a slogan to be treated with a degree of</w:t>
      </w:r>
      <w:r w:rsidR="006E19B3" w:rsidRPr="007B0913">
        <w:rPr>
          <w:rFonts w:ascii="Times New Roman" w:hAnsi="Times New Roman" w:cs="Times New Roman"/>
          <w:sz w:val="24"/>
          <w:szCs w:val="24"/>
        </w:rPr>
        <w:t xml:space="preserve"> cynicism, and perhaps</w:t>
      </w:r>
      <w:r w:rsidR="009600F7" w:rsidRPr="007B0913">
        <w:rPr>
          <w:rFonts w:ascii="Times New Roman" w:hAnsi="Times New Roman" w:cs="Times New Roman"/>
          <w:sz w:val="24"/>
          <w:szCs w:val="24"/>
        </w:rPr>
        <w:t xml:space="preserve"> even hostility.</w:t>
      </w:r>
      <w:r w:rsidR="009600F7" w:rsidRPr="007B0913">
        <w:rPr>
          <w:rStyle w:val="FootnoteReference"/>
          <w:rFonts w:ascii="Times New Roman" w:hAnsi="Times New Roman" w:cs="Times New Roman"/>
          <w:sz w:val="24"/>
          <w:szCs w:val="24"/>
        </w:rPr>
        <w:footnoteReference w:id="4"/>
      </w:r>
      <w:r w:rsidR="009600F7" w:rsidRPr="007B0913">
        <w:rPr>
          <w:rFonts w:ascii="Times New Roman" w:hAnsi="Times New Roman" w:cs="Times New Roman"/>
          <w:sz w:val="24"/>
          <w:szCs w:val="24"/>
        </w:rPr>
        <w:t xml:space="preserve"> </w:t>
      </w:r>
      <w:r w:rsidR="00174B9A" w:rsidRPr="007B0913">
        <w:rPr>
          <w:rFonts w:ascii="Times New Roman" w:hAnsi="Times New Roman" w:cs="Times New Roman"/>
          <w:sz w:val="24"/>
          <w:szCs w:val="24"/>
        </w:rPr>
        <w:t xml:space="preserve"> </w:t>
      </w:r>
    </w:p>
    <w:p w14:paraId="123BDF2D" w14:textId="4A6A4DB4" w:rsidR="00174B9A" w:rsidRPr="007B0913" w:rsidRDefault="00431248"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Not so long ago, </w:t>
      </w:r>
      <w:r w:rsidR="00D4171A" w:rsidRPr="007B0913">
        <w:rPr>
          <w:rFonts w:ascii="Times New Roman" w:hAnsi="Times New Roman" w:cs="Times New Roman"/>
          <w:sz w:val="24"/>
          <w:szCs w:val="24"/>
        </w:rPr>
        <w:t>‘human rights law’</w:t>
      </w:r>
      <w:r w:rsidR="00E8734A" w:rsidRPr="007B0913">
        <w:rPr>
          <w:rFonts w:ascii="Times New Roman" w:hAnsi="Times New Roman" w:cs="Times New Roman"/>
          <w:sz w:val="24"/>
          <w:szCs w:val="24"/>
        </w:rPr>
        <w:t xml:space="preserve"> did not exist in this country as a separate field of study</w:t>
      </w:r>
      <w:r w:rsidR="00D4171A" w:rsidRPr="007B0913">
        <w:rPr>
          <w:rFonts w:ascii="Times New Roman" w:hAnsi="Times New Roman" w:cs="Times New Roman"/>
          <w:sz w:val="24"/>
          <w:szCs w:val="24"/>
        </w:rPr>
        <w:t>.</w:t>
      </w:r>
      <w:r w:rsidR="00266F42" w:rsidRPr="007B0913">
        <w:rPr>
          <w:rFonts w:ascii="Times New Roman" w:hAnsi="Times New Roman" w:cs="Times New Roman"/>
          <w:sz w:val="24"/>
          <w:szCs w:val="24"/>
        </w:rPr>
        <w:t xml:space="preserve"> </w:t>
      </w:r>
      <w:r w:rsidR="00D4171A" w:rsidRPr="007B0913">
        <w:rPr>
          <w:rFonts w:ascii="Times New Roman" w:hAnsi="Times New Roman" w:cs="Times New Roman"/>
          <w:sz w:val="24"/>
          <w:szCs w:val="24"/>
        </w:rPr>
        <w:t xml:space="preserve"> </w:t>
      </w:r>
      <w:r w:rsidR="00174B9A" w:rsidRPr="007B0913">
        <w:rPr>
          <w:rFonts w:ascii="Times New Roman" w:hAnsi="Times New Roman" w:cs="Times New Roman"/>
          <w:sz w:val="24"/>
          <w:szCs w:val="24"/>
        </w:rPr>
        <w:t>Today,</w:t>
      </w:r>
      <w:r w:rsidR="00D4171A" w:rsidRPr="007B0913">
        <w:rPr>
          <w:rFonts w:ascii="Times New Roman" w:hAnsi="Times New Roman" w:cs="Times New Roman"/>
          <w:sz w:val="24"/>
          <w:szCs w:val="24"/>
        </w:rPr>
        <w:t xml:space="preserve"> </w:t>
      </w:r>
      <w:r w:rsidR="00E8734A" w:rsidRPr="007B0913">
        <w:rPr>
          <w:rFonts w:ascii="Times New Roman" w:hAnsi="Times New Roman" w:cs="Times New Roman"/>
          <w:sz w:val="24"/>
          <w:szCs w:val="24"/>
        </w:rPr>
        <w:t xml:space="preserve">the position is </w:t>
      </w:r>
      <w:r w:rsidRPr="007B0913">
        <w:rPr>
          <w:rFonts w:ascii="Times New Roman" w:hAnsi="Times New Roman" w:cs="Times New Roman"/>
          <w:sz w:val="24"/>
          <w:szCs w:val="24"/>
        </w:rPr>
        <w:t>different.  N</w:t>
      </w:r>
      <w:r w:rsidR="00D4171A" w:rsidRPr="007B0913">
        <w:rPr>
          <w:rFonts w:ascii="Times New Roman" w:hAnsi="Times New Roman" w:cs="Times New Roman"/>
          <w:sz w:val="24"/>
          <w:szCs w:val="24"/>
        </w:rPr>
        <w:t>o univer</w:t>
      </w:r>
      <w:r w:rsidRPr="007B0913">
        <w:rPr>
          <w:rFonts w:ascii="Times New Roman" w:hAnsi="Times New Roman" w:cs="Times New Roman"/>
          <w:sz w:val="24"/>
          <w:szCs w:val="24"/>
        </w:rPr>
        <w:t>sity l</w:t>
      </w:r>
      <w:r w:rsidR="00765533" w:rsidRPr="007B0913">
        <w:rPr>
          <w:rFonts w:ascii="Times New Roman" w:hAnsi="Times New Roman" w:cs="Times New Roman"/>
          <w:sz w:val="24"/>
          <w:szCs w:val="24"/>
        </w:rPr>
        <w:t>aw course would be</w:t>
      </w:r>
      <w:r w:rsidR="00D4171A" w:rsidRPr="007B0913">
        <w:rPr>
          <w:rFonts w:ascii="Times New Roman" w:hAnsi="Times New Roman" w:cs="Times New Roman"/>
          <w:sz w:val="24"/>
          <w:szCs w:val="24"/>
        </w:rPr>
        <w:t xml:space="preserve"> complete without </w:t>
      </w:r>
      <w:r w:rsidRPr="007B0913">
        <w:rPr>
          <w:rFonts w:ascii="Times New Roman" w:hAnsi="Times New Roman" w:cs="Times New Roman"/>
          <w:sz w:val="24"/>
          <w:szCs w:val="24"/>
        </w:rPr>
        <w:t xml:space="preserve">offering </w:t>
      </w:r>
      <w:r w:rsidR="00D4171A" w:rsidRPr="007B0913">
        <w:rPr>
          <w:rFonts w:ascii="Times New Roman" w:hAnsi="Times New Roman" w:cs="Times New Roman"/>
          <w:sz w:val="24"/>
          <w:szCs w:val="24"/>
        </w:rPr>
        <w:t>at least</w:t>
      </w:r>
      <w:r w:rsidR="00765533" w:rsidRPr="007B0913">
        <w:rPr>
          <w:rFonts w:ascii="Times New Roman" w:hAnsi="Times New Roman" w:cs="Times New Roman"/>
          <w:sz w:val="24"/>
          <w:szCs w:val="24"/>
        </w:rPr>
        <w:t xml:space="preserve"> some</w:t>
      </w:r>
      <w:r w:rsidR="00D4171A" w:rsidRPr="007B0913">
        <w:rPr>
          <w:rFonts w:ascii="Times New Roman" w:hAnsi="Times New Roman" w:cs="Times New Roman"/>
          <w:sz w:val="24"/>
          <w:szCs w:val="24"/>
        </w:rPr>
        <w:t xml:space="preserve"> </w:t>
      </w:r>
      <w:r w:rsidR="00176D7C" w:rsidRPr="007B0913">
        <w:rPr>
          <w:rFonts w:ascii="Times New Roman" w:hAnsi="Times New Roman" w:cs="Times New Roman"/>
          <w:sz w:val="24"/>
          <w:szCs w:val="24"/>
        </w:rPr>
        <w:t xml:space="preserve">subjects </w:t>
      </w:r>
      <w:r w:rsidR="00765533" w:rsidRPr="007B0913">
        <w:rPr>
          <w:rFonts w:ascii="Times New Roman" w:hAnsi="Times New Roman" w:cs="Times New Roman"/>
          <w:sz w:val="24"/>
          <w:szCs w:val="24"/>
        </w:rPr>
        <w:t xml:space="preserve">either </w:t>
      </w:r>
      <w:r w:rsidR="00176D7C" w:rsidRPr="007B0913">
        <w:rPr>
          <w:rFonts w:ascii="Times New Roman" w:hAnsi="Times New Roman" w:cs="Times New Roman"/>
          <w:sz w:val="24"/>
          <w:szCs w:val="24"/>
        </w:rPr>
        <w:t>incorporating the term ‘human rights’ in their title</w:t>
      </w:r>
      <w:r w:rsidR="00765533" w:rsidRPr="007B0913">
        <w:rPr>
          <w:rFonts w:ascii="Times New Roman" w:hAnsi="Times New Roman" w:cs="Times New Roman"/>
          <w:sz w:val="24"/>
          <w:szCs w:val="24"/>
        </w:rPr>
        <w:t>, or devoting a considerable amount of attention to that topic</w:t>
      </w:r>
      <w:r w:rsidR="0070331B" w:rsidRPr="007B0913">
        <w:rPr>
          <w:rFonts w:ascii="Times New Roman" w:hAnsi="Times New Roman" w:cs="Times New Roman"/>
          <w:sz w:val="24"/>
          <w:szCs w:val="24"/>
        </w:rPr>
        <w:t xml:space="preserve">.  </w:t>
      </w:r>
      <w:r w:rsidR="00765533" w:rsidRPr="007B0913">
        <w:rPr>
          <w:rFonts w:ascii="Times New Roman" w:hAnsi="Times New Roman" w:cs="Times New Roman"/>
          <w:sz w:val="24"/>
          <w:szCs w:val="24"/>
        </w:rPr>
        <w:t>As Professor Clapham notes, t</w:t>
      </w:r>
      <w:r w:rsidR="00D84993" w:rsidRPr="007B0913">
        <w:rPr>
          <w:rFonts w:ascii="Times New Roman" w:hAnsi="Times New Roman" w:cs="Times New Roman"/>
          <w:sz w:val="24"/>
          <w:szCs w:val="24"/>
        </w:rPr>
        <w:t xml:space="preserve">he language of human rights is </w:t>
      </w:r>
      <w:r w:rsidR="005F5AA6" w:rsidRPr="007B0913">
        <w:rPr>
          <w:rFonts w:ascii="Times New Roman" w:hAnsi="Times New Roman" w:cs="Times New Roman"/>
          <w:sz w:val="24"/>
          <w:szCs w:val="24"/>
        </w:rPr>
        <w:t xml:space="preserve">now </w:t>
      </w:r>
      <w:r w:rsidR="00D4171A" w:rsidRPr="007B0913">
        <w:rPr>
          <w:rFonts w:ascii="Times New Roman" w:hAnsi="Times New Roman" w:cs="Times New Roman"/>
          <w:sz w:val="24"/>
          <w:szCs w:val="24"/>
        </w:rPr>
        <w:t xml:space="preserve">often </w:t>
      </w:r>
      <w:r w:rsidR="00D84993" w:rsidRPr="007B0913">
        <w:rPr>
          <w:rFonts w:ascii="Times New Roman" w:hAnsi="Times New Roman" w:cs="Times New Roman"/>
          <w:sz w:val="24"/>
          <w:szCs w:val="24"/>
        </w:rPr>
        <w:t xml:space="preserve">deployed to criticise, defend, and reform all sorts of behaviour.  </w:t>
      </w:r>
    </w:p>
    <w:p w14:paraId="2E953D4B" w14:textId="64A21DF0" w:rsidR="000A21C1" w:rsidRPr="007B0913" w:rsidRDefault="00765533" w:rsidP="006B2E41">
      <w:pPr>
        <w:spacing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lastRenderedPageBreak/>
        <w:t xml:space="preserve">Indeed, </w:t>
      </w:r>
      <w:r w:rsidR="001B7D37" w:rsidRPr="007B0913">
        <w:rPr>
          <w:rFonts w:ascii="Times New Roman" w:hAnsi="Times New Roman" w:cs="Times New Roman"/>
          <w:sz w:val="24"/>
          <w:szCs w:val="24"/>
        </w:rPr>
        <w:t xml:space="preserve">Professor </w:t>
      </w:r>
      <w:r w:rsidR="00EB758D" w:rsidRPr="007B0913">
        <w:rPr>
          <w:rFonts w:ascii="Times New Roman" w:hAnsi="Times New Roman" w:cs="Times New Roman"/>
          <w:sz w:val="24"/>
          <w:szCs w:val="24"/>
        </w:rPr>
        <w:t xml:space="preserve">Clapham </w:t>
      </w:r>
      <w:r w:rsidRPr="007B0913">
        <w:rPr>
          <w:rFonts w:ascii="Times New Roman" w:hAnsi="Times New Roman" w:cs="Times New Roman"/>
          <w:sz w:val="24"/>
          <w:szCs w:val="24"/>
        </w:rPr>
        <w:t>has stated</w:t>
      </w:r>
      <w:r w:rsidR="005F5AA6" w:rsidRPr="007B0913">
        <w:rPr>
          <w:rFonts w:ascii="Times New Roman" w:hAnsi="Times New Roman" w:cs="Times New Roman"/>
          <w:sz w:val="24"/>
          <w:szCs w:val="24"/>
        </w:rPr>
        <w:t>:</w:t>
      </w:r>
    </w:p>
    <w:p w14:paraId="5E4CFADA" w14:textId="4055385A" w:rsidR="00CB7B29" w:rsidRPr="007B0913" w:rsidRDefault="00CB7B29" w:rsidP="006B2E41">
      <w:pPr>
        <w:spacing w:after="240"/>
        <w:ind w:left="720"/>
        <w:jc w:val="both"/>
        <w:rPr>
          <w:rFonts w:ascii="Times New Roman" w:hAnsi="Times New Roman" w:cs="Times New Roman"/>
          <w:sz w:val="24"/>
          <w:szCs w:val="24"/>
        </w:rPr>
      </w:pPr>
      <w:r w:rsidRPr="007B0913">
        <w:rPr>
          <w:rFonts w:ascii="Times New Roman" w:hAnsi="Times New Roman" w:cs="Times New Roman"/>
        </w:rPr>
        <w:t xml:space="preserve">At times, </w:t>
      </w:r>
      <w:r w:rsidR="00B96BF2" w:rsidRPr="007B0913">
        <w:rPr>
          <w:rFonts w:ascii="Times New Roman" w:hAnsi="Times New Roman" w:cs="Times New Roman"/>
        </w:rPr>
        <w:t>human rights protections may indeed seem to be anti-majoritarian; why should judges or international bodies determine what is best for any society, especially when democratically elected representatives have chosen a particular path?  But the point is that human rights may serve to protect people from the ‘tyranny of the majority’.  Human rights law, however, should not be seen as a simple device to thwart the wishes of the majority, as, with the exception of the absolute ban on torture, it does in fact allow for security needs and the rights of others to be taken into consideration in a democratic society.  There is no easy answer to this conundrum that asks why judges should be entitled to uphold human rights in the face of democratic decisions.  Different societies will choose different arrangements, some will place more power in the hands of judges than others.</w:t>
      </w:r>
      <w:r w:rsidR="0066770B" w:rsidRPr="007B0913">
        <w:rPr>
          <w:rStyle w:val="FootnoteReference"/>
          <w:rFonts w:ascii="Times New Roman" w:hAnsi="Times New Roman" w:cs="Times New Roman"/>
          <w:sz w:val="24"/>
          <w:szCs w:val="24"/>
        </w:rPr>
        <w:footnoteReference w:id="5"/>
      </w:r>
    </w:p>
    <w:p w14:paraId="5357B73C" w14:textId="12EF5B91" w:rsidR="001833FE" w:rsidRPr="007B0913" w:rsidRDefault="004E3625"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The debate surrounding </w:t>
      </w:r>
      <w:r w:rsidR="00FA069B" w:rsidRPr="007B0913">
        <w:rPr>
          <w:rFonts w:ascii="Times New Roman" w:hAnsi="Times New Roman" w:cs="Times New Roman"/>
          <w:sz w:val="24"/>
          <w:szCs w:val="24"/>
        </w:rPr>
        <w:t xml:space="preserve">human </w:t>
      </w:r>
      <w:r w:rsidRPr="007B0913">
        <w:rPr>
          <w:rFonts w:ascii="Times New Roman" w:hAnsi="Times New Roman" w:cs="Times New Roman"/>
          <w:sz w:val="24"/>
          <w:szCs w:val="24"/>
        </w:rPr>
        <w:t>rights</w:t>
      </w:r>
      <w:r w:rsidR="00765533" w:rsidRPr="007B0913">
        <w:rPr>
          <w:rFonts w:ascii="Times New Roman" w:hAnsi="Times New Roman" w:cs="Times New Roman"/>
          <w:sz w:val="24"/>
          <w:szCs w:val="24"/>
        </w:rPr>
        <w:t>, and how they should best be protected</w:t>
      </w:r>
      <w:r w:rsidR="0014473F" w:rsidRPr="007B0913">
        <w:rPr>
          <w:rFonts w:ascii="Times New Roman" w:hAnsi="Times New Roman" w:cs="Times New Roman"/>
          <w:sz w:val="24"/>
          <w:szCs w:val="24"/>
        </w:rPr>
        <w:t>, is</w:t>
      </w:r>
      <w:r w:rsidRPr="007B0913">
        <w:rPr>
          <w:rFonts w:ascii="Times New Roman" w:hAnsi="Times New Roman" w:cs="Times New Roman"/>
          <w:sz w:val="24"/>
          <w:szCs w:val="24"/>
        </w:rPr>
        <w:t xml:space="preserve"> ongoing.  </w:t>
      </w:r>
      <w:r w:rsidR="0014473F" w:rsidRPr="007B0913">
        <w:rPr>
          <w:rFonts w:ascii="Times New Roman" w:hAnsi="Times New Roman" w:cs="Times New Roman"/>
          <w:sz w:val="24"/>
          <w:szCs w:val="24"/>
        </w:rPr>
        <w:t>In an era</w:t>
      </w:r>
      <w:r w:rsidR="00704F85" w:rsidRPr="007B0913">
        <w:rPr>
          <w:rFonts w:ascii="Times New Roman" w:hAnsi="Times New Roman" w:cs="Times New Roman"/>
          <w:sz w:val="24"/>
          <w:szCs w:val="24"/>
        </w:rPr>
        <w:t xml:space="preserve"> when </w:t>
      </w:r>
      <w:r w:rsidR="00765533" w:rsidRPr="007B0913">
        <w:rPr>
          <w:rFonts w:ascii="Times New Roman" w:hAnsi="Times New Roman" w:cs="Times New Roman"/>
          <w:sz w:val="24"/>
          <w:szCs w:val="24"/>
        </w:rPr>
        <w:t xml:space="preserve">terrorism is </w:t>
      </w:r>
      <w:r w:rsidR="001833FE" w:rsidRPr="007B0913">
        <w:rPr>
          <w:rFonts w:ascii="Times New Roman" w:hAnsi="Times New Roman" w:cs="Times New Roman"/>
          <w:sz w:val="24"/>
          <w:szCs w:val="24"/>
        </w:rPr>
        <w:t>widely seen</w:t>
      </w:r>
      <w:r w:rsidR="00765533" w:rsidRPr="007B0913">
        <w:rPr>
          <w:rFonts w:ascii="Times New Roman" w:hAnsi="Times New Roman" w:cs="Times New Roman"/>
          <w:sz w:val="24"/>
          <w:szCs w:val="24"/>
        </w:rPr>
        <w:t xml:space="preserve"> as</w:t>
      </w:r>
      <w:r w:rsidR="001833FE" w:rsidRPr="007B0913">
        <w:rPr>
          <w:rFonts w:ascii="Times New Roman" w:hAnsi="Times New Roman" w:cs="Times New Roman"/>
          <w:sz w:val="24"/>
          <w:szCs w:val="24"/>
        </w:rPr>
        <w:t xml:space="preserve"> a pervasive and on-going threat</w:t>
      </w:r>
      <w:r w:rsidR="00765533" w:rsidRPr="007B0913">
        <w:rPr>
          <w:rFonts w:ascii="Times New Roman" w:hAnsi="Times New Roman" w:cs="Times New Roman"/>
          <w:sz w:val="24"/>
          <w:szCs w:val="24"/>
        </w:rPr>
        <w:t xml:space="preserve">, </w:t>
      </w:r>
      <w:r w:rsidR="001833FE" w:rsidRPr="007B0913">
        <w:rPr>
          <w:rFonts w:ascii="Times New Roman" w:hAnsi="Times New Roman" w:cs="Times New Roman"/>
          <w:sz w:val="24"/>
          <w:szCs w:val="24"/>
        </w:rPr>
        <w:t>and there is a greater willingness than in the past to sacrifice individual rights in order to meet that threat, the</w:t>
      </w:r>
      <w:r w:rsidR="00704F85" w:rsidRPr="007B0913">
        <w:rPr>
          <w:rFonts w:ascii="Times New Roman" w:hAnsi="Times New Roman" w:cs="Times New Roman"/>
          <w:sz w:val="24"/>
          <w:szCs w:val="24"/>
        </w:rPr>
        <w:t xml:space="preserve">re is good reason </w:t>
      </w:r>
      <w:r w:rsidR="001833FE" w:rsidRPr="007B0913">
        <w:rPr>
          <w:rFonts w:ascii="Times New Roman" w:hAnsi="Times New Roman" w:cs="Times New Roman"/>
          <w:sz w:val="24"/>
          <w:szCs w:val="24"/>
        </w:rPr>
        <w:t xml:space="preserve">for lawyers in particular to reflect </w:t>
      </w:r>
      <w:r w:rsidR="00704F85" w:rsidRPr="007B0913">
        <w:rPr>
          <w:rFonts w:ascii="Times New Roman" w:hAnsi="Times New Roman" w:cs="Times New Roman"/>
          <w:sz w:val="24"/>
          <w:szCs w:val="24"/>
        </w:rPr>
        <w:t>upon</w:t>
      </w:r>
      <w:r w:rsidR="001833FE" w:rsidRPr="007B0913">
        <w:rPr>
          <w:rFonts w:ascii="Times New Roman" w:hAnsi="Times New Roman" w:cs="Times New Roman"/>
          <w:sz w:val="24"/>
          <w:szCs w:val="24"/>
        </w:rPr>
        <w:t xml:space="preserve"> whether we have, under current laws, struck the right </w:t>
      </w:r>
      <w:r w:rsidR="00A477DF" w:rsidRPr="007B0913">
        <w:rPr>
          <w:rFonts w:ascii="Times New Roman" w:hAnsi="Times New Roman" w:cs="Times New Roman"/>
          <w:sz w:val="24"/>
          <w:szCs w:val="24"/>
        </w:rPr>
        <w:t>balance</w:t>
      </w:r>
      <w:r w:rsidR="001833FE" w:rsidRPr="007B0913">
        <w:rPr>
          <w:rFonts w:ascii="Times New Roman" w:hAnsi="Times New Roman" w:cs="Times New Roman"/>
          <w:sz w:val="24"/>
          <w:szCs w:val="24"/>
        </w:rPr>
        <w:t>.</w:t>
      </w:r>
    </w:p>
    <w:p w14:paraId="4264B9DC" w14:textId="5309793B" w:rsidR="004E3625" w:rsidRPr="007B0913" w:rsidRDefault="00B81A9C"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In that regard, it must be recognised that t</w:t>
      </w:r>
      <w:r w:rsidR="00EF7F40" w:rsidRPr="007B0913">
        <w:rPr>
          <w:rFonts w:ascii="Times New Roman" w:hAnsi="Times New Roman" w:cs="Times New Roman"/>
          <w:sz w:val="24"/>
          <w:szCs w:val="24"/>
        </w:rPr>
        <w:t xml:space="preserve">here are </w:t>
      </w:r>
      <w:r w:rsidR="006E2156" w:rsidRPr="007B0913">
        <w:rPr>
          <w:rFonts w:ascii="Times New Roman" w:hAnsi="Times New Roman" w:cs="Times New Roman"/>
          <w:sz w:val="24"/>
          <w:szCs w:val="24"/>
        </w:rPr>
        <w:t>legitimate differences of opinion as to whether</w:t>
      </w:r>
      <w:r w:rsidR="001E7829" w:rsidRPr="007B0913">
        <w:rPr>
          <w:rFonts w:ascii="Times New Roman" w:hAnsi="Times New Roman" w:cs="Times New Roman"/>
          <w:sz w:val="24"/>
          <w:szCs w:val="24"/>
        </w:rPr>
        <w:t xml:space="preserve"> </w:t>
      </w:r>
      <w:r w:rsidR="006E2156" w:rsidRPr="007B0913">
        <w:rPr>
          <w:rFonts w:ascii="Times New Roman" w:hAnsi="Times New Roman" w:cs="Times New Roman"/>
          <w:sz w:val="24"/>
          <w:szCs w:val="24"/>
        </w:rPr>
        <w:t xml:space="preserve">we should move to constitutional or statutory protection of human rights, or whether </w:t>
      </w:r>
      <w:r w:rsidR="004E15E3" w:rsidRPr="007B0913">
        <w:rPr>
          <w:rFonts w:ascii="Times New Roman" w:hAnsi="Times New Roman" w:cs="Times New Roman"/>
          <w:sz w:val="24"/>
          <w:szCs w:val="24"/>
        </w:rPr>
        <w:t>the common law,</w:t>
      </w:r>
      <w:r w:rsidR="006E2156" w:rsidRPr="007B0913">
        <w:rPr>
          <w:rFonts w:ascii="Times New Roman" w:hAnsi="Times New Roman" w:cs="Times New Roman"/>
          <w:sz w:val="24"/>
          <w:szCs w:val="24"/>
        </w:rPr>
        <w:t xml:space="preserve"> </w:t>
      </w:r>
      <w:r w:rsidR="004E15E3" w:rsidRPr="007B0913">
        <w:rPr>
          <w:rFonts w:ascii="Times New Roman" w:hAnsi="Times New Roman" w:cs="Times New Roman"/>
          <w:sz w:val="24"/>
          <w:szCs w:val="24"/>
        </w:rPr>
        <w:t xml:space="preserve">properly applied, </w:t>
      </w:r>
      <w:r w:rsidR="00526702" w:rsidRPr="007B0913">
        <w:rPr>
          <w:rFonts w:ascii="Times New Roman" w:hAnsi="Times New Roman" w:cs="Times New Roman"/>
          <w:sz w:val="24"/>
          <w:szCs w:val="24"/>
        </w:rPr>
        <w:t xml:space="preserve">affords </w:t>
      </w:r>
      <w:r w:rsidR="00417500" w:rsidRPr="007B0913">
        <w:rPr>
          <w:rFonts w:ascii="Times New Roman" w:hAnsi="Times New Roman" w:cs="Times New Roman"/>
          <w:sz w:val="24"/>
          <w:szCs w:val="24"/>
        </w:rPr>
        <w:t xml:space="preserve">adequate and perhaps </w:t>
      </w:r>
      <w:r w:rsidR="000B2062" w:rsidRPr="007B0913">
        <w:rPr>
          <w:rFonts w:ascii="Times New Roman" w:hAnsi="Times New Roman" w:cs="Times New Roman"/>
          <w:sz w:val="24"/>
          <w:szCs w:val="24"/>
        </w:rPr>
        <w:t xml:space="preserve">even </w:t>
      </w:r>
      <w:r w:rsidR="00417500" w:rsidRPr="007B0913">
        <w:rPr>
          <w:rFonts w:ascii="Times New Roman" w:hAnsi="Times New Roman" w:cs="Times New Roman"/>
          <w:sz w:val="24"/>
          <w:szCs w:val="24"/>
        </w:rPr>
        <w:t xml:space="preserve">more effective </w:t>
      </w:r>
      <w:r w:rsidR="00E2242E" w:rsidRPr="007B0913">
        <w:rPr>
          <w:rFonts w:ascii="Times New Roman" w:hAnsi="Times New Roman" w:cs="Times New Roman"/>
          <w:sz w:val="24"/>
          <w:szCs w:val="24"/>
        </w:rPr>
        <w:t xml:space="preserve">protection </w:t>
      </w:r>
      <w:r w:rsidR="006E2156" w:rsidRPr="007B0913">
        <w:rPr>
          <w:rFonts w:ascii="Times New Roman" w:hAnsi="Times New Roman" w:cs="Times New Roman"/>
          <w:sz w:val="24"/>
          <w:szCs w:val="24"/>
        </w:rPr>
        <w:t xml:space="preserve">for basic freedoms.  </w:t>
      </w:r>
    </w:p>
    <w:p w14:paraId="661CBF00" w14:textId="57D0D2B3" w:rsidR="00D62E71" w:rsidRPr="007B0913" w:rsidRDefault="00D62E71"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Surely, one of the most basic </w:t>
      </w:r>
      <w:proofErr w:type="gramStart"/>
      <w:r w:rsidRPr="007B0913">
        <w:rPr>
          <w:rFonts w:ascii="Times New Roman" w:hAnsi="Times New Roman" w:cs="Times New Roman"/>
          <w:sz w:val="24"/>
          <w:szCs w:val="24"/>
        </w:rPr>
        <w:t>rights</w:t>
      </w:r>
      <w:r w:rsidR="000B2062" w:rsidRPr="007B0913">
        <w:rPr>
          <w:rFonts w:ascii="Times New Roman" w:hAnsi="Times New Roman" w:cs="Times New Roman"/>
          <w:sz w:val="24"/>
          <w:szCs w:val="24"/>
        </w:rPr>
        <w:t>,</w:t>
      </w:r>
      <w:r w:rsidRPr="007B0913">
        <w:rPr>
          <w:rFonts w:ascii="Times New Roman" w:hAnsi="Times New Roman" w:cs="Times New Roman"/>
          <w:sz w:val="24"/>
          <w:szCs w:val="24"/>
        </w:rPr>
        <w:t xml:space="preserve"> that must be secured i</w:t>
      </w:r>
      <w:r w:rsidR="00867A06" w:rsidRPr="007B0913">
        <w:rPr>
          <w:rFonts w:ascii="Times New Roman" w:hAnsi="Times New Roman" w:cs="Times New Roman"/>
          <w:sz w:val="24"/>
          <w:szCs w:val="24"/>
        </w:rPr>
        <w:t xml:space="preserve">n any </w:t>
      </w:r>
      <w:r w:rsidR="00622D20" w:rsidRPr="007B0913">
        <w:rPr>
          <w:rFonts w:ascii="Times New Roman" w:hAnsi="Times New Roman" w:cs="Times New Roman"/>
          <w:sz w:val="24"/>
          <w:szCs w:val="24"/>
        </w:rPr>
        <w:t>liberal democratic society</w:t>
      </w:r>
      <w:r w:rsidRPr="007B0913">
        <w:rPr>
          <w:rFonts w:ascii="Times New Roman" w:hAnsi="Times New Roman" w:cs="Times New Roman"/>
          <w:sz w:val="24"/>
          <w:szCs w:val="24"/>
        </w:rPr>
        <w:t xml:space="preserve"> concerned with the rule of law</w:t>
      </w:r>
      <w:r w:rsidR="000B2062" w:rsidRPr="007B0913">
        <w:rPr>
          <w:rFonts w:ascii="Times New Roman" w:hAnsi="Times New Roman" w:cs="Times New Roman"/>
          <w:sz w:val="24"/>
          <w:szCs w:val="24"/>
        </w:rPr>
        <w:t>,</w:t>
      </w:r>
      <w:proofErr w:type="gramEnd"/>
      <w:r w:rsidR="000B2062" w:rsidRPr="007B0913">
        <w:rPr>
          <w:rFonts w:ascii="Times New Roman" w:hAnsi="Times New Roman" w:cs="Times New Roman"/>
          <w:sz w:val="24"/>
          <w:szCs w:val="24"/>
        </w:rPr>
        <w:t xml:space="preserve"> is</w:t>
      </w:r>
      <w:r w:rsidRPr="007B0913">
        <w:rPr>
          <w:rFonts w:ascii="Times New Roman" w:hAnsi="Times New Roman" w:cs="Times New Roman"/>
          <w:sz w:val="24"/>
          <w:szCs w:val="24"/>
        </w:rPr>
        <w:t xml:space="preserve"> </w:t>
      </w:r>
      <w:r w:rsidR="008142B6" w:rsidRPr="007B0913">
        <w:rPr>
          <w:rFonts w:ascii="Times New Roman" w:hAnsi="Times New Roman" w:cs="Times New Roman"/>
          <w:sz w:val="24"/>
          <w:szCs w:val="24"/>
        </w:rPr>
        <w:t>the right</w:t>
      </w:r>
      <w:r w:rsidR="00622D20" w:rsidRPr="007B0913">
        <w:rPr>
          <w:rFonts w:ascii="Times New Roman" w:hAnsi="Times New Roman" w:cs="Times New Roman"/>
          <w:sz w:val="24"/>
          <w:szCs w:val="24"/>
        </w:rPr>
        <w:t xml:space="preserve"> of </w:t>
      </w:r>
      <w:r w:rsidR="008142B6" w:rsidRPr="007B0913">
        <w:rPr>
          <w:rFonts w:ascii="Times New Roman" w:hAnsi="Times New Roman" w:cs="Times New Roman"/>
          <w:sz w:val="24"/>
          <w:szCs w:val="24"/>
        </w:rPr>
        <w:t xml:space="preserve">an </w:t>
      </w:r>
      <w:r w:rsidR="009D5BE7" w:rsidRPr="007B0913">
        <w:rPr>
          <w:rFonts w:ascii="Times New Roman" w:hAnsi="Times New Roman" w:cs="Times New Roman"/>
          <w:sz w:val="24"/>
          <w:szCs w:val="24"/>
        </w:rPr>
        <w:t xml:space="preserve">accused person to </w:t>
      </w:r>
      <w:r w:rsidR="008142B6" w:rsidRPr="007B0913">
        <w:rPr>
          <w:rFonts w:ascii="Times New Roman" w:hAnsi="Times New Roman" w:cs="Times New Roman"/>
          <w:sz w:val="24"/>
          <w:szCs w:val="24"/>
        </w:rPr>
        <w:t xml:space="preserve">a fair trial.  </w:t>
      </w:r>
    </w:p>
    <w:p w14:paraId="0DA0E3D0" w14:textId="762C24A7" w:rsidR="009A7931" w:rsidRPr="007B0913" w:rsidRDefault="00867A06"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In that regard, it</w:t>
      </w:r>
      <w:r w:rsidR="00B01F29" w:rsidRPr="007B0913">
        <w:rPr>
          <w:rFonts w:ascii="Times New Roman" w:hAnsi="Times New Roman" w:cs="Times New Roman"/>
          <w:sz w:val="24"/>
          <w:szCs w:val="24"/>
        </w:rPr>
        <w:t xml:space="preserve"> is interesting </w:t>
      </w:r>
      <w:r w:rsidRPr="007B0913">
        <w:rPr>
          <w:rFonts w:ascii="Times New Roman" w:hAnsi="Times New Roman" w:cs="Times New Roman"/>
          <w:sz w:val="24"/>
          <w:szCs w:val="24"/>
        </w:rPr>
        <w:t xml:space="preserve">to note </w:t>
      </w:r>
      <w:r w:rsidR="00B01F29" w:rsidRPr="007B0913">
        <w:rPr>
          <w:rFonts w:ascii="Times New Roman" w:hAnsi="Times New Roman" w:cs="Times New Roman"/>
          <w:sz w:val="24"/>
          <w:szCs w:val="24"/>
        </w:rPr>
        <w:t>that</w:t>
      </w:r>
      <w:r w:rsidR="00D62E71" w:rsidRPr="007B0913">
        <w:rPr>
          <w:rFonts w:ascii="Times New Roman" w:hAnsi="Times New Roman" w:cs="Times New Roman"/>
          <w:sz w:val="24"/>
          <w:szCs w:val="24"/>
        </w:rPr>
        <w:t xml:space="preserve"> under the </w:t>
      </w:r>
      <w:r w:rsidR="00D62E71" w:rsidRPr="007B0913">
        <w:rPr>
          <w:rFonts w:ascii="Times New Roman" w:hAnsi="Times New Roman" w:cs="Times New Roman"/>
          <w:i/>
          <w:sz w:val="24"/>
          <w:szCs w:val="24"/>
        </w:rPr>
        <w:t xml:space="preserve">Charter of Human Rights and Responsibilities Act 2006 </w:t>
      </w:r>
      <w:r w:rsidR="00D62E71" w:rsidRPr="007B0913">
        <w:rPr>
          <w:rFonts w:ascii="Times New Roman" w:hAnsi="Times New Roman" w:cs="Times New Roman"/>
          <w:sz w:val="24"/>
          <w:szCs w:val="24"/>
        </w:rPr>
        <w:t>(Vic) (‘the Charter’) that right to a fair trial is dealt with extensively</w:t>
      </w:r>
      <w:r w:rsidR="00D732BF" w:rsidRPr="007B0913">
        <w:rPr>
          <w:rFonts w:ascii="Times New Roman" w:hAnsi="Times New Roman" w:cs="Times New Roman"/>
          <w:sz w:val="24"/>
          <w:szCs w:val="24"/>
        </w:rPr>
        <w:t>, and in some detail.  Curiously, as will be seen, the provisions surrounding that right have</w:t>
      </w:r>
      <w:r w:rsidRPr="007B0913">
        <w:rPr>
          <w:rFonts w:ascii="Times New Roman" w:hAnsi="Times New Roman" w:cs="Times New Roman"/>
          <w:sz w:val="24"/>
          <w:szCs w:val="24"/>
        </w:rPr>
        <w:t xml:space="preserve"> </w:t>
      </w:r>
      <w:r w:rsidR="00960FBB" w:rsidRPr="007B0913">
        <w:rPr>
          <w:rFonts w:ascii="Times New Roman" w:hAnsi="Times New Roman" w:cs="Times New Roman"/>
          <w:sz w:val="24"/>
          <w:szCs w:val="24"/>
        </w:rPr>
        <w:t>rarely</w:t>
      </w:r>
      <w:r w:rsidRPr="007B0913">
        <w:rPr>
          <w:rFonts w:ascii="Times New Roman" w:hAnsi="Times New Roman" w:cs="Times New Roman"/>
          <w:sz w:val="24"/>
          <w:szCs w:val="24"/>
        </w:rPr>
        <w:t xml:space="preserve"> been invoked</w:t>
      </w:r>
      <w:r w:rsidR="00D732BF" w:rsidRPr="007B0913">
        <w:rPr>
          <w:rFonts w:ascii="Times New Roman" w:hAnsi="Times New Roman" w:cs="Times New Roman"/>
          <w:sz w:val="24"/>
          <w:szCs w:val="24"/>
        </w:rPr>
        <w:t>.</w:t>
      </w:r>
      <w:r w:rsidR="00396481" w:rsidRPr="007B0913">
        <w:rPr>
          <w:rFonts w:ascii="Times New Roman" w:hAnsi="Times New Roman" w:cs="Times New Roman"/>
          <w:sz w:val="24"/>
          <w:szCs w:val="24"/>
        </w:rPr>
        <w:t xml:space="preserve">  </w:t>
      </w:r>
      <w:r w:rsidR="00960FBB" w:rsidRPr="007B0913">
        <w:rPr>
          <w:rFonts w:ascii="Times New Roman" w:hAnsi="Times New Roman" w:cs="Times New Roman"/>
          <w:sz w:val="24"/>
          <w:szCs w:val="24"/>
        </w:rPr>
        <w:t xml:space="preserve">What might have </w:t>
      </w:r>
      <w:r w:rsidR="00D732BF" w:rsidRPr="007B0913">
        <w:rPr>
          <w:rFonts w:ascii="Times New Roman" w:hAnsi="Times New Roman" w:cs="Times New Roman"/>
          <w:sz w:val="24"/>
          <w:szCs w:val="24"/>
        </w:rPr>
        <w:t>been thought to be</w:t>
      </w:r>
      <w:r w:rsidR="00A65689" w:rsidRPr="007B0913">
        <w:rPr>
          <w:rFonts w:ascii="Times New Roman" w:hAnsi="Times New Roman" w:cs="Times New Roman"/>
          <w:sz w:val="24"/>
          <w:szCs w:val="24"/>
        </w:rPr>
        <w:t xml:space="preserve"> </w:t>
      </w:r>
      <w:r w:rsidR="00EE4565" w:rsidRPr="007B0913">
        <w:rPr>
          <w:rFonts w:ascii="Times New Roman" w:hAnsi="Times New Roman" w:cs="Times New Roman"/>
          <w:sz w:val="24"/>
          <w:szCs w:val="24"/>
        </w:rPr>
        <w:t xml:space="preserve">fertile ground </w:t>
      </w:r>
      <w:r w:rsidR="009D54C0" w:rsidRPr="007B0913">
        <w:rPr>
          <w:rFonts w:ascii="Times New Roman" w:hAnsi="Times New Roman" w:cs="Times New Roman"/>
          <w:sz w:val="24"/>
          <w:szCs w:val="24"/>
        </w:rPr>
        <w:t xml:space="preserve">for </w:t>
      </w:r>
      <w:r w:rsidR="00D732BF" w:rsidRPr="007B0913">
        <w:rPr>
          <w:rFonts w:ascii="Times New Roman" w:hAnsi="Times New Roman" w:cs="Times New Roman"/>
          <w:sz w:val="24"/>
          <w:szCs w:val="24"/>
        </w:rPr>
        <w:t xml:space="preserve">frequent </w:t>
      </w:r>
      <w:r w:rsidR="00960FBB" w:rsidRPr="007B0913">
        <w:rPr>
          <w:rFonts w:ascii="Times New Roman" w:hAnsi="Times New Roman" w:cs="Times New Roman"/>
          <w:sz w:val="24"/>
          <w:szCs w:val="24"/>
        </w:rPr>
        <w:t xml:space="preserve">legal challenge </w:t>
      </w:r>
      <w:r w:rsidR="00EE4565" w:rsidRPr="007B0913">
        <w:rPr>
          <w:rFonts w:ascii="Times New Roman" w:hAnsi="Times New Roman" w:cs="Times New Roman"/>
          <w:sz w:val="24"/>
          <w:szCs w:val="24"/>
        </w:rPr>
        <w:t>has</w:t>
      </w:r>
      <w:r w:rsidR="00D732BF" w:rsidRPr="007B0913">
        <w:rPr>
          <w:rFonts w:ascii="Times New Roman" w:hAnsi="Times New Roman" w:cs="Times New Roman"/>
          <w:sz w:val="24"/>
          <w:szCs w:val="24"/>
        </w:rPr>
        <w:t xml:space="preserve"> instead</w:t>
      </w:r>
      <w:r w:rsidR="00EE4565" w:rsidRPr="007B0913">
        <w:rPr>
          <w:rFonts w:ascii="Times New Roman" w:hAnsi="Times New Roman" w:cs="Times New Roman"/>
          <w:sz w:val="24"/>
          <w:szCs w:val="24"/>
        </w:rPr>
        <w:t xml:space="preserve"> </w:t>
      </w:r>
      <w:r w:rsidR="003E6B25" w:rsidRPr="007B0913">
        <w:rPr>
          <w:rFonts w:ascii="Times New Roman" w:hAnsi="Times New Roman" w:cs="Times New Roman"/>
          <w:sz w:val="24"/>
          <w:szCs w:val="24"/>
        </w:rPr>
        <w:t xml:space="preserve">been left </w:t>
      </w:r>
      <w:r w:rsidR="00D732BF" w:rsidRPr="007B0913">
        <w:rPr>
          <w:rFonts w:ascii="Times New Roman" w:hAnsi="Times New Roman" w:cs="Times New Roman"/>
          <w:sz w:val="24"/>
          <w:szCs w:val="24"/>
        </w:rPr>
        <w:t>largely barren</w:t>
      </w:r>
      <w:r w:rsidR="008A290D" w:rsidRPr="007B0913">
        <w:rPr>
          <w:rFonts w:ascii="Times New Roman" w:hAnsi="Times New Roman" w:cs="Times New Roman"/>
          <w:sz w:val="24"/>
          <w:szCs w:val="24"/>
        </w:rPr>
        <w:t xml:space="preserve">.  Why that is so is worth considering.  </w:t>
      </w:r>
      <w:r w:rsidR="003E6B25" w:rsidRPr="007B0913">
        <w:rPr>
          <w:rFonts w:ascii="Times New Roman" w:hAnsi="Times New Roman" w:cs="Times New Roman"/>
          <w:sz w:val="24"/>
          <w:szCs w:val="24"/>
        </w:rPr>
        <w:t xml:space="preserve">  </w:t>
      </w:r>
    </w:p>
    <w:p w14:paraId="61381022" w14:textId="77777777" w:rsidR="007B0913" w:rsidRDefault="007B0913" w:rsidP="006B2E41">
      <w:pPr>
        <w:spacing w:line="360" w:lineRule="auto"/>
        <w:jc w:val="both"/>
        <w:rPr>
          <w:rFonts w:ascii="Times New Roman" w:hAnsi="Times New Roman" w:cs="Times New Roman"/>
          <w:b/>
          <w:i/>
          <w:sz w:val="24"/>
          <w:szCs w:val="24"/>
        </w:rPr>
      </w:pPr>
    </w:p>
    <w:p w14:paraId="3ECFD453" w14:textId="77777777" w:rsidR="007B0913" w:rsidRDefault="007B0913" w:rsidP="006B2E41">
      <w:pPr>
        <w:spacing w:line="360" w:lineRule="auto"/>
        <w:jc w:val="both"/>
        <w:rPr>
          <w:rFonts w:ascii="Times New Roman" w:hAnsi="Times New Roman" w:cs="Times New Roman"/>
          <w:b/>
          <w:i/>
          <w:sz w:val="24"/>
          <w:szCs w:val="24"/>
        </w:rPr>
      </w:pPr>
    </w:p>
    <w:p w14:paraId="4611442D" w14:textId="77777777" w:rsidR="007B0913" w:rsidRDefault="007B0913" w:rsidP="006B2E41">
      <w:pPr>
        <w:spacing w:line="360" w:lineRule="auto"/>
        <w:jc w:val="both"/>
        <w:rPr>
          <w:rFonts w:ascii="Times New Roman" w:hAnsi="Times New Roman" w:cs="Times New Roman"/>
          <w:b/>
          <w:i/>
          <w:sz w:val="24"/>
          <w:szCs w:val="24"/>
        </w:rPr>
      </w:pPr>
    </w:p>
    <w:p w14:paraId="58791FA0" w14:textId="77777777" w:rsidR="007B0913" w:rsidRDefault="007B0913" w:rsidP="006B2E41">
      <w:pPr>
        <w:spacing w:line="360" w:lineRule="auto"/>
        <w:jc w:val="both"/>
        <w:rPr>
          <w:rFonts w:ascii="Times New Roman" w:hAnsi="Times New Roman" w:cs="Times New Roman"/>
          <w:b/>
          <w:i/>
          <w:sz w:val="24"/>
          <w:szCs w:val="24"/>
        </w:rPr>
      </w:pPr>
    </w:p>
    <w:p w14:paraId="2923E1AC" w14:textId="282F3573" w:rsidR="00663A9D" w:rsidRPr="007B0913" w:rsidRDefault="00663A9D" w:rsidP="006B2E41">
      <w:pPr>
        <w:spacing w:line="360" w:lineRule="auto"/>
        <w:jc w:val="both"/>
        <w:rPr>
          <w:rFonts w:ascii="Times New Roman" w:hAnsi="Times New Roman" w:cs="Times New Roman"/>
          <w:sz w:val="24"/>
          <w:szCs w:val="24"/>
        </w:rPr>
      </w:pPr>
      <w:r w:rsidRPr="007B0913">
        <w:rPr>
          <w:rFonts w:ascii="Times New Roman" w:hAnsi="Times New Roman" w:cs="Times New Roman"/>
          <w:b/>
          <w:i/>
          <w:sz w:val="24"/>
          <w:szCs w:val="24"/>
        </w:rPr>
        <w:lastRenderedPageBreak/>
        <w:t xml:space="preserve">The Victorian Charter of </w:t>
      </w:r>
      <w:r w:rsidR="0086171F" w:rsidRPr="007B0913">
        <w:rPr>
          <w:rFonts w:ascii="Times New Roman" w:hAnsi="Times New Roman" w:cs="Times New Roman"/>
          <w:b/>
          <w:i/>
          <w:sz w:val="24"/>
          <w:szCs w:val="24"/>
        </w:rPr>
        <w:t xml:space="preserve">Human </w:t>
      </w:r>
      <w:r w:rsidRPr="007B0913">
        <w:rPr>
          <w:rFonts w:ascii="Times New Roman" w:hAnsi="Times New Roman" w:cs="Times New Roman"/>
          <w:b/>
          <w:i/>
          <w:sz w:val="24"/>
          <w:szCs w:val="24"/>
        </w:rPr>
        <w:t>Rights and Responsibilities</w:t>
      </w:r>
      <w:r w:rsidR="00532C24" w:rsidRPr="007B0913">
        <w:rPr>
          <w:rFonts w:ascii="Times New Roman" w:hAnsi="Times New Roman" w:cs="Times New Roman"/>
          <w:b/>
          <w:i/>
          <w:sz w:val="24"/>
          <w:szCs w:val="24"/>
        </w:rPr>
        <w:t xml:space="preserve"> Act</w:t>
      </w:r>
    </w:p>
    <w:p w14:paraId="3BB046AF" w14:textId="46C56FFD" w:rsidR="005B25EC" w:rsidRPr="007B0913" w:rsidRDefault="005B25EC"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Victoria was the first</w:t>
      </w:r>
      <w:r w:rsidR="0000125C" w:rsidRPr="007B0913">
        <w:rPr>
          <w:rFonts w:ascii="Times New Roman" w:hAnsi="Times New Roman" w:cs="Times New Roman"/>
          <w:sz w:val="24"/>
          <w:szCs w:val="24"/>
        </w:rPr>
        <w:t xml:space="preserve"> </w:t>
      </w:r>
      <w:r w:rsidRPr="007B0913">
        <w:rPr>
          <w:rFonts w:ascii="Times New Roman" w:hAnsi="Times New Roman" w:cs="Times New Roman"/>
          <w:sz w:val="24"/>
          <w:szCs w:val="24"/>
        </w:rPr>
        <w:t xml:space="preserve">Australian </w:t>
      </w:r>
      <w:r w:rsidR="00C67A20" w:rsidRPr="007B0913">
        <w:rPr>
          <w:rFonts w:ascii="Times New Roman" w:hAnsi="Times New Roman" w:cs="Times New Roman"/>
          <w:sz w:val="24"/>
          <w:szCs w:val="24"/>
        </w:rPr>
        <w:t>s</w:t>
      </w:r>
      <w:r w:rsidRPr="007B0913">
        <w:rPr>
          <w:rFonts w:ascii="Times New Roman" w:hAnsi="Times New Roman" w:cs="Times New Roman"/>
          <w:sz w:val="24"/>
          <w:szCs w:val="24"/>
        </w:rPr>
        <w:t>tate</w:t>
      </w:r>
      <w:r w:rsidR="00D90124" w:rsidRPr="007B0913">
        <w:rPr>
          <w:rStyle w:val="FootnoteReference"/>
          <w:rFonts w:ascii="Times New Roman" w:hAnsi="Times New Roman" w:cs="Times New Roman"/>
          <w:sz w:val="24"/>
          <w:szCs w:val="24"/>
        </w:rPr>
        <w:footnoteReference w:id="6"/>
      </w:r>
      <w:r w:rsidRPr="007B0913">
        <w:rPr>
          <w:rFonts w:ascii="Times New Roman" w:hAnsi="Times New Roman" w:cs="Times New Roman"/>
          <w:sz w:val="24"/>
          <w:szCs w:val="24"/>
        </w:rPr>
        <w:t xml:space="preserve"> to</w:t>
      </w:r>
      <w:r w:rsidR="00302EEA" w:rsidRPr="007B0913">
        <w:rPr>
          <w:rFonts w:ascii="Times New Roman" w:hAnsi="Times New Roman" w:cs="Times New Roman"/>
          <w:sz w:val="24"/>
          <w:szCs w:val="24"/>
        </w:rPr>
        <w:t xml:space="preserve"> have enacted a Bill of Rights</w:t>
      </w:r>
      <w:r w:rsidR="002D18AB" w:rsidRPr="007B0913">
        <w:rPr>
          <w:rFonts w:ascii="Times New Roman" w:hAnsi="Times New Roman" w:cs="Times New Roman"/>
          <w:sz w:val="24"/>
          <w:szCs w:val="24"/>
        </w:rPr>
        <w:t xml:space="preserve">.  It </w:t>
      </w:r>
      <w:r w:rsidR="0000125C" w:rsidRPr="007B0913">
        <w:rPr>
          <w:rFonts w:ascii="Times New Roman" w:hAnsi="Times New Roman" w:cs="Times New Roman"/>
          <w:sz w:val="24"/>
          <w:szCs w:val="24"/>
        </w:rPr>
        <w:t>remains the only state</w:t>
      </w:r>
      <w:r w:rsidR="002D18AB" w:rsidRPr="007B0913">
        <w:rPr>
          <w:rFonts w:ascii="Times New Roman" w:hAnsi="Times New Roman" w:cs="Times New Roman"/>
          <w:sz w:val="24"/>
          <w:szCs w:val="24"/>
        </w:rPr>
        <w:t>, to this point,</w:t>
      </w:r>
      <w:r w:rsidR="0000125C" w:rsidRPr="007B0913">
        <w:rPr>
          <w:rFonts w:ascii="Times New Roman" w:hAnsi="Times New Roman" w:cs="Times New Roman"/>
          <w:sz w:val="24"/>
          <w:szCs w:val="24"/>
        </w:rPr>
        <w:t xml:space="preserve"> to have done so.</w:t>
      </w:r>
      <w:r w:rsidR="002D18AB" w:rsidRPr="007B0913">
        <w:rPr>
          <w:rStyle w:val="FootnoteReference"/>
          <w:rFonts w:ascii="Times New Roman" w:hAnsi="Times New Roman" w:cs="Times New Roman"/>
          <w:sz w:val="24"/>
          <w:szCs w:val="24"/>
        </w:rPr>
        <w:footnoteReference w:id="7"/>
      </w:r>
      <w:r w:rsidR="0000125C" w:rsidRPr="007B0913">
        <w:rPr>
          <w:rFonts w:ascii="Times New Roman" w:hAnsi="Times New Roman" w:cs="Times New Roman"/>
          <w:sz w:val="24"/>
          <w:szCs w:val="24"/>
        </w:rPr>
        <w:t xml:space="preserve">  </w:t>
      </w:r>
      <w:r w:rsidR="006320FB" w:rsidRPr="007B0913">
        <w:rPr>
          <w:rFonts w:ascii="Times New Roman" w:hAnsi="Times New Roman" w:cs="Times New Roman"/>
          <w:sz w:val="24"/>
          <w:szCs w:val="24"/>
        </w:rPr>
        <w:t xml:space="preserve">The </w:t>
      </w:r>
      <w:r w:rsidR="00D62E71" w:rsidRPr="007B0913">
        <w:rPr>
          <w:rFonts w:ascii="Times New Roman" w:hAnsi="Times New Roman" w:cs="Times New Roman"/>
          <w:sz w:val="24"/>
          <w:szCs w:val="24"/>
        </w:rPr>
        <w:t xml:space="preserve">Charter </w:t>
      </w:r>
      <w:r w:rsidR="006320FB" w:rsidRPr="007B0913">
        <w:rPr>
          <w:rFonts w:ascii="Times New Roman" w:hAnsi="Times New Roman" w:cs="Times New Roman"/>
          <w:sz w:val="24"/>
          <w:szCs w:val="24"/>
        </w:rPr>
        <w:t>was given asse</w:t>
      </w:r>
      <w:r w:rsidR="001C0D94" w:rsidRPr="007B0913">
        <w:rPr>
          <w:rFonts w:ascii="Times New Roman" w:hAnsi="Times New Roman" w:cs="Times New Roman"/>
          <w:sz w:val="24"/>
          <w:szCs w:val="24"/>
        </w:rPr>
        <w:t>nt on 25 July 2006</w:t>
      </w:r>
      <w:r w:rsidR="006320FB" w:rsidRPr="007B0913">
        <w:rPr>
          <w:rFonts w:ascii="Times New Roman" w:hAnsi="Times New Roman" w:cs="Times New Roman"/>
          <w:sz w:val="24"/>
          <w:szCs w:val="24"/>
        </w:rPr>
        <w:t xml:space="preserve"> and</w:t>
      </w:r>
      <w:r w:rsidR="007B01CD" w:rsidRPr="007B0913">
        <w:rPr>
          <w:rFonts w:ascii="Times New Roman" w:hAnsi="Times New Roman" w:cs="Times New Roman"/>
          <w:sz w:val="24"/>
          <w:szCs w:val="24"/>
        </w:rPr>
        <w:t>, for the most part,</w:t>
      </w:r>
      <w:r w:rsidR="001C0D94" w:rsidRPr="007B0913">
        <w:rPr>
          <w:rFonts w:ascii="Times New Roman" w:hAnsi="Times New Roman" w:cs="Times New Roman"/>
          <w:sz w:val="24"/>
          <w:szCs w:val="24"/>
        </w:rPr>
        <w:t xml:space="preserve"> came </w:t>
      </w:r>
      <w:r w:rsidR="00294D77" w:rsidRPr="007B0913">
        <w:rPr>
          <w:rFonts w:ascii="Times New Roman" w:hAnsi="Times New Roman" w:cs="Times New Roman"/>
          <w:sz w:val="24"/>
          <w:szCs w:val="24"/>
        </w:rPr>
        <w:t xml:space="preserve">into operation </w:t>
      </w:r>
      <w:r w:rsidR="007B01CD" w:rsidRPr="007B0913">
        <w:rPr>
          <w:rFonts w:ascii="Times New Roman" w:hAnsi="Times New Roman" w:cs="Times New Roman"/>
          <w:sz w:val="24"/>
          <w:szCs w:val="24"/>
        </w:rPr>
        <w:t>on</w:t>
      </w:r>
      <w:r w:rsidR="00294D77" w:rsidRPr="007B0913">
        <w:rPr>
          <w:rFonts w:ascii="Times New Roman" w:hAnsi="Times New Roman" w:cs="Times New Roman"/>
          <w:sz w:val="24"/>
          <w:szCs w:val="24"/>
        </w:rPr>
        <w:t xml:space="preserve"> 1 January 2007.</w:t>
      </w:r>
      <w:r w:rsidR="00883F90" w:rsidRPr="007B0913">
        <w:rPr>
          <w:rStyle w:val="FootnoteReference"/>
          <w:rFonts w:ascii="Times New Roman" w:hAnsi="Times New Roman" w:cs="Times New Roman"/>
          <w:sz w:val="24"/>
          <w:szCs w:val="24"/>
        </w:rPr>
        <w:footnoteReference w:id="8"/>
      </w:r>
      <w:r w:rsidR="00294D77" w:rsidRPr="007B0913">
        <w:rPr>
          <w:rFonts w:ascii="Times New Roman" w:hAnsi="Times New Roman" w:cs="Times New Roman"/>
          <w:sz w:val="24"/>
          <w:szCs w:val="24"/>
        </w:rPr>
        <w:t xml:space="preserve">  </w:t>
      </w:r>
      <w:r w:rsidR="00D90124" w:rsidRPr="007B0913">
        <w:rPr>
          <w:rFonts w:ascii="Times New Roman" w:hAnsi="Times New Roman" w:cs="Times New Roman"/>
          <w:sz w:val="24"/>
          <w:szCs w:val="24"/>
        </w:rPr>
        <w:t xml:space="preserve">  </w:t>
      </w:r>
    </w:p>
    <w:p w14:paraId="25F51F25" w14:textId="5008CA9B" w:rsidR="00BD6F5A" w:rsidRPr="007B0913" w:rsidRDefault="008B4E60"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When the</w:t>
      </w:r>
      <w:r w:rsidR="00D90124" w:rsidRPr="007B0913">
        <w:rPr>
          <w:rFonts w:ascii="Times New Roman" w:hAnsi="Times New Roman" w:cs="Times New Roman"/>
          <w:sz w:val="24"/>
          <w:szCs w:val="24"/>
        </w:rPr>
        <w:t xml:space="preserve"> </w:t>
      </w:r>
      <w:r w:rsidRPr="007B0913">
        <w:rPr>
          <w:rFonts w:ascii="Times New Roman" w:hAnsi="Times New Roman" w:cs="Times New Roman"/>
          <w:sz w:val="24"/>
          <w:szCs w:val="24"/>
        </w:rPr>
        <w:t xml:space="preserve">Charter was first proposed, some at least of those who supported </w:t>
      </w:r>
      <w:r w:rsidR="00F250EE" w:rsidRPr="007B0913">
        <w:rPr>
          <w:rFonts w:ascii="Times New Roman" w:hAnsi="Times New Roman" w:cs="Times New Roman"/>
          <w:sz w:val="24"/>
          <w:szCs w:val="24"/>
        </w:rPr>
        <w:t xml:space="preserve">its </w:t>
      </w:r>
      <w:r w:rsidRPr="007B0913">
        <w:rPr>
          <w:rFonts w:ascii="Times New Roman" w:hAnsi="Times New Roman" w:cs="Times New Roman"/>
          <w:sz w:val="24"/>
          <w:szCs w:val="24"/>
        </w:rPr>
        <w:t>introduction must have</w:t>
      </w:r>
      <w:r w:rsidR="00D90124" w:rsidRPr="007B0913">
        <w:rPr>
          <w:rFonts w:ascii="Times New Roman" w:hAnsi="Times New Roman" w:cs="Times New Roman"/>
          <w:sz w:val="24"/>
          <w:szCs w:val="24"/>
        </w:rPr>
        <w:t xml:space="preserve"> </w:t>
      </w:r>
      <w:r w:rsidRPr="007B0913">
        <w:rPr>
          <w:rFonts w:ascii="Times New Roman" w:hAnsi="Times New Roman" w:cs="Times New Roman"/>
          <w:sz w:val="24"/>
          <w:szCs w:val="24"/>
        </w:rPr>
        <w:t xml:space="preserve">hoped that </w:t>
      </w:r>
      <w:r w:rsidR="00D90124" w:rsidRPr="007B0913">
        <w:rPr>
          <w:rFonts w:ascii="Times New Roman" w:hAnsi="Times New Roman" w:cs="Times New Roman"/>
          <w:sz w:val="24"/>
          <w:szCs w:val="24"/>
        </w:rPr>
        <w:t xml:space="preserve">it </w:t>
      </w:r>
      <w:r w:rsidRPr="007B0913">
        <w:rPr>
          <w:rFonts w:ascii="Times New Roman" w:hAnsi="Times New Roman" w:cs="Times New Roman"/>
          <w:sz w:val="24"/>
          <w:szCs w:val="24"/>
        </w:rPr>
        <w:t>would have</w:t>
      </w:r>
      <w:r w:rsidR="00D90124" w:rsidRPr="007B0913">
        <w:rPr>
          <w:rFonts w:ascii="Times New Roman" w:hAnsi="Times New Roman" w:cs="Times New Roman"/>
          <w:sz w:val="24"/>
          <w:szCs w:val="24"/>
        </w:rPr>
        <w:t xml:space="preserve"> </w:t>
      </w:r>
      <w:r w:rsidR="00816227" w:rsidRPr="007B0913">
        <w:rPr>
          <w:rFonts w:ascii="Times New Roman" w:hAnsi="Times New Roman" w:cs="Times New Roman"/>
          <w:sz w:val="24"/>
          <w:szCs w:val="24"/>
        </w:rPr>
        <w:t>the same</w:t>
      </w:r>
      <w:r w:rsidR="00F207C0" w:rsidRPr="007B0913">
        <w:rPr>
          <w:rFonts w:ascii="Times New Roman" w:hAnsi="Times New Roman" w:cs="Times New Roman"/>
          <w:sz w:val="24"/>
          <w:szCs w:val="24"/>
        </w:rPr>
        <w:t xml:space="preserve"> </w:t>
      </w:r>
      <w:r w:rsidR="00A41A75" w:rsidRPr="007B0913">
        <w:rPr>
          <w:rFonts w:ascii="Times New Roman" w:hAnsi="Times New Roman" w:cs="Times New Roman"/>
          <w:sz w:val="24"/>
          <w:szCs w:val="24"/>
        </w:rPr>
        <w:t>far-reaching</w:t>
      </w:r>
      <w:r w:rsidR="00904A8A" w:rsidRPr="007B0913">
        <w:rPr>
          <w:rFonts w:ascii="Times New Roman" w:hAnsi="Times New Roman" w:cs="Times New Roman"/>
          <w:sz w:val="24"/>
          <w:szCs w:val="24"/>
        </w:rPr>
        <w:t xml:space="preserve"> </w:t>
      </w:r>
      <w:r w:rsidR="001F0479" w:rsidRPr="007B0913">
        <w:rPr>
          <w:rFonts w:ascii="Times New Roman" w:hAnsi="Times New Roman" w:cs="Times New Roman"/>
          <w:sz w:val="24"/>
          <w:szCs w:val="24"/>
        </w:rPr>
        <w:t>effect</w:t>
      </w:r>
      <w:r w:rsidRPr="007B0913">
        <w:rPr>
          <w:rFonts w:ascii="Times New Roman" w:hAnsi="Times New Roman" w:cs="Times New Roman"/>
          <w:sz w:val="24"/>
          <w:szCs w:val="24"/>
        </w:rPr>
        <w:t xml:space="preserve">, </w:t>
      </w:r>
      <w:r w:rsidR="00A41A75" w:rsidRPr="007B0913">
        <w:rPr>
          <w:rFonts w:ascii="Times New Roman" w:hAnsi="Times New Roman" w:cs="Times New Roman"/>
          <w:sz w:val="24"/>
          <w:szCs w:val="24"/>
        </w:rPr>
        <w:t>as had the Canadian Charter</w:t>
      </w:r>
      <w:r w:rsidR="00DD3378" w:rsidRPr="007B0913">
        <w:rPr>
          <w:rFonts w:ascii="Times New Roman" w:hAnsi="Times New Roman" w:cs="Times New Roman"/>
          <w:sz w:val="24"/>
          <w:szCs w:val="24"/>
        </w:rPr>
        <w:t xml:space="preserve"> of Rights and Freedoms</w:t>
      </w:r>
      <w:r w:rsidR="00A41A75" w:rsidRPr="007B0913">
        <w:rPr>
          <w:rFonts w:ascii="Times New Roman" w:hAnsi="Times New Roman" w:cs="Times New Roman"/>
          <w:sz w:val="24"/>
          <w:szCs w:val="24"/>
        </w:rPr>
        <w:t>.</w:t>
      </w:r>
      <w:r w:rsidRPr="007B0913">
        <w:rPr>
          <w:rStyle w:val="FootnoteReference"/>
          <w:rFonts w:ascii="Times New Roman" w:hAnsi="Times New Roman" w:cs="Times New Roman"/>
          <w:sz w:val="24"/>
          <w:szCs w:val="24"/>
        </w:rPr>
        <w:footnoteReference w:id="9"/>
      </w:r>
      <w:r w:rsidR="0028562C" w:rsidRPr="007B0913">
        <w:rPr>
          <w:rFonts w:ascii="Times New Roman" w:hAnsi="Times New Roman" w:cs="Times New Roman"/>
          <w:sz w:val="24"/>
          <w:szCs w:val="24"/>
        </w:rPr>
        <w:t xml:space="preserve"> </w:t>
      </w:r>
      <w:r w:rsidR="00A41A75" w:rsidRPr="007B0913">
        <w:rPr>
          <w:rFonts w:ascii="Times New Roman" w:hAnsi="Times New Roman" w:cs="Times New Roman"/>
          <w:sz w:val="24"/>
          <w:szCs w:val="24"/>
        </w:rPr>
        <w:t xml:space="preserve"> Others recognised that there was a profound difference between constitutional entrenchment, and mere statutory protection of human rights as in New Zealand</w:t>
      </w:r>
      <w:r w:rsidRPr="007B0913">
        <w:rPr>
          <w:rStyle w:val="FootnoteReference"/>
          <w:rFonts w:ascii="Times New Roman" w:hAnsi="Times New Roman" w:cs="Times New Roman"/>
          <w:sz w:val="24"/>
          <w:szCs w:val="24"/>
        </w:rPr>
        <w:footnoteReference w:id="10"/>
      </w:r>
      <w:r w:rsidR="0028562C" w:rsidRPr="007B0913">
        <w:rPr>
          <w:rFonts w:ascii="Times New Roman" w:hAnsi="Times New Roman" w:cs="Times New Roman"/>
          <w:sz w:val="24"/>
          <w:szCs w:val="24"/>
        </w:rPr>
        <w:t xml:space="preserve"> and the United Kingdom</w:t>
      </w:r>
      <w:r w:rsidR="00A41A75" w:rsidRPr="007B0913">
        <w:rPr>
          <w:rFonts w:ascii="Times New Roman" w:hAnsi="Times New Roman" w:cs="Times New Roman"/>
          <w:sz w:val="24"/>
          <w:szCs w:val="24"/>
        </w:rPr>
        <w:t>.</w:t>
      </w:r>
      <w:r w:rsidRPr="007B0913">
        <w:rPr>
          <w:rStyle w:val="FootnoteReference"/>
          <w:rFonts w:ascii="Times New Roman" w:hAnsi="Times New Roman" w:cs="Times New Roman"/>
          <w:sz w:val="24"/>
          <w:szCs w:val="24"/>
        </w:rPr>
        <w:footnoteReference w:id="11"/>
      </w:r>
      <w:r w:rsidR="00FA2212" w:rsidRPr="007B0913">
        <w:rPr>
          <w:rFonts w:ascii="Times New Roman" w:hAnsi="Times New Roman" w:cs="Times New Roman"/>
          <w:sz w:val="24"/>
          <w:szCs w:val="24"/>
        </w:rPr>
        <w:t xml:space="preserve"> </w:t>
      </w:r>
      <w:r w:rsidR="00A41A75" w:rsidRPr="007B0913">
        <w:rPr>
          <w:rFonts w:ascii="Times New Roman" w:hAnsi="Times New Roman" w:cs="Times New Roman"/>
          <w:sz w:val="24"/>
          <w:szCs w:val="24"/>
        </w:rPr>
        <w:t xml:space="preserve"> </w:t>
      </w:r>
      <w:r w:rsidR="004F5E1E" w:rsidRPr="007B0913">
        <w:rPr>
          <w:rFonts w:ascii="Times New Roman" w:hAnsi="Times New Roman" w:cs="Times New Roman"/>
          <w:sz w:val="24"/>
          <w:szCs w:val="24"/>
        </w:rPr>
        <w:t xml:space="preserve">Nonetheless, even the New Zealand and United Kingdom legislation had been frequently invoked in those countries, and had led to significant legal change.  </w:t>
      </w:r>
      <w:r w:rsidR="00C93CA8" w:rsidRPr="007B0913">
        <w:rPr>
          <w:rFonts w:ascii="Times New Roman" w:hAnsi="Times New Roman" w:cs="Times New Roman"/>
          <w:sz w:val="24"/>
          <w:szCs w:val="24"/>
        </w:rPr>
        <w:t xml:space="preserve">These proponents </w:t>
      </w:r>
      <w:r w:rsidR="004F5E1E" w:rsidRPr="007B0913">
        <w:rPr>
          <w:rFonts w:ascii="Times New Roman" w:hAnsi="Times New Roman" w:cs="Times New Roman"/>
          <w:sz w:val="24"/>
          <w:szCs w:val="24"/>
        </w:rPr>
        <w:t xml:space="preserve">of the Charter too </w:t>
      </w:r>
      <w:r w:rsidR="001453B0" w:rsidRPr="007B0913">
        <w:rPr>
          <w:rFonts w:ascii="Times New Roman" w:hAnsi="Times New Roman" w:cs="Times New Roman"/>
          <w:sz w:val="24"/>
          <w:szCs w:val="24"/>
        </w:rPr>
        <w:t xml:space="preserve">would </w:t>
      </w:r>
      <w:r w:rsidR="00C93CA8" w:rsidRPr="007B0913">
        <w:rPr>
          <w:rFonts w:ascii="Times New Roman" w:hAnsi="Times New Roman" w:cs="Times New Roman"/>
          <w:sz w:val="24"/>
          <w:szCs w:val="24"/>
        </w:rPr>
        <w:t xml:space="preserve">have been </w:t>
      </w:r>
      <w:r w:rsidR="004F5E1E" w:rsidRPr="007B0913">
        <w:rPr>
          <w:rFonts w:ascii="Times New Roman" w:hAnsi="Times New Roman" w:cs="Times New Roman"/>
          <w:sz w:val="24"/>
          <w:szCs w:val="24"/>
        </w:rPr>
        <w:t xml:space="preserve">surprised, and disappointed, at its modest impact. </w:t>
      </w:r>
      <w:r w:rsidR="00C93CA8" w:rsidRPr="007B0913">
        <w:rPr>
          <w:rFonts w:ascii="Times New Roman" w:hAnsi="Times New Roman" w:cs="Times New Roman"/>
          <w:sz w:val="24"/>
          <w:szCs w:val="24"/>
        </w:rPr>
        <w:t xml:space="preserve">  </w:t>
      </w:r>
    </w:p>
    <w:p w14:paraId="74946C48" w14:textId="32ED2596" w:rsidR="00D90124" w:rsidRPr="007B0913" w:rsidRDefault="004F5E1E"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Any objective assessment of the </w:t>
      </w:r>
      <w:r w:rsidR="00BD6F5A" w:rsidRPr="007B0913">
        <w:rPr>
          <w:rFonts w:ascii="Times New Roman" w:hAnsi="Times New Roman" w:cs="Times New Roman"/>
          <w:sz w:val="24"/>
          <w:szCs w:val="24"/>
        </w:rPr>
        <w:t>Charter</w:t>
      </w:r>
      <w:r w:rsidRPr="007B0913">
        <w:rPr>
          <w:rFonts w:ascii="Times New Roman" w:hAnsi="Times New Roman" w:cs="Times New Roman"/>
          <w:sz w:val="24"/>
          <w:szCs w:val="24"/>
        </w:rPr>
        <w:t xml:space="preserve"> would have to conclude that while it </w:t>
      </w:r>
      <w:r w:rsidR="00C93CA8" w:rsidRPr="007B0913">
        <w:rPr>
          <w:rFonts w:ascii="Times New Roman" w:hAnsi="Times New Roman" w:cs="Times New Roman"/>
          <w:sz w:val="24"/>
          <w:szCs w:val="24"/>
        </w:rPr>
        <w:t>has</w:t>
      </w:r>
      <w:r w:rsidR="007E4541" w:rsidRPr="007B0913">
        <w:rPr>
          <w:rFonts w:ascii="Times New Roman" w:hAnsi="Times New Roman" w:cs="Times New Roman"/>
          <w:sz w:val="24"/>
          <w:szCs w:val="24"/>
        </w:rPr>
        <w:t xml:space="preserve"> </w:t>
      </w:r>
      <w:r w:rsidR="00C93CA8" w:rsidRPr="007B0913">
        <w:rPr>
          <w:rFonts w:ascii="Times New Roman" w:hAnsi="Times New Roman" w:cs="Times New Roman"/>
          <w:sz w:val="24"/>
          <w:szCs w:val="24"/>
        </w:rPr>
        <w:t>had a significant</w:t>
      </w:r>
      <w:r w:rsidRPr="007B0913">
        <w:rPr>
          <w:rFonts w:ascii="Times New Roman" w:hAnsi="Times New Roman" w:cs="Times New Roman"/>
          <w:sz w:val="24"/>
          <w:szCs w:val="24"/>
        </w:rPr>
        <w:t xml:space="preserve"> and beneficial</w:t>
      </w:r>
      <w:r w:rsidR="00C93CA8" w:rsidRPr="007B0913">
        <w:rPr>
          <w:rFonts w:ascii="Times New Roman" w:hAnsi="Times New Roman" w:cs="Times New Roman"/>
          <w:sz w:val="24"/>
          <w:szCs w:val="24"/>
        </w:rPr>
        <w:t xml:space="preserve"> impact</w:t>
      </w:r>
      <w:r w:rsidR="00B02014" w:rsidRPr="007B0913">
        <w:rPr>
          <w:rFonts w:ascii="Times New Roman" w:hAnsi="Times New Roman" w:cs="Times New Roman"/>
          <w:sz w:val="24"/>
          <w:szCs w:val="24"/>
        </w:rPr>
        <w:t xml:space="preserve"> </w:t>
      </w:r>
      <w:r w:rsidRPr="007B0913">
        <w:rPr>
          <w:rFonts w:ascii="Times New Roman" w:hAnsi="Times New Roman" w:cs="Times New Roman"/>
          <w:sz w:val="24"/>
          <w:szCs w:val="24"/>
        </w:rPr>
        <w:t>upon the protection of basic liberties in some areas</w:t>
      </w:r>
      <w:r w:rsidR="00B02014" w:rsidRPr="007B0913">
        <w:rPr>
          <w:rFonts w:ascii="Times New Roman" w:hAnsi="Times New Roman" w:cs="Times New Roman"/>
          <w:sz w:val="24"/>
          <w:szCs w:val="24"/>
        </w:rPr>
        <w:t xml:space="preserve">, </w:t>
      </w:r>
      <w:r w:rsidR="00C93CA8" w:rsidRPr="007B0913">
        <w:rPr>
          <w:rFonts w:ascii="Times New Roman" w:hAnsi="Times New Roman" w:cs="Times New Roman"/>
          <w:sz w:val="24"/>
          <w:szCs w:val="24"/>
        </w:rPr>
        <w:t xml:space="preserve">it has </w:t>
      </w:r>
      <w:r w:rsidRPr="007B0913">
        <w:rPr>
          <w:rFonts w:ascii="Times New Roman" w:hAnsi="Times New Roman" w:cs="Times New Roman"/>
          <w:sz w:val="24"/>
          <w:szCs w:val="24"/>
        </w:rPr>
        <w:t>had almost no impact upon</w:t>
      </w:r>
      <w:r w:rsidR="00C93CA8" w:rsidRPr="007B0913">
        <w:rPr>
          <w:rFonts w:ascii="Times New Roman" w:hAnsi="Times New Roman" w:cs="Times New Roman"/>
          <w:sz w:val="24"/>
          <w:szCs w:val="24"/>
        </w:rPr>
        <w:t xml:space="preserve"> the</w:t>
      </w:r>
      <w:r w:rsidRPr="007B0913">
        <w:rPr>
          <w:rFonts w:ascii="Times New Roman" w:hAnsi="Times New Roman" w:cs="Times New Roman"/>
          <w:sz w:val="24"/>
          <w:szCs w:val="24"/>
        </w:rPr>
        <w:t xml:space="preserve"> central precept that any accused is entitled to </w:t>
      </w:r>
      <w:r w:rsidR="00C93CA8" w:rsidRPr="007B0913">
        <w:rPr>
          <w:rFonts w:ascii="Times New Roman" w:hAnsi="Times New Roman" w:cs="Times New Roman"/>
          <w:sz w:val="24"/>
          <w:szCs w:val="24"/>
        </w:rPr>
        <w:t>a fair trial</w:t>
      </w:r>
      <w:r w:rsidR="008D36F3" w:rsidRPr="007B0913">
        <w:rPr>
          <w:rFonts w:ascii="Times New Roman" w:hAnsi="Times New Roman" w:cs="Times New Roman"/>
          <w:sz w:val="24"/>
          <w:szCs w:val="24"/>
        </w:rPr>
        <w:t>.</w:t>
      </w:r>
      <w:r w:rsidR="00AA49B6" w:rsidRPr="007B0913">
        <w:rPr>
          <w:rStyle w:val="FootnoteReference"/>
          <w:rFonts w:ascii="Times New Roman" w:hAnsi="Times New Roman" w:cs="Times New Roman"/>
          <w:sz w:val="24"/>
          <w:szCs w:val="24"/>
        </w:rPr>
        <w:footnoteReference w:id="12"/>
      </w:r>
      <w:r w:rsidR="008D36F3" w:rsidRPr="007B0913">
        <w:rPr>
          <w:rFonts w:ascii="Times New Roman" w:hAnsi="Times New Roman" w:cs="Times New Roman"/>
          <w:sz w:val="24"/>
          <w:szCs w:val="24"/>
        </w:rPr>
        <w:t xml:space="preserve">  </w:t>
      </w:r>
    </w:p>
    <w:p w14:paraId="7CC89C74" w14:textId="0B2AE2F1" w:rsidR="00C435B8" w:rsidRPr="007B0913" w:rsidRDefault="00D20E17"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In part, t</w:t>
      </w:r>
      <w:r w:rsidR="00BD6F5A" w:rsidRPr="007B0913">
        <w:rPr>
          <w:rFonts w:ascii="Times New Roman" w:hAnsi="Times New Roman" w:cs="Times New Roman"/>
          <w:sz w:val="24"/>
          <w:szCs w:val="24"/>
        </w:rPr>
        <w:t>h</w:t>
      </w:r>
      <w:r w:rsidR="002110C5" w:rsidRPr="007B0913">
        <w:rPr>
          <w:rFonts w:ascii="Times New Roman" w:hAnsi="Times New Roman" w:cs="Times New Roman"/>
          <w:sz w:val="24"/>
          <w:szCs w:val="24"/>
        </w:rPr>
        <w:t>is</w:t>
      </w:r>
      <w:r w:rsidR="00BD6F5A" w:rsidRPr="007B0913">
        <w:rPr>
          <w:rFonts w:ascii="Times New Roman" w:hAnsi="Times New Roman" w:cs="Times New Roman"/>
          <w:sz w:val="24"/>
          <w:szCs w:val="24"/>
        </w:rPr>
        <w:t xml:space="preserve"> may be</w:t>
      </w:r>
      <w:r w:rsidRPr="007B0913">
        <w:rPr>
          <w:rFonts w:ascii="Times New Roman" w:hAnsi="Times New Roman" w:cs="Times New Roman"/>
          <w:sz w:val="24"/>
          <w:szCs w:val="24"/>
        </w:rPr>
        <w:t xml:space="preserve"> </w:t>
      </w:r>
      <w:r w:rsidR="00B02014" w:rsidRPr="007B0913">
        <w:rPr>
          <w:rFonts w:ascii="Times New Roman" w:hAnsi="Times New Roman" w:cs="Times New Roman"/>
          <w:sz w:val="24"/>
          <w:szCs w:val="24"/>
        </w:rPr>
        <w:t>because of the Charter’s</w:t>
      </w:r>
      <w:r w:rsidR="008409FC" w:rsidRPr="007B0913">
        <w:rPr>
          <w:rFonts w:ascii="Times New Roman" w:hAnsi="Times New Roman" w:cs="Times New Roman"/>
          <w:sz w:val="24"/>
          <w:szCs w:val="24"/>
        </w:rPr>
        <w:t xml:space="preserve"> </w:t>
      </w:r>
      <w:r w:rsidR="00CB351A" w:rsidRPr="007B0913">
        <w:rPr>
          <w:rFonts w:ascii="Times New Roman" w:hAnsi="Times New Roman" w:cs="Times New Roman"/>
          <w:sz w:val="24"/>
          <w:szCs w:val="24"/>
        </w:rPr>
        <w:t>inadequate</w:t>
      </w:r>
      <w:r w:rsidRPr="007B0913">
        <w:rPr>
          <w:rFonts w:ascii="Times New Roman" w:hAnsi="Times New Roman" w:cs="Times New Roman"/>
          <w:sz w:val="24"/>
          <w:szCs w:val="24"/>
        </w:rPr>
        <w:t xml:space="preserve"> </w:t>
      </w:r>
      <w:r w:rsidR="00156FF4" w:rsidRPr="007B0913">
        <w:rPr>
          <w:rFonts w:ascii="Times New Roman" w:hAnsi="Times New Roman" w:cs="Times New Roman"/>
          <w:sz w:val="24"/>
          <w:szCs w:val="24"/>
        </w:rPr>
        <w:t xml:space="preserve">remedial </w:t>
      </w:r>
      <w:r w:rsidR="00CB351A" w:rsidRPr="007B0913">
        <w:rPr>
          <w:rFonts w:ascii="Times New Roman" w:hAnsi="Times New Roman" w:cs="Times New Roman"/>
          <w:sz w:val="24"/>
          <w:szCs w:val="24"/>
        </w:rPr>
        <w:t>framework</w:t>
      </w:r>
      <w:r w:rsidRPr="007B0913">
        <w:rPr>
          <w:rFonts w:ascii="Times New Roman" w:hAnsi="Times New Roman" w:cs="Times New Roman"/>
          <w:sz w:val="24"/>
          <w:szCs w:val="24"/>
        </w:rPr>
        <w:t>.</w:t>
      </w:r>
      <w:r w:rsidR="008409FC" w:rsidRPr="007B0913">
        <w:rPr>
          <w:rFonts w:ascii="Times New Roman" w:hAnsi="Times New Roman" w:cs="Times New Roman"/>
          <w:sz w:val="24"/>
          <w:szCs w:val="24"/>
        </w:rPr>
        <w:t xml:space="preserve">  </w:t>
      </w:r>
      <w:r w:rsidR="00C435B8" w:rsidRPr="007B0913">
        <w:rPr>
          <w:rFonts w:ascii="Times New Roman" w:hAnsi="Times New Roman" w:cs="Times New Roman"/>
          <w:sz w:val="24"/>
          <w:szCs w:val="24"/>
        </w:rPr>
        <w:t>A</w:t>
      </w:r>
      <w:r w:rsidR="008409FC" w:rsidRPr="007B0913">
        <w:rPr>
          <w:rFonts w:ascii="Times New Roman" w:hAnsi="Times New Roman" w:cs="Times New Roman"/>
          <w:sz w:val="24"/>
          <w:szCs w:val="24"/>
        </w:rPr>
        <w:t>lthough</w:t>
      </w:r>
      <w:r w:rsidR="00AA5CD6" w:rsidRPr="007B0913">
        <w:rPr>
          <w:rFonts w:ascii="Times New Roman" w:hAnsi="Times New Roman" w:cs="Times New Roman"/>
          <w:sz w:val="24"/>
          <w:szCs w:val="24"/>
        </w:rPr>
        <w:t xml:space="preserve"> modelled in some respects upon </w:t>
      </w:r>
      <w:r w:rsidR="004F5E1E" w:rsidRPr="007B0913">
        <w:rPr>
          <w:rFonts w:ascii="Times New Roman" w:hAnsi="Times New Roman" w:cs="Times New Roman"/>
          <w:sz w:val="24"/>
          <w:szCs w:val="24"/>
        </w:rPr>
        <w:t xml:space="preserve">both constitutional and legislative provisions protecting human rights </w:t>
      </w:r>
      <w:r w:rsidR="00AA5CD6" w:rsidRPr="007B0913">
        <w:rPr>
          <w:rFonts w:ascii="Times New Roman" w:hAnsi="Times New Roman" w:cs="Times New Roman"/>
          <w:sz w:val="24"/>
          <w:szCs w:val="24"/>
        </w:rPr>
        <w:t xml:space="preserve">in </w:t>
      </w:r>
      <w:r w:rsidR="00453A5E" w:rsidRPr="007B0913">
        <w:rPr>
          <w:rFonts w:ascii="Times New Roman" w:hAnsi="Times New Roman" w:cs="Times New Roman"/>
          <w:sz w:val="24"/>
          <w:szCs w:val="24"/>
        </w:rPr>
        <w:t>o</w:t>
      </w:r>
      <w:r w:rsidR="002110C5" w:rsidRPr="007B0913">
        <w:rPr>
          <w:rFonts w:ascii="Times New Roman" w:hAnsi="Times New Roman" w:cs="Times New Roman"/>
          <w:sz w:val="24"/>
          <w:szCs w:val="24"/>
        </w:rPr>
        <w:t xml:space="preserve">ther </w:t>
      </w:r>
      <w:r w:rsidRPr="007B0913">
        <w:rPr>
          <w:rFonts w:ascii="Times New Roman" w:hAnsi="Times New Roman" w:cs="Times New Roman"/>
          <w:sz w:val="24"/>
          <w:szCs w:val="24"/>
        </w:rPr>
        <w:t>countries</w:t>
      </w:r>
      <w:r w:rsidR="002110C5" w:rsidRPr="007B0913">
        <w:rPr>
          <w:rFonts w:ascii="Times New Roman" w:hAnsi="Times New Roman" w:cs="Times New Roman"/>
          <w:sz w:val="24"/>
          <w:szCs w:val="24"/>
        </w:rPr>
        <w:t xml:space="preserve">, </w:t>
      </w:r>
      <w:r w:rsidR="00C435B8" w:rsidRPr="007B0913">
        <w:rPr>
          <w:rFonts w:ascii="Times New Roman" w:hAnsi="Times New Roman" w:cs="Times New Roman"/>
          <w:sz w:val="24"/>
          <w:szCs w:val="24"/>
        </w:rPr>
        <w:t xml:space="preserve">the Charter </w:t>
      </w:r>
      <w:r w:rsidR="00156FF4" w:rsidRPr="007B0913">
        <w:rPr>
          <w:rFonts w:ascii="Times New Roman" w:hAnsi="Times New Roman" w:cs="Times New Roman"/>
          <w:sz w:val="24"/>
          <w:szCs w:val="24"/>
        </w:rPr>
        <w:t>is demonstrably weak</w:t>
      </w:r>
      <w:r w:rsidR="00966FDA" w:rsidRPr="007B0913">
        <w:rPr>
          <w:rFonts w:ascii="Times New Roman" w:hAnsi="Times New Roman" w:cs="Times New Roman"/>
          <w:sz w:val="24"/>
          <w:szCs w:val="24"/>
        </w:rPr>
        <w:t>er</w:t>
      </w:r>
      <w:r w:rsidR="006D590F" w:rsidRPr="007B0913">
        <w:rPr>
          <w:rFonts w:ascii="Times New Roman" w:hAnsi="Times New Roman" w:cs="Times New Roman"/>
          <w:sz w:val="24"/>
          <w:szCs w:val="24"/>
        </w:rPr>
        <w:t xml:space="preserve"> </w:t>
      </w:r>
      <w:r w:rsidR="00156FF4" w:rsidRPr="007B0913">
        <w:rPr>
          <w:rFonts w:ascii="Times New Roman" w:hAnsi="Times New Roman" w:cs="Times New Roman"/>
          <w:sz w:val="24"/>
          <w:szCs w:val="24"/>
        </w:rPr>
        <w:t xml:space="preserve">when it comes to providing </w:t>
      </w:r>
      <w:r w:rsidR="00966FDA" w:rsidRPr="007B0913">
        <w:rPr>
          <w:rFonts w:ascii="Times New Roman" w:hAnsi="Times New Roman" w:cs="Times New Roman"/>
          <w:sz w:val="24"/>
          <w:szCs w:val="24"/>
        </w:rPr>
        <w:t xml:space="preserve">legally </w:t>
      </w:r>
      <w:r w:rsidR="00156FF4" w:rsidRPr="007B0913">
        <w:rPr>
          <w:rFonts w:ascii="Times New Roman" w:hAnsi="Times New Roman" w:cs="Times New Roman"/>
          <w:sz w:val="24"/>
          <w:szCs w:val="24"/>
        </w:rPr>
        <w:t xml:space="preserve">effective </w:t>
      </w:r>
      <w:r w:rsidR="00966FDA" w:rsidRPr="007B0913">
        <w:rPr>
          <w:rFonts w:ascii="Times New Roman" w:hAnsi="Times New Roman" w:cs="Times New Roman"/>
          <w:sz w:val="24"/>
          <w:szCs w:val="24"/>
        </w:rPr>
        <w:t>sanctions for breaches of Charter rights.</w:t>
      </w:r>
      <w:r w:rsidR="006D590F" w:rsidRPr="007B0913">
        <w:rPr>
          <w:rFonts w:ascii="Times New Roman" w:hAnsi="Times New Roman" w:cs="Times New Roman"/>
          <w:sz w:val="24"/>
          <w:szCs w:val="24"/>
        </w:rPr>
        <w:t xml:space="preserve">  In particular, </w:t>
      </w:r>
      <w:r w:rsidR="00966FDA" w:rsidRPr="007B0913">
        <w:rPr>
          <w:rFonts w:ascii="Times New Roman" w:hAnsi="Times New Roman" w:cs="Times New Roman"/>
          <w:sz w:val="24"/>
          <w:szCs w:val="24"/>
        </w:rPr>
        <w:t>unlike the Canadian Charter</w:t>
      </w:r>
      <w:r w:rsidR="00F26D31" w:rsidRPr="007B0913">
        <w:rPr>
          <w:rFonts w:ascii="Times New Roman" w:hAnsi="Times New Roman" w:cs="Times New Roman"/>
          <w:sz w:val="24"/>
          <w:szCs w:val="24"/>
        </w:rPr>
        <w:t xml:space="preserve"> of Rights and Freedoms</w:t>
      </w:r>
      <w:r w:rsidR="00C94686" w:rsidRPr="007B0913">
        <w:rPr>
          <w:rFonts w:ascii="Times New Roman" w:hAnsi="Times New Roman" w:cs="Times New Roman"/>
          <w:sz w:val="24"/>
          <w:szCs w:val="24"/>
        </w:rPr>
        <w:t xml:space="preserve">, </w:t>
      </w:r>
      <w:r w:rsidR="008E21A2" w:rsidRPr="007B0913">
        <w:rPr>
          <w:rFonts w:ascii="Times New Roman" w:hAnsi="Times New Roman" w:cs="Times New Roman"/>
          <w:sz w:val="24"/>
          <w:szCs w:val="24"/>
        </w:rPr>
        <w:t xml:space="preserve">the Victorian statute </w:t>
      </w:r>
      <w:r w:rsidR="006D590F" w:rsidRPr="007B0913">
        <w:rPr>
          <w:rFonts w:ascii="Times New Roman" w:hAnsi="Times New Roman" w:cs="Times New Roman"/>
          <w:sz w:val="24"/>
          <w:szCs w:val="24"/>
        </w:rPr>
        <w:t>does not</w:t>
      </w:r>
      <w:r w:rsidR="008E21A2" w:rsidRPr="007B0913">
        <w:rPr>
          <w:rFonts w:ascii="Times New Roman" w:hAnsi="Times New Roman" w:cs="Times New Roman"/>
          <w:sz w:val="24"/>
          <w:szCs w:val="24"/>
        </w:rPr>
        <w:t xml:space="preserve"> confer upon </w:t>
      </w:r>
      <w:r w:rsidR="00AE58B7" w:rsidRPr="007B0913">
        <w:rPr>
          <w:rFonts w:ascii="Times New Roman" w:hAnsi="Times New Roman" w:cs="Times New Roman"/>
          <w:sz w:val="24"/>
          <w:szCs w:val="24"/>
        </w:rPr>
        <w:t>a</w:t>
      </w:r>
      <w:r w:rsidR="00C435B8" w:rsidRPr="007B0913">
        <w:rPr>
          <w:rFonts w:ascii="Times New Roman" w:hAnsi="Times New Roman" w:cs="Times New Roman"/>
          <w:sz w:val="24"/>
          <w:szCs w:val="24"/>
        </w:rPr>
        <w:t>ny</w:t>
      </w:r>
      <w:r w:rsidR="00AE58B7" w:rsidRPr="007B0913">
        <w:rPr>
          <w:rFonts w:ascii="Times New Roman" w:hAnsi="Times New Roman" w:cs="Times New Roman"/>
          <w:sz w:val="24"/>
          <w:szCs w:val="24"/>
        </w:rPr>
        <w:t xml:space="preserve"> court</w:t>
      </w:r>
      <w:r w:rsidR="008E21A2" w:rsidRPr="007B0913">
        <w:rPr>
          <w:rFonts w:ascii="Times New Roman" w:hAnsi="Times New Roman" w:cs="Times New Roman"/>
          <w:sz w:val="24"/>
          <w:szCs w:val="24"/>
        </w:rPr>
        <w:t xml:space="preserve"> the power</w:t>
      </w:r>
      <w:r w:rsidR="00AE58B7" w:rsidRPr="007B0913">
        <w:rPr>
          <w:rFonts w:ascii="Times New Roman" w:hAnsi="Times New Roman" w:cs="Times New Roman"/>
          <w:sz w:val="24"/>
          <w:szCs w:val="24"/>
        </w:rPr>
        <w:t xml:space="preserve"> </w:t>
      </w:r>
      <w:r w:rsidR="00AE58B7" w:rsidRPr="007B0913">
        <w:rPr>
          <w:rFonts w:ascii="Times New Roman" w:hAnsi="Times New Roman" w:cs="Times New Roman"/>
          <w:sz w:val="24"/>
          <w:szCs w:val="24"/>
        </w:rPr>
        <w:lastRenderedPageBreak/>
        <w:t xml:space="preserve">to strike down, </w:t>
      </w:r>
      <w:r w:rsidR="00B02014" w:rsidRPr="007B0913">
        <w:rPr>
          <w:rFonts w:ascii="Times New Roman" w:hAnsi="Times New Roman" w:cs="Times New Roman"/>
          <w:sz w:val="24"/>
          <w:szCs w:val="24"/>
        </w:rPr>
        <w:t>whether by way</w:t>
      </w:r>
      <w:r w:rsidR="00AE58B7" w:rsidRPr="007B0913">
        <w:rPr>
          <w:rFonts w:ascii="Times New Roman" w:hAnsi="Times New Roman" w:cs="Times New Roman"/>
          <w:sz w:val="24"/>
          <w:szCs w:val="24"/>
        </w:rPr>
        <w:t xml:space="preserve"> of judicial review or </w:t>
      </w:r>
      <w:r w:rsidR="008E21A2" w:rsidRPr="007B0913">
        <w:rPr>
          <w:rFonts w:ascii="Times New Roman" w:hAnsi="Times New Roman" w:cs="Times New Roman"/>
          <w:sz w:val="24"/>
          <w:szCs w:val="24"/>
        </w:rPr>
        <w:t>otherwise</w:t>
      </w:r>
      <w:r w:rsidR="00AE58B7" w:rsidRPr="007B0913">
        <w:rPr>
          <w:rFonts w:ascii="Times New Roman" w:hAnsi="Times New Roman" w:cs="Times New Roman"/>
          <w:sz w:val="24"/>
          <w:szCs w:val="24"/>
        </w:rPr>
        <w:t xml:space="preserve">, any </w:t>
      </w:r>
      <w:r w:rsidR="00B2656A" w:rsidRPr="007B0913">
        <w:rPr>
          <w:rFonts w:ascii="Times New Roman" w:hAnsi="Times New Roman" w:cs="Times New Roman"/>
          <w:sz w:val="24"/>
          <w:szCs w:val="24"/>
        </w:rPr>
        <w:t xml:space="preserve">law that is </w:t>
      </w:r>
      <w:r w:rsidR="002F3AE6" w:rsidRPr="007B0913">
        <w:rPr>
          <w:rFonts w:ascii="Times New Roman" w:hAnsi="Times New Roman" w:cs="Times New Roman"/>
          <w:sz w:val="24"/>
          <w:szCs w:val="24"/>
        </w:rPr>
        <w:t>Charter non-</w:t>
      </w:r>
      <w:r w:rsidR="00B2656A" w:rsidRPr="007B0913">
        <w:rPr>
          <w:rFonts w:ascii="Times New Roman" w:hAnsi="Times New Roman" w:cs="Times New Roman"/>
          <w:sz w:val="24"/>
          <w:szCs w:val="24"/>
        </w:rPr>
        <w:t>compliant but</w:t>
      </w:r>
      <w:r w:rsidR="0073790E" w:rsidRPr="007B0913">
        <w:rPr>
          <w:rFonts w:ascii="Times New Roman" w:hAnsi="Times New Roman" w:cs="Times New Roman"/>
          <w:sz w:val="24"/>
          <w:szCs w:val="24"/>
        </w:rPr>
        <w:t xml:space="preserve"> is</w:t>
      </w:r>
      <w:r w:rsidR="00B2656A" w:rsidRPr="007B0913">
        <w:rPr>
          <w:rFonts w:ascii="Times New Roman" w:hAnsi="Times New Roman" w:cs="Times New Roman"/>
          <w:sz w:val="24"/>
          <w:szCs w:val="24"/>
        </w:rPr>
        <w:t xml:space="preserve"> </w:t>
      </w:r>
      <w:r w:rsidR="008E21A2" w:rsidRPr="007B0913">
        <w:rPr>
          <w:rFonts w:ascii="Times New Roman" w:hAnsi="Times New Roman" w:cs="Times New Roman"/>
          <w:sz w:val="24"/>
          <w:szCs w:val="24"/>
        </w:rPr>
        <w:t>in other respects</w:t>
      </w:r>
      <w:r w:rsidR="00B2656A" w:rsidRPr="007B0913">
        <w:rPr>
          <w:rFonts w:ascii="Times New Roman" w:hAnsi="Times New Roman" w:cs="Times New Roman"/>
          <w:sz w:val="24"/>
          <w:szCs w:val="24"/>
        </w:rPr>
        <w:t xml:space="preserve"> valid.</w:t>
      </w:r>
      <w:r w:rsidR="00B02014" w:rsidRPr="007B0913">
        <w:rPr>
          <w:rStyle w:val="FootnoteReference"/>
          <w:rFonts w:ascii="Times New Roman" w:hAnsi="Times New Roman" w:cs="Times New Roman"/>
          <w:sz w:val="24"/>
          <w:szCs w:val="24"/>
        </w:rPr>
        <w:footnoteReference w:id="13"/>
      </w:r>
      <w:r w:rsidR="00B02014" w:rsidRPr="007B0913">
        <w:rPr>
          <w:rFonts w:ascii="Times New Roman" w:hAnsi="Times New Roman" w:cs="Times New Roman"/>
          <w:sz w:val="24"/>
          <w:szCs w:val="24"/>
        </w:rPr>
        <w:t xml:space="preserve">  </w:t>
      </w:r>
    </w:p>
    <w:p w14:paraId="7D0AF5A5" w14:textId="69C70B5B" w:rsidR="00AA5CD6" w:rsidRPr="007B0913" w:rsidRDefault="00842EC6"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Of course, t</w:t>
      </w:r>
      <w:r w:rsidR="00C8228A" w:rsidRPr="007B0913">
        <w:rPr>
          <w:rFonts w:ascii="Times New Roman" w:hAnsi="Times New Roman" w:cs="Times New Roman"/>
          <w:sz w:val="24"/>
          <w:szCs w:val="24"/>
        </w:rPr>
        <w:t xml:space="preserve">he drafters </w:t>
      </w:r>
      <w:r w:rsidR="00F0598A" w:rsidRPr="007B0913">
        <w:rPr>
          <w:rFonts w:ascii="Times New Roman" w:hAnsi="Times New Roman" w:cs="Times New Roman"/>
          <w:sz w:val="24"/>
          <w:szCs w:val="24"/>
        </w:rPr>
        <w:t>of the Charter</w:t>
      </w:r>
      <w:r w:rsidR="00A2200B" w:rsidRPr="007B0913">
        <w:rPr>
          <w:rFonts w:ascii="Times New Roman" w:hAnsi="Times New Roman" w:cs="Times New Roman"/>
          <w:sz w:val="24"/>
          <w:szCs w:val="24"/>
        </w:rPr>
        <w:t xml:space="preserve"> ultimately</w:t>
      </w:r>
      <w:r w:rsidR="00FB0FFD" w:rsidRPr="007B0913">
        <w:rPr>
          <w:rFonts w:ascii="Times New Roman" w:hAnsi="Times New Roman" w:cs="Times New Roman"/>
          <w:sz w:val="24"/>
          <w:szCs w:val="24"/>
        </w:rPr>
        <w:t xml:space="preserve"> </w:t>
      </w:r>
      <w:r w:rsidR="00F0598A" w:rsidRPr="007B0913">
        <w:rPr>
          <w:rFonts w:ascii="Times New Roman" w:hAnsi="Times New Roman" w:cs="Times New Roman"/>
          <w:sz w:val="24"/>
          <w:szCs w:val="24"/>
        </w:rPr>
        <w:t xml:space="preserve">chose to limit its scope </w:t>
      </w:r>
      <w:r w:rsidR="00C8228A" w:rsidRPr="007B0913">
        <w:rPr>
          <w:rFonts w:ascii="Times New Roman" w:hAnsi="Times New Roman" w:cs="Times New Roman"/>
          <w:sz w:val="24"/>
          <w:szCs w:val="24"/>
        </w:rPr>
        <w:t xml:space="preserve">in this way.  </w:t>
      </w:r>
      <w:r w:rsidR="0003341E" w:rsidRPr="007B0913">
        <w:rPr>
          <w:rFonts w:ascii="Times New Roman" w:hAnsi="Times New Roman" w:cs="Times New Roman"/>
          <w:sz w:val="24"/>
          <w:szCs w:val="24"/>
        </w:rPr>
        <w:t>T</w:t>
      </w:r>
      <w:r w:rsidR="00F96AF7" w:rsidRPr="007B0913">
        <w:rPr>
          <w:rFonts w:ascii="Times New Roman" w:hAnsi="Times New Roman" w:cs="Times New Roman"/>
          <w:sz w:val="24"/>
          <w:szCs w:val="24"/>
        </w:rPr>
        <w:t>hey considered</w:t>
      </w:r>
      <w:r w:rsidR="0042207C" w:rsidRPr="007B0913">
        <w:rPr>
          <w:rFonts w:ascii="Times New Roman" w:hAnsi="Times New Roman" w:cs="Times New Roman"/>
          <w:sz w:val="24"/>
          <w:szCs w:val="24"/>
        </w:rPr>
        <w:t xml:space="preserve">, </w:t>
      </w:r>
      <w:r w:rsidR="009912D9" w:rsidRPr="007B0913">
        <w:rPr>
          <w:rFonts w:ascii="Times New Roman" w:hAnsi="Times New Roman" w:cs="Times New Roman"/>
          <w:sz w:val="24"/>
          <w:szCs w:val="24"/>
        </w:rPr>
        <w:t xml:space="preserve">and </w:t>
      </w:r>
      <w:r w:rsidR="00C8228A" w:rsidRPr="007B0913">
        <w:rPr>
          <w:rFonts w:ascii="Times New Roman" w:hAnsi="Times New Roman" w:cs="Times New Roman"/>
          <w:sz w:val="24"/>
          <w:szCs w:val="24"/>
        </w:rPr>
        <w:t>rejected</w:t>
      </w:r>
      <w:r w:rsidR="0042207C" w:rsidRPr="007B0913">
        <w:rPr>
          <w:rFonts w:ascii="Times New Roman" w:hAnsi="Times New Roman" w:cs="Times New Roman"/>
          <w:sz w:val="24"/>
          <w:szCs w:val="24"/>
        </w:rPr>
        <w:t>,</w:t>
      </w:r>
      <w:r w:rsidR="00C8228A" w:rsidRPr="007B0913">
        <w:rPr>
          <w:rFonts w:ascii="Times New Roman" w:hAnsi="Times New Roman" w:cs="Times New Roman"/>
          <w:sz w:val="24"/>
          <w:szCs w:val="24"/>
        </w:rPr>
        <w:t xml:space="preserve"> </w:t>
      </w:r>
      <w:r w:rsidR="00F96AF7" w:rsidRPr="007B0913">
        <w:rPr>
          <w:rFonts w:ascii="Times New Roman" w:hAnsi="Times New Roman" w:cs="Times New Roman"/>
          <w:sz w:val="24"/>
          <w:szCs w:val="24"/>
        </w:rPr>
        <w:t xml:space="preserve">the </w:t>
      </w:r>
      <w:r w:rsidR="009912D9" w:rsidRPr="007B0913">
        <w:rPr>
          <w:rFonts w:ascii="Times New Roman" w:hAnsi="Times New Roman" w:cs="Times New Roman"/>
          <w:sz w:val="24"/>
          <w:szCs w:val="24"/>
        </w:rPr>
        <w:t>approach adopted in both the United States and Canada</w:t>
      </w:r>
      <w:r w:rsidR="00A2200B" w:rsidRPr="007B0913">
        <w:rPr>
          <w:rFonts w:ascii="Times New Roman" w:hAnsi="Times New Roman" w:cs="Times New Roman"/>
          <w:sz w:val="24"/>
          <w:szCs w:val="24"/>
        </w:rPr>
        <w:t xml:space="preserve"> </w:t>
      </w:r>
      <w:r w:rsidR="009912D9" w:rsidRPr="007B0913">
        <w:rPr>
          <w:rFonts w:ascii="Times New Roman" w:hAnsi="Times New Roman" w:cs="Times New Roman"/>
          <w:sz w:val="24"/>
          <w:szCs w:val="24"/>
        </w:rPr>
        <w:t>whereby courts</w:t>
      </w:r>
      <w:r w:rsidR="00A2200B" w:rsidRPr="007B0913">
        <w:rPr>
          <w:rFonts w:ascii="Times New Roman" w:hAnsi="Times New Roman" w:cs="Times New Roman"/>
          <w:sz w:val="24"/>
          <w:szCs w:val="24"/>
        </w:rPr>
        <w:t xml:space="preserve"> from time to time </w:t>
      </w:r>
      <w:r w:rsidR="009912D9" w:rsidRPr="007B0913">
        <w:rPr>
          <w:rFonts w:ascii="Times New Roman" w:hAnsi="Times New Roman" w:cs="Times New Roman"/>
          <w:sz w:val="24"/>
          <w:szCs w:val="24"/>
        </w:rPr>
        <w:t>can</w:t>
      </w:r>
      <w:r w:rsidR="00750890" w:rsidRPr="007B0913">
        <w:rPr>
          <w:rFonts w:ascii="Times New Roman" w:hAnsi="Times New Roman" w:cs="Times New Roman"/>
          <w:sz w:val="24"/>
          <w:szCs w:val="24"/>
        </w:rPr>
        <w:t>,</w:t>
      </w:r>
      <w:r w:rsidR="009912D9" w:rsidRPr="007B0913">
        <w:rPr>
          <w:rFonts w:ascii="Times New Roman" w:hAnsi="Times New Roman" w:cs="Times New Roman"/>
          <w:sz w:val="24"/>
          <w:szCs w:val="24"/>
        </w:rPr>
        <w:t xml:space="preserve"> and do</w:t>
      </w:r>
      <w:r w:rsidR="00750890" w:rsidRPr="007B0913">
        <w:rPr>
          <w:rFonts w:ascii="Times New Roman" w:hAnsi="Times New Roman" w:cs="Times New Roman"/>
          <w:sz w:val="24"/>
          <w:szCs w:val="24"/>
        </w:rPr>
        <w:t>,</w:t>
      </w:r>
      <w:r w:rsidR="009912D9" w:rsidRPr="007B0913">
        <w:rPr>
          <w:rFonts w:ascii="Times New Roman" w:hAnsi="Times New Roman" w:cs="Times New Roman"/>
          <w:sz w:val="24"/>
          <w:szCs w:val="24"/>
        </w:rPr>
        <w:t xml:space="preserve"> strike down legislation that violates protected rights.  </w:t>
      </w:r>
      <w:r w:rsidR="009B253D" w:rsidRPr="007B0913">
        <w:rPr>
          <w:rFonts w:ascii="Times New Roman" w:hAnsi="Times New Roman" w:cs="Times New Roman"/>
          <w:sz w:val="24"/>
          <w:szCs w:val="24"/>
        </w:rPr>
        <w:t xml:space="preserve">These </w:t>
      </w:r>
      <w:r w:rsidRPr="007B0913">
        <w:rPr>
          <w:rFonts w:ascii="Times New Roman" w:hAnsi="Times New Roman" w:cs="Times New Roman"/>
          <w:sz w:val="24"/>
          <w:szCs w:val="24"/>
        </w:rPr>
        <w:t xml:space="preserve">models </w:t>
      </w:r>
      <w:r w:rsidR="000809E5" w:rsidRPr="007B0913">
        <w:rPr>
          <w:rFonts w:ascii="Times New Roman" w:hAnsi="Times New Roman" w:cs="Times New Roman"/>
          <w:sz w:val="24"/>
          <w:szCs w:val="24"/>
        </w:rPr>
        <w:t>were seen as</w:t>
      </w:r>
      <w:r w:rsidR="009B253D" w:rsidRPr="007B0913">
        <w:rPr>
          <w:rFonts w:ascii="Times New Roman" w:hAnsi="Times New Roman" w:cs="Times New Roman"/>
          <w:sz w:val="24"/>
          <w:szCs w:val="24"/>
        </w:rPr>
        <w:t xml:space="preserve"> </w:t>
      </w:r>
      <w:r w:rsidR="00105978" w:rsidRPr="007B0913">
        <w:rPr>
          <w:rFonts w:ascii="Times New Roman" w:hAnsi="Times New Roman" w:cs="Times New Roman"/>
          <w:sz w:val="24"/>
          <w:szCs w:val="24"/>
        </w:rPr>
        <w:t xml:space="preserve">too radical, and likely to ‘frighten the horses’.  </w:t>
      </w:r>
      <w:r w:rsidR="00A85CAC" w:rsidRPr="007B0913">
        <w:rPr>
          <w:rFonts w:ascii="Times New Roman" w:hAnsi="Times New Roman" w:cs="Times New Roman"/>
          <w:sz w:val="24"/>
          <w:szCs w:val="24"/>
        </w:rPr>
        <w:t>Opponents of the proposed Charter expresse</w:t>
      </w:r>
      <w:r w:rsidR="00487204" w:rsidRPr="007B0913">
        <w:rPr>
          <w:rFonts w:ascii="Times New Roman" w:hAnsi="Times New Roman" w:cs="Times New Roman"/>
          <w:sz w:val="24"/>
          <w:szCs w:val="24"/>
        </w:rPr>
        <w:t xml:space="preserve">d </w:t>
      </w:r>
      <w:r w:rsidR="00105978" w:rsidRPr="007B0913">
        <w:rPr>
          <w:rFonts w:ascii="Times New Roman" w:hAnsi="Times New Roman" w:cs="Times New Roman"/>
          <w:sz w:val="24"/>
          <w:szCs w:val="24"/>
        </w:rPr>
        <w:t>concern</w:t>
      </w:r>
      <w:r w:rsidR="00A85CAC" w:rsidRPr="007B0913">
        <w:rPr>
          <w:rFonts w:ascii="Times New Roman" w:hAnsi="Times New Roman" w:cs="Times New Roman"/>
          <w:sz w:val="24"/>
          <w:szCs w:val="24"/>
        </w:rPr>
        <w:t xml:space="preserve"> that</w:t>
      </w:r>
      <w:r w:rsidR="00B82F7F" w:rsidRPr="007B0913">
        <w:rPr>
          <w:rFonts w:ascii="Times New Roman" w:hAnsi="Times New Roman" w:cs="Times New Roman"/>
          <w:sz w:val="24"/>
          <w:szCs w:val="24"/>
        </w:rPr>
        <w:t xml:space="preserve"> </w:t>
      </w:r>
      <w:r w:rsidR="00A85CAC" w:rsidRPr="007B0913">
        <w:rPr>
          <w:rFonts w:ascii="Times New Roman" w:hAnsi="Times New Roman" w:cs="Times New Roman"/>
          <w:sz w:val="24"/>
          <w:szCs w:val="24"/>
        </w:rPr>
        <w:t xml:space="preserve">vesting in the </w:t>
      </w:r>
      <w:r w:rsidR="00B82F7F" w:rsidRPr="007B0913">
        <w:rPr>
          <w:rFonts w:ascii="Times New Roman" w:hAnsi="Times New Roman" w:cs="Times New Roman"/>
          <w:sz w:val="24"/>
          <w:szCs w:val="24"/>
        </w:rPr>
        <w:t xml:space="preserve">courts </w:t>
      </w:r>
      <w:r w:rsidR="00A85CAC" w:rsidRPr="007B0913">
        <w:rPr>
          <w:rFonts w:ascii="Times New Roman" w:hAnsi="Times New Roman" w:cs="Times New Roman"/>
          <w:sz w:val="24"/>
          <w:szCs w:val="24"/>
        </w:rPr>
        <w:t xml:space="preserve">the power to strike down otherwise valid laws, on the basis of </w:t>
      </w:r>
      <w:r w:rsidR="00FB0FFD" w:rsidRPr="007B0913">
        <w:rPr>
          <w:rFonts w:ascii="Times New Roman" w:hAnsi="Times New Roman" w:cs="Times New Roman"/>
          <w:sz w:val="24"/>
          <w:szCs w:val="24"/>
        </w:rPr>
        <w:t>Charter non-compliance</w:t>
      </w:r>
      <w:r w:rsidR="00A85CAC" w:rsidRPr="007B0913">
        <w:rPr>
          <w:rFonts w:ascii="Times New Roman" w:hAnsi="Times New Roman" w:cs="Times New Roman"/>
          <w:sz w:val="24"/>
          <w:szCs w:val="24"/>
        </w:rPr>
        <w:t xml:space="preserve">, </w:t>
      </w:r>
      <w:r w:rsidR="00B82F7F" w:rsidRPr="007B0913">
        <w:rPr>
          <w:rFonts w:ascii="Times New Roman" w:hAnsi="Times New Roman" w:cs="Times New Roman"/>
          <w:sz w:val="24"/>
          <w:szCs w:val="24"/>
        </w:rPr>
        <w:t xml:space="preserve">would infringe </w:t>
      </w:r>
      <w:r w:rsidRPr="007B0913">
        <w:rPr>
          <w:rFonts w:ascii="Times New Roman" w:hAnsi="Times New Roman" w:cs="Times New Roman"/>
          <w:sz w:val="24"/>
          <w:szCs w:val="24"/>
        </w:rPr>
        <w:t>basic principl</w:t>
      </w:r>
      <w:r w:rsidR="00A85CAC" w:rsidRPr="007B0913">
        <w:rPr>
          <w:rFonts w:ascii="Times New Roman" w:hAnsi="Times New Roman" w:cs="Times New Roman"/>
          <w:sz w:val="24"/>
          <w:szCs w:val="24"/>
        </w:rPr>
        <w:t xml:space="preserve">es of parliamentary sovereignty, </w:t>
      </w:r>
      <w:r w:rsidR="00B82F7F" w:rsidRPr="007B0913">
        <w:rPr>
          <w:rFonts w:ascii="Times New Roman" w:hAnsi="Times New Roman" w:cs="Times New Roman"/>
          <w:sz w:val="24"/>
          <w:szCs w:val="24"/>
        </w:rPr>
        <w:t xml:space="preserve">and </w:t>
      </w:r>
      <w:r w:rsidR="00A85CAC" w:rsidRPr="007B0913">
        <w:rPr>
          <w:rFonts w:ascii="Times New Roman" w:hAnsi="Times New Roman" w:cs="Times New Roman"/>
          <w:sz w:val="24"/>
          <w:szCs w:val="24"/>
        </w:rPr>
        <w:t xml:space="preserve">violate the doctrine of </w:t>
      </w:r>
      <w:r w:rsidR="00B82F7F" w:rsidRPr="007B0913">
        <w:rPr>
          <w:rFonts w:ascii="Times New Roman" w:hAnsi="Times New Roman" w:cs="Times New Roman"/>
          <w:sz w:val="24"/>
          <w:szCs w:val="24"/>
        </w:rPr>
        <w:t xml:space="preserve">the separation of powers.  </w:t>
      </w:r>
    </w:p>
    <w:p w14:paraId="287EC5EF" w14:textId="3F86E821" w:rsidR="00D57C53" w:rsidRPr="007B0913" w:rsidRDefault="00297749"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Even in its own terms, </w:t>
      </w:r>
      <w:r w:rsidR="00D57C53" w:rsidRPr="007B0913">
        <w:rPr>
          <w:rFonts w:ascii="Times New Roman" w:hAnsi="Times New Roman" w:cs="Times New Roman"/>
          <w:sz w:val="24"/>
          <w:szCs w:val="24"/>
        </w:rPr>
        <w:t>the Charter is</w:t>
      </w:r>
      <w:r w:rsidR="00D95A5C" w:rsidRPr="007B0913">
        <w:rPr>
          <w:rFonts w:ascii="Times New Roman" w:hAnsi="Times New Roman" w:cs="Times New Roman"/>
          <w:sz w:val="24"/>
          <w:szCs w:val="24"/>
        </w:rPr>
        <w:t>, in truth,</w:t>
      </w:r>
      <w:r w:rsidR="00D57C53" w:rsidRPr="007B0913">
        <w:rPr>
          <w:rFonts w:ascii="Times New Roman" w:hAnsi="Times New Roman" w:cs="Times New Roman"/>
          <w:sz w:val="24"/>
          <w:szCs w:val="24"/>
        </w:rPr>
        <w:t xml:space="preserve"> a</w:t>
      </w:r>
      <w:r w:rsidR="00DD27EF" w:rsidRPr="007B0913">
        <w:rPr>
          <w:rFonts w:ascii="Times New Roman" w:hAnsi="Times New Roman" w:cs="Times New Roman"/>
          <w:sz w:val="24"/>
          <w:szCs w:val="24"/>
        </w:rPr>
        <w:t xml:space="preserve"> </w:t>
      </w:r>
      <w:r w:rsidR="00F112EC" w:rsidRPr="007B0913">
        <w:rPr>
          <w:rFonts w:ascii="Times New Roman" w:hAnsi="Times New Roman" w:cs="Times New Roman"/>
          <w:sz w:val="24"/>
          <w:szCs w:val="24"/>
        </w:rPr>
        <w:t>somewhat</w:t>
      </w:r>
      <w:r w:rsidR="00D57C53" w:rsidRPr="007B0913">
        <w:rPr>
          <w:rFonts w:ascii="Times New Roman" w:hAnsi="Times New Roman" w:cs="Times New Roman"/>
          <w:sz w:val="24"/>
          <w:szCs w:val="24"/>
        </w:rPr>
        <w:t xml:space="preserve"> </w:t>
      </w:r>
      <w:r w:rsidR="00F731D5" w:rsidRPr="007B0913">
        <w:rPr>
          <w:rFonts w:ascii="Times New Roman" w:hAnsi="Times New Roman" w:cs="Times New Roman"/>
          <w:sz w:val="24"/>
          <w:szCs w:val="24"/>
        </w:rPr>
        <w:t>modest</w:t>
      </w:r>
      <w:r w:rsidR="00D57C53" w:rsidRPr="007B0913">
        <w:rPr>
          <w:rFonts w:ascii="Times New Roman" w:hAnsi="Times New Roman" w:cs="Times New Roman"/>
          <w:sz w:val="24"/>
          <w:szCs w:val="24"/>
        </w:rPr>
        <w:t xml:space="preserve"> document.  It seeks to identify certain human rights as </w:t>
      </w:r>
      <w:r w:rsidR="00F112EC" w:rsidRPr="007B0913">
        <w:rPr>
          <w:rFonts w:ascii="Times New Roman" w:hAnsi="Times New Roman" w:cs="Times New Roman"/>
          <w:sz w:val="24"/>
          <w:szCs w:val="24"/>
        </w:rPr>
        <w:t xml:space="preserve">particularly </w:t>
      </w:r>
      <w:r w:rsidR="00D57C53" w:rsidRPr="007B0913">
        <w:rPr>
          <w:rFonts w:ascii="Times New Roman" w:hAnsi="Times New Roman" w:cs="Times New Roman"/>
          <w:sz w:val="24"/>
          <w:szCs w:val="24"/>
        </w:rPr>
        <w:t>worthy of protection.</w:t>
      </w:r>
      <w:r w:rsidR="008E0C65" w:rsidRPr="007B0913">
        <w:rPr>
          <w:rFonts w:ascii="Times New Roman" w:hAnsi="Times New Roman" w:cs="Times New Roman"/>
          <w:sz w:val="24"/>
          <w:szCs w:val="24"/>
        </w:rPr>
        <w:t xml:space="preserve">  It does so with </w:t>
      </w:r>
      <w:r w:rsidR="00990E44" w:rsidRPr="007B0913">
        <w:rPr>
          <w:rFonts w:ascii="Times New Roman" w:hAnsi="Times New Roman" w:cs="Times New Roman"/>
          <w:sz w:val="24"/>
          <w:szCs w:val="24"/>
        </w:rPr>
        <w:t>emphasis upon protecting those rights in a ‘front end’ sense, rather than by providing strong remedies for their infringement.</w:t>
      </w:r>
      <w:r w:rsidR="00D57C53" w:rsidRPr="007B0913">
        <w:rPr>
          <w:rFonts w:ascii="Times New Roman" w:hAnsi="Times New Roman" w:cs="Times New Roman"/>
          <w:sz w:val="24"/>
          <w:szCs w:val="24"/>
        </w:rPr>
        <w:t xml:space="preserve">  </w:t>
      </w:r>
      <w:r w:rsidR="00990E44" w:rsidRPr="007B0913">
        <w:rPr>
          <w:rFonts w:ascii="Times New Roman" w:hAnsi="Times New Roman" w:cs="Times New Roman"/>
          <w:sz w:val="24"/>
          <w:szCs w:val="24"/>
        </w:rPr>
        <w:t xml:space="preserve">Its most potent provision in that regard is </w:t>
      </w:r>
      <w:r w:rsidR="00390B76" w:rsidRPr="007B0913">
        <w:rPr>
          <w:rFonts w:ascii="Times New Roman" w:hAnsi="Times New Roman" w:cs="Times New Roman"/>
          <w:sz w:val="24"/>
          <w:szCs w:val="24"/>
        </w:rPr>
        <w:t xml:space="preserve">its interpretive </w:t>
      </w:r>
      <w:r w:rsidR="00295F53" w:rsidRPr="007B0913">
        <w:rPr>
          <w:rFonts w:ascii="Times New Roman" w:hAnsi="Times New Roman" w:cs="Times New Roman"/>
          <w:sz w:val="24"/>
          <w:szCs w:val="24"/>
        </w:rPr>
        <w:t>section</w:t>
      </w:r>
      <w:r w:rsidR="00390B76" w:rsidRPr="007B0913">
        <w:rPr>
          <w:rFonts w:ascii="Times New Roman" w:hAnsi="Times New Roman" w:cs="Times New Roman"/>
          <w:sz w:val="24"/>
          <w:szCs w:val="24"/>
        </w:rPr>
        <w:t>, which</w:t>
      </w:r>
      <w:r w:rsidR="00D57C53" w:rsidRPr="007B0913">
        <w:rPr>
          <w:rFonts w:ascii="Times New Roman" w:hAnsi="Times New Roman" w:cs="Times New Roman"/>
          <w:sz w:val="24"/>
          <w:szCs w:val="24"/>
        </w:rPr>
        <w:t xml:space="preserve"> seeks to </w:t>
      </w:r>
      <w:r w:rsidR="00390B76" w:rsidRPr="007B0913">
        <w:rPr>
          <w:rFonts w:ascii="Times New Roman" w:hAnsi="Times New Roman" w:cs="Times New Roman"/>
          <w:sz w:val="24"/>
          <w:szCs w:val="24"/>
        </w:rPr>
        <w:t xml:space="preserve">ensure that </w:t>
      </w:r>
      <w:r w:rsidR="004D37DC" w:rsidRPr="007B0913">
        <w:rPr>
          <w:rFonts w:ascii="Times New Roman" w:hAnsi="Times New Roman" w:cs="Times New Roman"/>
          <w:sz w:val="24"/>
          <w:szCs w:val="24"/>
        </w:rPr>
        <w:t>all Victorian statutes, whe</w:t>
      </w:r>
      <w:r w:rsidR="00F731D5" w:rsidRPr="007B0913">
        <w:rPr>
          <w:rFonts w:ascii="Times New Roman" w:hAnsi="Times New Roman" w:cs="Times New Roman"/>
          <w:sz w:val="24"/>
          <w:szCs w:val="24"/>
        </w:rPr>
        <w:t xml:space="preserve">never enacted, are interpreted </w:t>
      </w:r>
      <w:r w:rsidR="00C51EC7" w:rsidRPr="007B0913">
        <w:rPr>
          <w:rFonts w:ascii="Times New Roman" w:hAnsi="Times New Roman" w:cs="Times New Roman"/>
          <w:sz w:val="24"/>
          <w:szCs w:val="24"/>
        </w:rPr>
        <w:t>as</w:t>
      </w:r>
      <w:r w:rsidR="00F731D5" w:rsidRPr="007B0913">
        <w:rPr>
          <w:rFonts w:ascii="Times New Roman" w:hAnsi="Times New Roman" w:cs="Times New Roman"/>
          <w:sz w:val="24"/>
          <w:szCs w:val="24"/>
        </w:rPr>
        <w:t xml:space="preserve"> far as is possible</w:t>
      </w:r>
      <w:r w:rsidR="004D37DC" w:rsidRPr="007B0913">
        <w:rPr>
          <w:rFonts w:ascii="Times New Roman" w:hAnsi="Times New Roman" w:cs="Times New Roman"/>
          <w:sz w:val="24"/>
          <w:szCs w:val="24"/>
        </w:rPr>
        <w:t xml:space="preserve"> in a way that is compatible with human rights.  </w:t>
      </w:r>
      <w:r w:rsidR="00390B76" w:rsidRPr="007B0913">
        <w:rPr>
          <w:rFonts w:ascii="Times New Roman" w:hAnsi="Times New Roman" w:cs="Times New Roman"/>
          <w:sz w:val="24"/>
          <w:szCs w:val="24"/>
        </w:rPr>
        <w:t xml:space="preserve">However, as will be seen, that particular provision has </w:t>
      </w:r>
      <w:r w:rsidR="008E0C65" w:rsidRPr="007B0913">
        <w:rPr>
          <w:rFonts w:ascii="Times New Roman" w:hAnsi="Times New Roman" w:cs="Times New Roman"/>
          <w:sz w:val="24"/>
          <w:szCs w:val="24"/>
        </w:rPr>
        <w:t>received a</w:t>
      </w:r>
      <w:r w:rsidR="00390B76" w:rsidRPr="007B0913">
        <w:rPr>
          <w:rFonts w:ascii="Times New Roman" w:hAnsi="Times New Roman" w:cs="Times New Roman"/>
          <w:sz w:val="24"/>
          <w:szCs w:val="24"/>
        </w:rPr>
        <w:t xml:space="preserve"> </w:t>
      </w:r>
      <w:r w:rsidR="008E0C65" w:rsidRPr="007B0913">
        <w:rPr>
          <w:rFonts w:ascii="Times New Roman" w:hAnsi="Times New Roman" w:cs="Times New Roman"/>
          <w:sz w:val="24"/>
          <w:szCs w:val="24"/>
        </w:rPr>
        <w:t>somewhat narrow</w:t>
      </w:r>
      <w:r w:rsidR="002E0248" w:rsidRPr="007B0913">
        <w:rPr>
          <w:rFonts w:ascii="Times New Roman" w:hAnsi="Times New Roman" w:cs="Times New Roman"/>
          <w:sz w:val="24"/>
          <w:szCs w:val="24"/>
        </w:rPr>
        <w:t xml:space="preserve"> interpretation </w:t>
      </w:r>
      <w:r w:rsidR="008E0C65" w:rsidRPr="007B0913">
        <w:rPr>
          <w:rFonts w:ascii="Times New Roman" w:hAnsi="Times New Roman" w:cs="Times New Roman"/>
          <w:sz w:val="24"/>
          <w:szCs w:val="24"/>
        </w:rPr>
        <w:t xml:space="preserve">from the courts, and there is a real question as to how effective it has been. </w:t>
      </w:r>
    </w:p>
    <w:p w14:paraId="12B93E0E" w14:textId="70C8B427" w:rsidR="003B3C49" w:rsidRPr="007B0913" w:rsidRDefault="00D87ADB"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In this paper, I </w:t>
      </w:r>
      <w:r w:rsidR="002C5D56" w:rsidRPr="007B0913">
        <w:rPr>
          <w:rFonts w:ascii="Times New Roman" w:hAnsi="Times New Roman" w:cs="Times New Roman"/>
          <w:sz w:val="24"/>
          <w:szCs w:val="24"/>
        </w:rPr>
        <w:t xml:space="preserve">will </w:t>
      </w:r>
      <w:r w:rsidR="008E0C65" w:rsidRPr="007B0913">
        <w:rPr>
          <w:rFonts w:ascii="Times New Roman" w:hAnsi="Times New Roman" w:cs="Times New Roman"/>
          <w:sz w:val="24"/>
          <w:szCs w:val="24"/>
        </w:rPr>
        <w:t>basically</w:t>
      </w:r>
      <w:r w:rsidR="00297749" w:rsidRPr="007B0913">
        <w:rPr>
          <w:rFonts w:ascii="Times New Roman" w:hAnsi="Times New Roman" w:cs="Times New Roman"/>
          <w:sz w:val="24"/>
          <w:szCs w:val="24"/>
        </w:rPr>
        <w:t xml:space="preserve"> </w:t>
      </w:r>
      <w:r w:rsidRPr="007B0913">
        <w:rPr>
          <w:rFonts w:ascii="Times New Roman" w:hAnsi="Times New Roman" w:cs="Times New Roman"/>
          <w:sz w:val="24"/>
          <w:szCs w:val="24"/>
        </w:rPr>
        <w:t xml:space="preserve">confine myself </w:t>
      </w:r>
      <w:r w:rsidR="00297749" w:rsidRPr="007B0913">
        <w:rPr>
          <w:rFonts w:ascii="Times New Roman" w:hAnsi="Times New Roman" w:cs="Times New Roman"/>
          <w:sz w:val="24"/>
          <w:szCs w:val="24"/>
        </w:rPr>
        <w:t>to</w:t>
      </w:r>
      <w:r w:rsidR="008E0C65" w:rsidRPr="007B0913">
        <w:rPr>
          <w:rFonts w:ascii="Times New Roman" w:hAnsi="Times New Roman" w:cs="Times New Roman"/>
          <w:sz w:val="24"/>
          <w:szCs w:val="24"/>
        </w:rPr>
        <w:t xml:space="preserve"> those provisions in the Charter that </w:t>
      </w:r>
      <w:r w:rsidR="006F14DF" w:rsidRPr="007B0913">
        <w:rPr>
          <w:rFonts w:ascii="Times New Roman" w:hAnsi="Times New Roman" w:cs="Times New Roman"/>
          <w:sz w:val="24"/>
          <w:szCs w:val="24"/>
        </w:rPr>
        <w:t xml:space="preserve">provide for the right of an accused </w:t>
      </w:r>
      <w:r w:rsidR="002C5D56" w:rsidRPr="007B0913">
        <w:rPr>
          <w:rFonts w:ascii="Times New Roman" w:hAnsi="Times New Roman" w:cs="Times New Roman"/>
          <w:sz w:val="24"/>
          <w:szCs w:val="24"/>
        </w:rPr>
        <w:t>to</w:t>
      </w:r>
      <w:r w:rsidR="006F14DF" w:rsidRPr="007B0913">
        <w:rPr>
          <w:rFonts w:ascii="Times New Roman" w:hAnsi="Times New Roman" w:cs="Times New Roman"/>
          <w:sz w:val="24"/>
          <w:szCs w:val="24"/>
        </w:rPr>
        <w:t xml:space="preserve"> receive a fair hearing, synonymous with a fair trial</w:t>
      </w:r>
      <w:r w:rsidR="002C5D56" w:rsidRPr="007B0913">
        <w:rPr>
          <w:rFonts w:ascii="Times New Roman" w:hAnsi="Times New Roman" w:cs="Times New Roman"/>
          <w:sz w:val="24"/>
          <w:szCs w:val="24"/>
        </w:rPr>
        <w:t xml:space="preserve">.  </w:t>
      </w:r>
      <w:r w:rsidR="003B3C49" w:rsidRPr="007B0913">
        <w:rPr>
          <w:rFonts w:ascii="Times New Roman" w:hAnsi="Times New Roman" w:cs="Times New Roman"/>
          <w:sz w:val="24"/>
          <w:szCs w:val="24"/>
        </w:rPr>
        <w:t xml:space="preserve">In that regard, </w:t>
      </w:r>
      <w:r w:rsidR="003472A0" w:rsidRPr="007B0913">
        <w:rPr>
          <w:rFonts w:ascii="Times New Roman" w:hAnsi="Times New Roman" w:cs="Times New Roman"/>
          <w:sz w:val="24"/>
          <w:szCs w:val="24"/>
        </w:rPr>
        <w:t>the key provisions are those con</w:t>
      </w:r>
      <w:r w:rsidR="00270BB9" w:rsidRPr="007B0913">
        <w:rPr>
          <w:rFonts w:ascii="Times New Roman" w:hAnsi="Times New Roman" w:cs="Times New Roman"/>
          <w:sz w:val="24"/>
          <w:szCs w:val="24"/>
        </w:rPr>
        <w:t xml:space="preserve">tained within sections 21 to </w:t>
      </w:r>
      <w:r w:rsidR="00BE69D5" w:rsidRPr="007B0913">
        <w:rPr>
          <w:rFonts w:ascii="Times New Roman" w:hAnsi="Times New Roman" w:cs="Times New Roman"/>
          <w:sz w:val="24"/>
          <w:szCs w:val="24"/>
        </w:rPr>
        <w:t xml:space="preserve">27, which can be briefly summarised as follows. </w:t>
      </w:r>
      <w:r w:rsidR="00270BB9" w:rsidRPr="007B0913">
        <w:rPr>
          <w:rFonts w:ascii="Times New Roman" w:hAnsi="Times New Roman" w:cs="Times New Roman"/>
          <w:sz w:val="24"/>
          <w:szCs w:val="24"/>
        </w:rPr>
        <w:t xml:space="preserve"> </w:t>
      </w:r>
    </w:p>
    <w:p w14:paraId="32C8D136" w14:textId="0AD2710A" w:rsidR="00AE4942" w:rsidRPr="007B0913" w:rsidRDefault="00AE4942" w:rsidP="006B2E41">
      <w:pPr>
        <w:spacing w:line="360" w:lineRule="auto"/>
        <w:jc w:val="both"/>
        <w:rPr>
          <w:rFonts w:ascii="Times New Roman" w:hAnsi="Times New Roman" w:cs="Times New Roman"/>
          <w:sz w:val="24"/>
          <w:szCs w:val="24"/>
        </w:rPr>
      </w:pPr>
      <w:r w:rsidRPr="007B0913">
        <w:rPr>
          <w:rFonts w:ascii="Times New Roman" w:hAnsi="Times New Roman" w:cs="Times New Roman"/>
          <w:i/>
          <w:sz w:val="24"/>
          <w:szCs w:val="24"/>
        </w:rPr>
        <w:t>Section 21 - ‘Right to liberty and security of person’</w:t>
      </w:r>
    </w:p>
    <w:p w14:paraId="7D98CC86" w14:textId="3580E578" w:rsidR="00AE4942" w:rsidRPr="007B0913" w:rsidRDefault="00AE4942" w:rsidP="006B2E41">
      <w:pPr>
        <w:spacing w:line="360" w:lineRule="auto"/>
        <w:ind w:left="720"/>
        <w:jc w:val="both"/>
        <w:rPr>
          <w:rFonts w:ascii="Times New Roman" w:hAnsi="Times New Roman" w:cs="Times New Roman"/>
          <w:sz w:val="24"/>
          <w:szCs w:val="24"/>
        </w:rPr>
      </w:pPr>
      <w:r w:rsidRPr="007B0913">
        <w:rPr>
          <w:rFonts w:ascii="Times New Roman" w:hAnsi="Times New Roman" w:cs="Times New Roman"/>
          <w:sz w:val="24"/>
          <w:szCs w:val="24"/>
        </w:rPr>
        <w:t>Section 21(</w:t>
      </w:r>
      <w:r w:rsidR="002A6DE5" w:rsidRPr="007B0913">
        <w:rPr>
          <w:rFonts w:ascii="Times New Roman" w:hAnsi="Times New Roman" w:cs="Times New Roman"/>
          <w:sz w:val="24"/>
          <w:szCs w:val="24"/>
        </w:rPr>
        <w:t>4</w:t>
      </w:r>
      <w:r w:rsidRPr="007B0913">
        <w:rPr>
          <w:rFonts w:ascii="Times New Roman" w:hAnsi="Times New Roman" w:cs="Times New Roman"/>
          <w:sz w:val="24"/>
          <w:szCs w:val="24"/>
        </w:rPr>
        <w:t>)</w:t>
      </w:r>
      <w:r w:rsidR="002A6DE5" w:rsidRPr="007B0913">
        <w:rPr>
          <w:rFonts w:ascii="Times New Roman" w:hAnsi="Times New Roman" w:cs="Times New Roman"/>
          <w:sz w:val="24"/>
          <w:szCs w:val="24"/>
        </w:rPr>
        <w:t xml:space="preserve"> provides that a person who is arrested or detained </w:t>
      </w:r>
      <w:r w:rsidRPr="007B0913">
        <w:rPr>
          <w:rFonts w:ascii="Times New Roman" w:hAnsi="Times New Roman" w:cs="Times New Roman"/>
          <w:sz w:val="24"/>
          <w:szCs w:val="24"/>
        </w:rPr>
        <w:t>must be informed at that</w:t>
      </w:r>
      <w:r w:rsidR="0010142C" w:rsidRPr="007B0913">
        <w:rPr>
          <w:rFonts w:ascii="Times New Roman" w:hAnsi="Times New Roman" w:cs="Times New Roman"/>
          <w:sz w:val="24"/>
          <w:szCs w:val="24"/>
        </w:rPr>
        <w:t xml:space="preserve"> time of the reason for that curtailment of liberty.  </w:t>
      </w:r>
    </w:p>
    <w:p w14:paraId="59FC703E" w14:textId="77C34A5C" w:rsidR="0010142C" w:rsidRPr="007B0913" w:rsidRDefault="00AE4942" w:rsidP="006B2E41">
      <w:pPr>
        <w:spacing w:line="360" w:lineRule="auto"/>
        <w:ind w:left="720"/>
        <w:jc w:val="both"/>
        <w:rPr>
          <w:rFonts w:ascii="Times New Roman" w:hAnsi="Times New Roman" w:cs="Times New Roman"/>
          <w:sz w:val="24"/>
          <w:szCs w:val="24"/>
        </w:rPr>
      </w:pPr>
      <w:r w:rsidRPr="007B0913">
        <w:rPr>
          <w:rFonts w:ascii="Times New Roman" w:hAnsi="Times New Roman" w:cs="Times New Roman"/>
          <w:sz w:val="24"/>
          <w:szCs w:val="24"/>
        </w:rPr>
        <w:t>Section 21(5)</w:t>
      </w:r>
      <w:r w:rsidR="0010142C" w:rsidRPr="007B0913">
        <w:rPr>
          <w:rFonts w:ascii="Times New Roman" w:hAnsi="Times New Roman" w:cs="Times New Roman"/>
          <w:sz w:val="24"/>
          <w:szCs w:val="24"/>
        </w:rPr>
        <w:t xml:space="preserve"> provides that </w:t>
      </w:r>
      <w:r w:rsidRPr="007B0913">
        <w:rPr>
          <w:rFonts w:ascii="Times New Roman" w:hAnsi="Times New Roman" w:cs="Times New Roman"/>
          <w:sz w:val="24"/>
          <w:szCs w:val="24"/>
        </w:rPr>
        <w:t xml:space="preserve">a </w:t>
      </w:r>
      <w:r w:rsidR="0010142C" w:rsidRPr="007B0913">
        <w:rPr>
          <w:rFonts w:ascii="Times New Roman" w:hAnsi="Times New Roman" w:cs="Times New Roman"/>
          <w:sz w:val="24"/>
          <w:szCs w:val="24"/>
        </w:rPr>
        <w:t xml:space="preserve">person who is arrested or detained on a criminal charge, </w:t>
      </w:r>
      <w:r w:rsidRPr="007B0913">
        <w:rPr>
          <w:rFonts w:ascii="Times New Roman" w:hAnsi="Times New Roman" w:cs="Times New Roman"/>
          <w:sz w:val="24"/>
          <w:szCs w:val="24"/>
        </w:rPr>
        <w:t>(</w:t>
      </w:r>
      <w:r w:rsidR="0010142C" w:rsidRPr="007B0913">
        <w:rPr>
          <w:rFonts w:ascii="Times New Roman" w:hAnsi="Times New Roman" w:cs="Times New Roman"/>
          <w:sz w:val="24"/>
          <w:szCs w:val="24"/>
        </w:rPr>
        <w:t xml:space="preserve">a) must be promptly brought before a court; </w:t>
      </w:r>
      <w:r w:rsidRPr="007B0913">
        <w:rPr>
          <w:rFonts w:ascii="Times New Roman" w:hAnsi="Times New Roman" w:cs="Times New Roman"/>
          <w:sz w:val="24"/>
          <w:szCs w:val="24"/>
        </w:rPr>
        <w:t>(</w:t>
      </w:r>
      <w:r w:rsidR="0010142C" w:rsidRPr="007B0913">
        <w:rPr>
          <w:rFonts w:ascii="Times New Roman" w:hAnsi="Times New Roman" w:cs="Times New Roman"/>
          <w:sz w:val="24"/>
          <w:szCs w:val="24"/>
        </w:rPr>
        <w:t>b) has the right to</w:t>
      </w:r>
      <w:r w:rsidRPr="007B0913">
        <w:rPr>
          <w:rFonts w:ascii="Times New Roman" w:hAnsi="Times New Roman" w:cs="Times New Roman"/>
          <w:sz w:val="24"/>
          <w:szCs w:val="24"/>
        </w:rPr>
        <w:t xml:space="preserve"> be brought to trial </w:t>
      </w:r>
      <w:r w:rsidRPr="007B0913">
        <w:rPr>
          <w:rFonts w:ascii="Times New Roman" w:hAnsi="Times New Roman" w:cs="Times New Roman"/>
          <w:sz w:val="24"/>
          <w:szCs w:val="24"/>
        </w:rPr>
        <w:lastRenderedPageBreak/>
        <w:t xml:space="preserve">without </w:t>
      </w:r>
      <w:r w:rsidR="0010142C" w:rsidRPr="007B0913">
        <w:rPr>
          <w:rFonts w:ascii="Times New Roman" w:hAnsi="Times New Roman" w:cs="Times New Roman"/>
          <w:sz w:val="24"/>
          <w:szCs w:val="24"/>
        </w:rPr>
        <w:t xml:space="preserve">unreasonable delay; and </w:t>
      </w:r>
      <w:r w:rsidRPr="007B0913">
        <w:rPr>
          <w:rFonts w:ascii="Times New Roman" w:hAnsi="Times New Roman" w:cs="Times New Roman"/>
          <w:sz w:val="24"/>
          <w:szCs w:val="24"/>
        </w:rPr>
        <w:t>(</w:t>
      </w:r>
      <w:r w:rsidR="0010142C" w:rsidRPr="007B0913">
        <w:rPr>
          <w:rFonts w:ascii="Times New Roman" w:hAnsi="Times New Roman" w:cs="Times New Roman"/>
          <w:sz w:val="24"/>
          <w:szCs w:val="24"/>
        </w:rPr>
        <w:t>c) must be released if</w:t>
      </w:r>
      <w:r w:rsidR="00270BB9" w:rsidRPr="007B0913">
        <w:rPr>
          <w:rFonts w:ascii="Times New Roman" w:hAnsi="Times New Roman" w:cs="Times New Roman"/>
          <w:sz w:val="24"/>
          <w:szCs w:val="24"/>
        </w:rPr>
        <w:t xml:space="preserve"> either </w:t>
      </w:r>
      <w:r w:rsidRPr="007B0913">
        <w:rPr>
          <w:rFonts w:ascii="Times New Roman" w:hAnsi="Times New Roman" w:cs="Times New Roman"/>
          <w:sz w:val="24"/>
          <w:szCs w:val="24"/>
        </w:rPr>
        <w:t>paragraph (</w:t>
      </w:r>
      <w:r w:rsidR="00270BB9" w:rsidRPr="007B0913">
        <w:rPr>
          <w:rFonts w:ascii="Times New Roman" w:hAnsi="Times New Roman" w:cs="Times New Roman"/>
          <w:sz w:val="24"/>
          <w:szCs w:val="24"/>
        </w:rPr>
        <w:t xml:space="preserve">a) or </w:t>
      </w:r>
      <w:r w:rsidRPr="007B0913">
        <w:rPr>
          <w:rFonts w:ascii="Times New Roman" w:hAnsi="Times New Roman" w:cs="Times New Roman"/>
          <w:sz w:val="24"/>
          <w:szCs w:val="24"/>
        </w:rPr>
        <w:t>(</w:t>
      </w:r>
      <w:r w:rsidR="0010142C" w:rsidRPr="007B0913">
        <w:rPr>
          <w:rFonts w:ascii="Times New Roman" w:hAnsi="Times New Roman" w:cs="Times New Roman"/>
          <w:sz w:val="24"/>
          <w:szCs w:val="24"/>
        </w:rPr>
        <w:t>b</w:t>
      </w:r>
      <w:r w:rsidR="00270BB9" w:rsidRPr="007B0913">
        <w:rPr>
          <w:rFonts w:ascii="Times New Roman" w:hAnsi="Times New Roman" w:cs="Times New Roman"/>
          <w:sz w:val="24"/>
          <w:szCs w:val="24"/>
        </w:rPr>
        <w:t>)</w:t>
      </w:r>
      <w:r w:rsidR="0010142C" w:rsidRPr="007B0913">
        <w:rPr>
          <w:rFonts w:ascii="Times New Roman" w:hAnsi="Times New Roman" w:cs="Times New Roman"/>
          <w:sz w:val="24"/>
          <w:szCs w:val="24"/>
        </w:rPr>
        <w:t xml:space="preserve"> is not complied with. </w:t>
      </w:r>
    </w:p>
    <w:p w14:paraId="028FEA15" w14:textId="7B6147B0" w:rsidR="00AE4942" w:rsidRPr="007B0913" w:rsidRDefault="00AE4942" w:rsidP="006B2E41">
      <w:pPr>
        <w:spacing w:line="360" w:lineRule="auto"/>
        <w:jc w:val="both"/>
        <w:rPr>
          <w:rFonts w:ascii="Times New Roman" w:hAnsi="Times New Roman" w:cs="Times New Roman"/>
          <w:sz w:val="24"/>
          <w:szCs w:val="24"/>
        </w:rPr>
      </w:pPr>
      <w:r w:rsidRPr="007B0913">
        <w:rPr>
          <w:rFonts w:ascii="Times New Roman" w:hAnsi="Times New Roman" w:cs="Times New Roman"/>
          <w:i/>
          <w:sz w:val="24"/>
          <w:szCs w:val="24"/>
        </w:rPr>
        <w:t>Section 22</w:t>
      </w:r>
      <w:r w:rsidRPr="007B0913">
        <w:rPr>
          <w:rFonts w:ascii="Times New Roman" w:hAnsi="Times New Roman" w:cs="Times New Roman"/>
          <w:sz w:val="24"/>
          <w:szCs w:val="24"/>
        </w:rPr>
        <w:t xml:space="preserve"> – ‘</w:t>
      </w:r>
      <w:r w:rsidRPr="007B0913">
        <w:rPr>
          <w:rFonts w:ascii="Times New Roman" w:hAnsi="Times New Roman" w:cs="Times New Roman"/>
          <w:i/>
          <w:sz w:val="24"/>
          <w:szCs w:val="24"/>
        </w:rPr>
        <w:t>Humane treatment when deprived of liberty’</w:t>
      </w:r>
    </w:p>
    <w:p w14:paraId="446ADC28" w14:textId="6A0E1649" w:rsidR="0010142C" w:rsidRPr="007B0913" w:rsidRDefault="00AE4942" w:rsidP="006B2E41">
      <w:pPr>
        <w:spacing w:line="360" w:lineRule="auto"/>
        <w:ind w:left="720"/>
        <w:jc w:val="both"/>
        <w:rPr>
          <w:rFonts w:ascii="Times New Roman" w:hAnsi="Times New Roman" w:cs="Times New Roman"/>
          <w:sz w:val="24"/>
          <w:szCs w:val="24"/>
        </w:rPr>
      </w:pPr>
      <w:r w:rsidRPr="007B0913">
        <w:rPr>
          <w:rFonts w:ascii="Times New Roman" w:hAnsi="Times New Roman" w:cs="Times New Roman"/>
          <w:sz w:val="24"/>
          <w:szCs w:val="24"/>
        </w:rPr>
        <w:t xml:space="preserve">Section 22(1) </w:t>
      </w:r>
      <w:r w:rsidR="00D65320" w:rsidRPr="007B0913">
        <w:rPr>
          <w:rFonts w:ascii="Times New Roman" w:hAnsi="Times New Roman" w:cs="Times New Roman"/>
          <w:sz w:val="24"/>
          <w:szCs w:val="24"/>
        </w:rPr>
        <w:t>provides that all persons deprived of liberty must be treated with humanity and with respect for the inherent dignity of the human person.</w:t>
      </w:r>
      <w:r w:rsidR="00826F31" w:rsidRPr="007B0913">
        <w:rPr>
          <w:rFonts w:ascii="Times New Roman" w:hAnsi="Times New Roman" w:cs="Times New Roman"/>
          <w:sz w:val="24"/>
          <w:szCs w:val="24"/>
        </w:rPr>
        <w:t xml:space="preserve">  </w:t>
      </w:r>
    </w:p>
    <w:p w14:paraId="104CB6D0" w14:textId="2218BD03" w:rsidR="00826F31" w:rsidRPr="007B0913" w:rsidRDefault="00826F31" w:rsidP="006B2E41">
      <w:pPr>
        <w:spacing w:line="360" w:lineRule="auto"/>
        <w:ind w:left="720"/>
        <w:jc w:val="both"/>
        <w:rPr>
          <w:rFonts w:ascii="Times New Roman" w:hAnsi="Times New Roman" w:cs="Times New Roman"/>
          <w:sz w:val="24"/>
          <w:szCs w:val="24"/>
        </w:rPr>
      </w:pPr>
      <w:r w:rsidRPr="007B0913">
        <w:rPr>
          <w:rFonts w:ascii="Times New Roman" w:hAnsi="Times New Roman" w:cs="Times New Roman"/>
          <w:sz w:val="24"/>
          <w:szCs w:val="24"/>
        </w:rPr>
        <w:t xml:space="preserve">Section 22(2) provides that an accused person who is detained or a person detained without charge must be segregated from persons who have been convicted of offences, except where reasonably necessary. </w:t>
      </w:r>
    </w:p>
    <w:p w14:paraId="5A76FEC5" w14:textId="1DF61F03" w:rsidR="00826F31" w:rsidRPr="007B0913" w:rsidRDefault="00826F31" w:rsidP="006B2E41">
      <w:pPr>
        <w:spacing w:line="360" w:lineRule="auto"/>
        <w:ind w:left="720"/>
        <w:jc w:val="both"/>
        <w:rPr>
          <w:rFonts w:ascii="Times New Roman" w:hAnsi="Times New Roman" w:cs="Times New Roman"/>
          <w:sz w:val="24"/>
          <w:szCs w:val="24"/>
        </w:rPr>
      </w:pPr>
      <w:r w:rsidRPr="007B0913">
        <w:rPr>
          <w:rFonts w:ascii="Times New Roman" w:hAnsi="Times New Roman" w:cs="Times New Roman"/>
          <w:sz w:val="24"/>
          <w:szCs w:val="24"/>
        </w:rPr>
        <w:t xml:space="preserve">Section 22(3) provides that an accused person who is detained or a person detained without charge must be treated in a way that is appropriate for a person who has not been convicted.  </w:t>
      </w:r>
    </w:p>
    <w:p w14:paraId="65427439" w14:textId="70BE4962" w:rsidR="00F812C9" w:rsidRPr="007B0913" w:rsidRDefault="00F812C9" w:rsidP="006B2E41">
      <w:pPr>
        <w:spacing w:line="360" w:lineRule="auto"/>
        <w:jc w:val="both"/>
        <w:rPr>
          <w:rFonts w:ascii="Times New Roman" w:hAnsi="Times New Roman" w:cs="Times New Roman"/>
          <w:sz w:val="24"/>
          <w:szCs w:val="24"/>
        </w:rPr>
      </w:pPr>
      <w:r w:rsidRPr="007B0913">
        <w:rPr>
          <w:rFonts w:ascii="Times New Roman" w:hAnsi="Times New Roman" w:cs="Times New Roman"/>
          <w:i/>
          <w:sz w:val="24"/>
          <w:szCs w:val="24"/>
        </w:rPr>
        <w:t xml:space="preserve">Section 24 </w:t>
      </w:r>
      <w:r w:rsidR="007C4ACF" w:rsidRPr="007B0913">
        <w:rPr>
          <w:rFonts w:ascii="Times New Roman" w:hAnsi="Times New Roman" w:cs="Times New Roman"/>
          <w:i/>
          <w:sz w:val="24"/>
          <w:szCs w:val="24"/>
        </w:rPr>
        <w:t>–</w:t>
      </w:r>
      <w:r w:rsidRPr="007B0913">
        <w:rPr>
          <w:rFonts w:ascii="Times New Roman" w:hAnsi="Times New Roman" w:cs="Times New Roman"/>
          <w:i/>
          <w:sz w:val="24"/>
          <w:szCs w:val="24"/>
        </w:rPr>
        <w:t xml:space="preserve"> </w:t>
      </w:r>
      <w:r w:rsidR="007C4ACF" w:rsidRPr="007B0913">
        <w:rPr>
          <w:rFonts w:ascii="Times New Roman" w:hAnsi="Times New Roman" w:cs="Times New Roman"/>
          <w:i/>
          <w:sz w:val="24"/>
          <w:szCs w:val="24"/>
        </w:rPr>
        <w:t>‘Fair Hearing’</w:t>
      </w:r>
      <w:r w:rsidR="00C05ECC" w:rsidRPr="007B0913">
        <w:rPr>
          <w:rStyle w:val="FootnoteReference"/>
          <w:rFonts w:ascii="Times New Roman" w:hAnsi="Times New Roman" w:cs="Times New Roman"/>
          <w:sz w:val="24"/>
          <w:szCs w:val="24"/>
        </w:rPr>
        <w:footnoteReference w:id="14"/>
      </w:r>
    </w:p>
    <w:p w14:paraId="65D2C6FC" w14:textId="2C6FF1D8" w:rsidR="007C4ACF" w:rsidRPr="007B0913" w:rsidRDefault="007C4ACF" w:rsidP="006B2E41">
      <w:pPr>
        <w:spacing w:line="360" w:lineRule="auto"/>
        <w:ind w:left="720"/>
        <w:jc w:val="both"/>
        <w:rPr>
          <w:rFonts w:ascii="Times New Roman" w:hAnsi="Times New Roman" w:cs="Times New Roman"/>
          <w:i/>
          <w:sz w:val="24"/>
          <w:szCs w:val="24"/>
        </w:rPr>
      </w:pPr>
      <w:r w:rsidRPr="007B0913">
        <w:rPr>
          <w:rFonts w:ascii="Times New Roman" w:hAnsi="Times New Roman" w:cs="Times New Roman"/>
          <w:sz w:val="24"/>
          <w:szCs w:val="24"/>
        </w:rPr>
        <w:t xml:space="preserve">Section 24(1) provides that a person charged with a criminal offence has the right to have the charge decided by a competent, independent and impartial court after a fair and public hearing.  </w:t>
      </w:r>
    </w:p>
    <w:p w14:paraId="43CC282A" w14:textId="7B8087AA" w:rsidR="00AE4942" w:rsidRPr="007B0913" w:rsidRDefault="00AE4942" w:rsidP="006B2E41">
      <w:pPr>
        <w:spacing w:line="360" w:lineRule="auto"/>
        <w:jc w:val="both"/>
        <w:rPr>
          <w:rFonts w:ascii="Times New Roman" w:hAnsi="Times New Roman" w:cs="Times New Roman"/>
          <w:sz w:val="24"/>
          <w:szCs w:val="24"/>
        </w:rPr>
      </w:pPr>
      <w:r w:rsidRPr="007B0913">
        <w:rPr>
          <w:rFonts w:ascii="Times New Roman" w:hAnsi="Times New Roman" w:cs="Times New Roman"/>
          <w:i/>
          <w:sz w:val="24"/>
          <w:szCs w:val="24"/>
        </w:rPr>
        <w:t>Section 25 – ‘</w:t>
      </w:r>
      <w:r w:rsidR="007C4ACF" w:rsidRPr="007B0913">
        <w:rPr>
          <w:rFonts w:ascii="Times New Roman" w:hAnsi="Times New Roman" w:cs="Times New Roman"/>
          <w:i/>
          <w:sz w:val="24"/>
          <w:szCs w:val="24"/>
        </w:rPr>
        <w:t xml:space="preserve">Rights in criminal proceedings’ </w:t>
      </w:r>
    </w:p>
    <w:p w14:paraId="6B4419C1" w14:textId="77777777" w:rsidR="00EF43C9" w:rsidRPr="007B0913" w:rsidRDefault="00EF43C9" w:rsidP="006B2E41">
      <w:pPr>
        <w:spacing w:line="360" w:lineRule="auto"/>
        <w:ind w:left="720"/>
        <w:jc w:val="both"/>
        <w:rPr>
          <w:rFonts w:ascii="Times New Roman" w:hAnsi="Times New Roman" w:cs="Times New Roman"/>
          <w:sz w:val="24"/>
          <w:szCs w:val="24"/>
        </w:rPr>
      </w:pPr>
      <w:r w:rsidRPr="007B0913">
        <w:rPr>
          <w:rFonts w:ascii="Times New Roman" w:hAnsi="Times New Roman" w:cs="Times New Roman"/>
          <w:sz w:val="24"/>
          <w:szCs w:val="24"/>
        </w:rPr>
        <w:t xml:space="preserve">Section 25(1) provides that a person charged with a criminal offence has </w:t>
      </w:r>
      <w:r w:rsidR="00D65320" w:rsidRPr="007B0913">
        <w:rPr>
          <w:rFonts w:ascii="Times New Roman" w:hAnsi="Times New Roman" w:cs="Times New Roman"/>
          <w:sz w:val="24"/>
          <w:szCs w:val="24"/>
        </w:rPr>
        <w:t>to be presumed innocent until</w:t>
      </w:r>
      <w:r w:rsidRPr="007B0913">
        <w:rPr>
          <w:rFonts w:ascii="Times New Roman" w:hAnsi="Times New Roman" w:cs="Times New Roman"/>
          <w:sz w:val="24"/>
          <w:szCs w:val="24"/>
        </w:rPr>
        <w:t xml:space="preserve"> proved guilty according to law.</w:t>
      </w:r>
    </w:p>
    <w:p w14:paraId="001F5845" w14:textId="15C784CE" w:rsidR="00864B13" w:rsidRPr="007B0913" w:rsidRDefault="00EF43C9" w:rsidP="006B2E41">
      <w:pPr>
        <w:spacing w:line="360" w:lineRule="auto"/>
        <w:ind w:left="720"/>
        <w:jc w:val="both"/>
        <w:rPr>
          <w:rFonts w:ascii="Times New Roman" w:hAnsi="Times New Roman" w:cs="Times New Roman"/>
          <w:sz w:val="24"/>
          <w:szCs w:val="24"/>
        </w:rPr>
      </w:pPr>
      <w:r w:rsidRPr="007B0913">
        <w:rPr>
          <w:rFonts w:ascii="Times New Roman" w:hAnsi="Times New Roman" w:cs="Times New Roman"/>
          <w:sz w:val="24"/>
          <w:szCs w:val="24"/>
        </w:rPr>
        <w:t>Section 25(2) provides that a person charged with a criminal offence is entitled to what are described as a series of ‘minimum guarantees’.  These include the right</w:t>
      </w:r>
      <w:r w:rsidR="003A451D" w:rsidRPr="007B0913">
        <w:rPr>
          <w:rFonts w:ascii="Times New Roman" w:hAnsi="Times New Roman" w:cs="Times New Roman"/>
          <w:sz w:val="24"/>
          <w:szCs w:val="24"/>
        </w:rPr>
        <w:t xml:space="preserve"> </w:t>
      </w:r>
      <w:r w:rsidR="00D65320" w:rsidRPr="007B0913">
        <w:rPr>
          <w:rFonts w:ascii="Times New Roman" w:hAnsi="Times New Roman" w:cs="Times New Roman"/>
          <w:sz w:val="24"/>
          <w:szCs w:val="24"/>
        </w:rPr>
        <w:t>to be informed promptly and in detail of the nature and reason</w:t>
      </w:r>
      <w:r w:rsidRPr="007B0913">
        <w:rPr>
          <w:rFonts w:ascii="Times New Roman" w:hAnsi="Times New Roman" w:cs="Times New Roman"/>
          <w:sz w:val="24"/>
          <w:szCs w:val="24"/>
        </w:rPr>
        <w:t xml:space="preserve"> for the charge; </w:t>
      </w:r>
      <w:r w:rsidR="00715773" w:rsidRPr="007B0913">
        <w:rPr>
          <w:rFonts w:ascii="Times New Roman" w:hAnsi="Times New Roman" w:cs="Times New Roman"/>
          <w:sz w:val="24"/>
          <w:szCs w:val="24"/>
        </w:rPr>
        <w:t xml:space="preserve">the right </w:t>
      </w:r>
      <w:r w:rsidR="00D65320" w:rsidRPr="007B0913">
        <w:rPr>
          <w:rFonts w:ascii="Times New Roman" w:hAnsi="Times New Roman" w:cs="Times New Roman"/>
          <w:sz w:val="24"/>
          <w:szCs w:val="24"/>
        </w:rPr>
        <w:t xml:space="preserve">to have adequate time and facilities to prepare a defence and to communicate with a lawyer or </w:t>
      </w:r>
      <w:r w:rsidRPr="007B0913">
        <w:rPr>
          <w:rFonts w:ascii="Times New Roman" w:hAnsi="Times New Roman" w:cs="Times New Roman"/>
          <w:sz w:val="24"/>
          <w:szCs w:val="24"/>
        </w:rPr>
        <w:t>adviser of the accused’s choice;</w:t>
      </w:r>
      <w:r w:rsidR="00D65320" w:rsidRPr="007B0913">
        <w:rPr>
          <w:rFonts w:ascii="Times New Roman" w:hAnsi="Times New Roman" w:cs="Times New Roman"/>
          <w:sz w:val="24"/>
          <w:szCs w:val="24"/>
        </w:rPr>
        <w:t xml:space="preserve"> the right to be tr</w:t>
      </w:r>
      <w:r w:rsidRPr="007B0913">
        <w:rPr>
          <w:rFonts w:ascii="Times New Roman" w:hAnsi="Times New Roman" w:cs="Times New Roman"/>
          <w:sz w:val="24"/>
          <w:szCs w:val="24"/>
        </w:rPr>
        <w:t xml:space="preserve">ied without unreasonable delay; </w:t>
      </w:r>
      <w:r w:rsidR="00D65320" w:rsidRPr="007B0913">
        <w:rPr>
          <w:rFonts w:ascii="Times New Roman" w:hAnsi="Times New Roman" w:cs="Times New Roman"/>
          <w:sz w:val="24"/>
          <w:szCs w:val="24"/>
        </w:rPr>
        <w:t>the right to be provide</w:t>
      </w:r>
      <w:r w:rsidR="00A621AC" w:rsidRPr="007B0913">
        <w:rPr>
          <w:rFonts w:ascii="Times New Roman" w:hAnsi="Times New Roman" w:cs="Times New Roman"/>
          <w:sz w:val="24"/>
          <w:szCs w:val="24"/>
        </w:rPr>
        <w:t>d, if eligible, with legal a</w:t>
      </w:r>
      <w:r w:rsidR="00715773" w:rsidRPr="007B0913">
        <w:rPr>
          <w:rFonts w:ascii="Times New Roman" w:hAnsi="Times New Roman" w:cs="Times New Roman"/>
          <w:sz w:val="24"/>
          <w:szCs w:val="24"/>
        </w:rPr>
        <w:t>id</w:t>
      </w:r>
      <w:r w:rsidRPr="007B0913">
        <w:rPr>
          <w:rFonts w:ascii="Times New Roman" w:hAnsi="Times New Roman" w:cs="Times New Roman"/>
          <w:sz w:val="24"/>
          <w:szCs w:val="24"/>
        </w:rPr>
        <w:t xml:space="preserve">; </w:t>
      </w:r>
      <w:r w:rsidR="00D65320" w:rsidRPr="007B0913">
        <w:rPr>
          <w:rFonts w:ascii="Times New Roman" w:hAnsi="Times New Roman" w:cs="Times New Roman"/>
          <w:sz w:val="24"/>
          <w:szCs w:val="24"/>
        </w:rPr>
        <w:t>the right to examine, or have examined, witnesses against him or her unless</w:t>
      </w:r>
      <w:r w:rsidRPr="007B0913">
        <w:rPr>
          <w:rFonts w:ascii="Times New Roman" w:hAnsi="Times New Roman" w:cs="Times New Roman"/>
          <w:sz w:val="24"/>
          <w:szCs w:val="24"/>
        </w:rPr>
        <w:t xml:space="preserve"> otherwise provided for by law; </w:t>
      </w:r>
      <w:r w:rsidR="00D65320" w:rsidRPr="007B0913">
        <w:rPr>
          <w:rFonts w:ascii="Times New Roman" w:hAnsi="Times New Roman" w:cs="Times New Roman"/>
          <w:sz w:val="24"/>
          <w:szCs w:val="24"/>
        </w:rPr>
        <w:t>and the right not to be compelled to tes</w:t>
      </w:r>
      <w:r w:rsidR="00864B13" w:rsidRPr="007B0913">
        <w:rPr>
          <w:rFonts w:ascii="Times New Roman" w:hAnsi="Times New Roman" w:cs="Times New Roman"/>
          <w:sz w:val="24"/>
          <w:szCs w:val="24"/>
        </w:rPr>
        <w:t xml:space="preserve">tify against himself or herself, </w:t>
      </w:r>
      <w:r w:rsidR="00D65320" w:rsidRPr="007B0913">
        <w:rPr>
          <w:rFonts w:ascii="Times New Roman" w:hAnsi="Times New Roman" w:cs="Times New Roman"/>
          <w:sz w:val="24"/>
          <w:szCs w:val="24"/>
        </w:rPr>
        <w:t xml:space="preserve">or to confess guilt.  </w:t>
      </w:r>
    </w:p>
    <w:p w14:paraId="528CB802" w14:textId="44900926" w:rsidR="00AA49B6" w:rsidRPr="007B0913" w:rsidRDefault="00D65320" w:rsidP="006B2E41">
      <w:pPr>
        <w:spacing w:line="360" w:lineRule="auto"/>
        <w:ind w:left="720"/>
        <w:jc w:val="both"/>
        <w:rPr>
          <w:rFonts w:ascii="Times New Roman" w:hAnsi="Times New Roman" w:cs="Times New Roman"/>
          <w:sz w:val="24"/>
          <w:szCs w:val="24"/>
        </w:rPr>
      </w:pPr>
      <w:r w:rsidRPr="007B0913">
        <w:rPr>
          <w:rFonts w:ascii="Times New Roman" w:hAnsi="Times New Roman" w:cs="Times New Roman"/>
          <w:sz w:val="24"/>
          <w:szCs w:val="24"/>
        </w:rPr>
        <w:lastRenderedPageBreak/>
        <w:t xml:space="preserve">In addition, </w:t>
      </w:r>
      <w:r w:rsidR="00864B13" w:rsidRPr="007B0913">
        <w:rPr>
          <w:rFonts w:ascii="Times New Roman" w:hAnsi="Times New Roman" w:cs="Times New Roman"/>
          <w:sz w:val="24"/>
          <w:szCs w:val="24"/>
        </w:rPr>
        <w:t xml:space="preserve">pursuant to s 25(4), </w:t>
      </w:r>
      <w:r w:rsidRPr="007B0913">
        <w:rPr>
          <w:rFonts w:ascii="Times New Roman" w:hAnsi="Times New Roman" w:cs="Times New Roman"/>
          <w:sz w:val="24"/>
          <w:szCs w:val="24"/>
        </w:rPr>
        <w:t xml:space="preserve">any person convicted of a criminal offence has the right to have the conviction, and any sentence imposed in respect of it, reviewed by a higher court in accordance with law.  </w:t>
      </w:r>
    </w:p>
    <w:p w14:paraId="64BBD9EF" w14:textId="0C15A89C" w:rsidR="00864B13" w:rsidRPr="007B0913" w:rsidRDefault="00864B13" w:rsidP="006B2E41">
      <w:pPr>
        <w:spacing w:line="360" w:lineRule="auto"/>
        <w:jc w:val="both"/>
        <w:rPr>
          <w:rFonts w:ascii="Times New Roman" w:hAnsi="Times New Roman" w:cs="Times New Roman"/>
          <w:sz w:val="24"/>
          <w:szCs w:val="24"/>
        </w:rPr>
      </w:pPr>
      <w:r w:rsidRPr="007B0913">
        <w:rPr>
          <w:rFonts w:ascii="Times New Roman" w:hAnsi="Times New Roman" w:cs="Times New Roman"/>
          <w:i/>
          <w:sz w:val="24"/>
          <w:szCs w:val="24"/>
        </w:rPr>
        <w:t>Section 26 – ‘</w:t>
      </w:r>
      <w:r w:rsidR="008F0E1E" w:rsidRPr="007B0913">
        <w:rPr>
          <w:rFonts w:ascii="Times New Roman" w:hAnsi="Times New Roman" w:cs="Times New Roman"/>
          <w:i/>
          <w:sz w:val="24"/>
          <w:szCs w:val="24"/>
        </w:rPr>
        <w:t xml:space="preserve">Right not to be tried or punished more than once’ </w:t>
      </w:r>
    </w:p>
    <w:p w14:paraId="7B7BF785" w14:textId="40601B4B" w:rsidR="00D65320" w:rsidRPr="007B0913" w:rsidRDefault="00F817BE" w:rsidP="006B2E41">
      <w:pPr>
        <w:spacing w:line="360" w:lineRule="auto"/>
        <w:ind w:left="720"/>
        <w:jc w:val="both"/>
        <w:rPr>
          <w:rFonts w:ascii="Times New Roman" w:hAnsi="Times New Roman" w:cs="Times New Roman"/>
          <w:sz w:val="24"/>
          <w:szCs w:val="24"/>
        </w:rPr>
      </w:pPr>
      <w:r w:rsidRPr="007B0913">
        <w:rPr>
          <w:rFonts w:ascii="Times New Roman" w:hAnsi="Times New Roman" w:cs="Times New Roman"/>
          <w:sz w:val="24"/>
          <w:szCs w:val="24"/>
        </w:rPr>
        <w:t>Section 26 provides that</w:t>
      </w:r>
      <w:r w:rsidR="00F760CD" w:rsidRPr="007B0913">
        <w:rPr>
          <w:rFonts w:ascii="Times New Roman" w:hAnsi="Times New Roman" w:cs="Times New Roman"/>
          <w:sz w:val="24"/>
          <w:szCs w:val="24"/>
        </w:rPr>
        <w:t xml:space="preserve"> </w:t>
      </w:r>
      <w:r w:rsidRPr="007B0913">
        <w:rPr>
          <w:rFonts w:ascii="Times New Roman" w:hAnsi="Times New Roman" w:cs="Times New Roman"/>
          <w:sz w:val="24"/>
          <w:szCs w:val="24"/>
        </w:rPr>
        <w:t>a person may not be subjected to double jeopardy</w:t>
      </w:r>
      <w:r w:rsidR="001056EF" w:rsidRPr="007B0913">
        <w:rPr>
          <w:rFonts w:ascii="Times New Roman" w:hAnsi="Times New Roman" w:cs="Times New Roman"/>
          <w:sz w:val="24"/>
          <w:szCs w:val="24"/>
        </w:rPr>
        <w:t xml:space="preserve"> or double punishment</w:t>
      </w:r>
      <w:r w:rsidR="00F760CD" w:rsidRPr="007B0913">
        <w:rPr>
          <w:rFonts w:ascii="Times New Roman" w:hAnsi="Times New Roman" w:cs="Times New Roman"/>
          <w:sz w:val="24"/>
          <w:szCs w:val="24"/>
        </w:rPr>
        <w:t xml:space="preserve"> once convicted or acquitted according to law</w:t>
      </w:r>
      <w:r w:rsidR="001056EF" w:rsidRPr="007B0913">
        <w:rPr>
          <w:rFonts w:ascii="Times New Roman" w:hAnsi="Times New Roman" w:cs="Times New Roman"/>
          <w:sz w:val="24"/>
          <w:szCs w:val="24"/>
        </w:rPr>
        <w:t>.</w:t>
      </w:r>
    </w:p>
    <w:p w14:paraId="35F22118" w14:textId="37FAFFBC" w:rsidR="008F0E1E" w:rsidRPr="007B0913" w:rsidRDefault="008F0E1E" w:rsidP="006B2E41">
      <w:pPr>
        <w:spacing w:line="360" w:lineRule="auto"/>
        <w:jc w:val="both"/>
        <w:rPr>
          <w:rFonts w:ascii="Times New Roman" w:hAnsi="Times New Roman" w:cs="Times New Roman"/>
          <w:sz w:val="24"/>
          <w:szCs w:val="24"/>
        </w:rPr>
      </w:pPr>
      <w:r w:rsidRPr="007B0913">
        <w:rPr>
          <w:rFonts w:ascii="Times New Roman" w:hAnsi="Times New Roman" w:cs="Times New Roman"/>
          <w:i/>
          <w:sz w:val="24"/>
          <w:szCs w:val="24"/>
        </w:rPr>
        <w:t>Section 27 – ‘</w:t>
      </w:r>
      <w:r w:rsidR="00BE7616" w:rsidRPr="007B0913">
        <w:rPr>
          <w:rFonts w:ascii="Times New Roman" w:hAnsi="Times New Roman" w:cs="Times New Roman"/>
          <w:i/>
          <w:sz w:val="24"/>
          <w:szCs w:val="24"/>
        </w:rPr>
        <w:t xml:space="preserve">Retrospective criminal laws’ </w:t>
      </w:r>
    </w:p>
    <w:p w14:paraId="2A399B1D" w14:textId="77777777" w:rsidR="00BE7616" w:rsidRPr="007B0913" w:rsidRDefault="00BE7616" w:rsidP="006B2E41">
      <w:pPr>
        <w:spacing w:line="360" w:lineRule="auto"/>
        <w:ind w:left="720"/>
        <w:jc w:val="both"/>
        <w:rPr>
          <w:rFonts w:ascii="Times New Roman" w:hAnsi="Times New Roman" w:cs="Times New Roman"/>
          <w:sz w:val="24"/>
          <w:szCs w:val="24"/>
        </w:rPr>
      </w:pPr>
      <w:r w:rsidRPr="007B0913">
        <w:rPr>
          <w:rFonts w:ascii="Times New Roman" w:hAnsi="Times New Roman" w:cs="Times New Roman"/>
          <w:sz w:val="24"/>
          <w:szCs w:val="24"/>
        </w:rPr>
        <w:t xml:space="preserve">Section 27(1) </w:t>
      </w:r>
      <w:r w:rsidR="00EE2924" w:rsidRPr="007B0913">
        <w:rPr>
          <w:rFonts w:ascii="Times New Roman" w:hAnsi="Times New Roman" w:cs="Times New Roman"/>
          <w:sz w:val="24"/>
          <w:szCs w:val="24"/>
        </w:rPr>
        <w:t>provides that a person must not be found guilty of a criminal offence bec</w:t>
      </w:r>
      <w:r w:rsidRPr="007B0913">
        <w:rPr>
          <w:rFonts w:ascii="Times New Roman" w:hAnsi="Times New Roman" w:cs="Times New Roman"/>
          <w:sz w:val="24"/>
          <w:szCs w:val="24"/>
        </w:rPr>
        <w:t xml:space="preserve">ause of conduct that was not criminal </w:t>
      </w:r>
      <w:r w:rsidR="00EE2924" w:rsidRPr="007B0913">
        <w:rPr>
          <w:rFonts w:ascii="Times New Roman" w:hAnsi="Times New Roman" w:cs="Times New Roman"/>
          <w:sz w:val="24"/>
          <w:szCs w:val="24"/>
        </w:rPr>
        <w:t xml:space="preserve">when it was engaged in.  </w:t>
      </w:r>
    </w:p>
    <w:p w14:paraId="73C6F88C" w14:textId="192F9D88" w:rsidR="006919EE" w:rsidRPr="007B0913" w:rsidRDefault="00BE7616" w:rsidP="000440A7">
      <w:pPr>
        <w:spacing w:line="360" w:lineRule="auto"/>
        <w:ind w:left="720"/>
        <w:jc w:val="both"/>
        <w:rPr>
          <w:rFonts w:ascii="Times New Roman" w:hAnsi="Times New Roman" w:cs="Times New Roman"/>
          <w:sz w:val="24"/>
          <w:szCs w:val="24"/>
        </w:rPr>
      </w:pPr>
      <w:r w:rsidRPr="007B0913">
        <w:rPr>
          <w:rFonts w:ascii="Times New Roman" w:hAnsi="Times New Roman" w:cs="Times New Roman"/>
          <w:sz w:val="24"/>
          <w:szCs w:val="24"/>
        </w:rPr>
        <w:t xml:space="preserve">Section 27(2) provides that </w:t>
      </w:r>
      <w:r w:rsidR="00EE2924" w:rsidRPr="007B0913">
        <w:rPr>
          <w:rFonts w:ascii="Times New Roman" w:hAnsi="Times New Roman" w:cs="Times New Roman"/>
          <w:sz w:val="24"/>
          <w:szCs w:val="24"/>
        </w:rPr>
        <w:t xml:space="preserve">a penalty must not be imposed on any person for a criminal offence that is greater than the penalty that applied to the offence when it was committed. </w:t>
      </w:r>
    </w:p>
    <w:p w14:paraId="5380D6F3" w14:textId="569835E5" w:rsidR="00547FC6" w:rsidRPr="006919EE" w:rsidRDefault="00547FC6" w:rsidP="006B2E41">
      <w:pPr>
        <w:spacing w:line="360" w:lineRule="auto"/>
        <w:jc w:val="both"/>
        <w:rPr>
          <w:rFonts w:ascii="Times New Roman" w:hAnsi="Times New Roman" w:cs="Times New Roman"/>
          <w:sz w:val="24"/>
          <w:szCs w:val="24"/>
        </w:rPr>
      </w:pPr>
      <w:r w:rsidRPr="006919EE">
        <w:rPr>
          <w:rFonts w:ascii="Times New Roman" w:hAnsi="Times New Roman" w:cs="Times New Roman"/>
          <w:b/>
          <w:sz w:val="24"/>
          <w:szCs w:val="24"/>
        </w:rPr>
        <w:t xml:space="preserve">Legal </w:t>
      </w:r>
      <w:r w:rsidR="00C21371" w:rsidRPr="006919EE">
        <w:rPr>
          <w:rFonts w:ascii="Times New Roman" w:hAnsi="Times New Roman" w:cs="Times New Roman"/>
          <w:b/>
          <w:sz w:val="24"/>
          <w:szCs w:val="24"/>
        </w:rPr>
        <w:t>Sanctions</w:t>
      </w:r>
      <w:r w:rsidRPr="006919EE">
        <w:rPr>
          <w:rFonts w:ascii="Times New Roman" w:hAnsi="Times New Roman" w:cs="Times New Roman"/>
          <w:b/>
          <w:sz w:val="24"/>
          <w:szCs w:val="24"/>
        </w:rPr>
        <w:t xml:space="preserve"> for Breaches of the Charter </w:t>
      </w:r>
    </w:p>
    <w:p w14:paraId="4F8B7212" w14:textId="225BD9BF" w:rsidR="00BE7616" w:rsidRPr="007B0913" w:rsidRDefault="00756427"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As previously indicated, when the Charter </w:t>
      </w:r>
      <w:r w:rsidR="009D5422" w:rsidRPr="007B0913">
        <w:rPr>
          <w:rFonts w:ascii="Times New Roman" w:hAnsi="Times New Roman" w:cs="Times New Roman"/>
          <w:sz w:val="24"/>
          <w:szCs w:val="24"/>
        </w:rPr>
        <w:t xml:space="preserve">was </w:t>
      </w:r>
      <w:r w:rsidR="00E53118" w:rsidRPr="007B0913">
        <w:rPr>
          <w:rFonts w:ascii="Times New Roman" w:hAnsi="Times New Roman" w:cs="Times New Roman"/>
          <w:sz w:val="24"/>
          <w:szCs w:val="24"/>
        </w:rPr>
        <w:t xml:space="preserve">initially being planned, </w:t>
      </w:r>
      <w:r w:rsidRPr="007B0913">
        <w:rPr>
          <w:rFonts w:ascii="Times New Roman" w:hAnsi="Times New Roman" w:cs="Times New Roman"/>
          <w:sz w:val="24"/>
          <w:szCs w:val="24"/>
        </w:rPr>
        <w:t xml:space="preserve">it </w:t>
      </w:r>
      <w:r w:rsidR="00BE7616" w:rsidRPr="007B0913">
        <w:rPr>
          <w:rFonts w:ascii="Times New Roman" w:hAnsi="Times New Roman" w:cs="Times New Roman"/>
          <w:sz w:val="24"/>
          <w:szCs w:val="24"/>
        </w:rPr>
        <w:t>was</w:t>
      </w:r>
      <w:r w:rsidR="00EF00C9" w:rsidRPr="007B0913">
        <w:rPr>
          <w:rFonts w:ascii="Times New Roman" w:hAnsi="Times New Roman" w:cs="Times New Roman"/>
          <w:sz w:val="24"/>
          <w:szCs w:val="24"/>
        </w:rPr>
        <w:t xml:space="preserve"> </w:t>
      </w:r>
      <w:r w:rsidR="00E53118" w:rsidRPr="007B0913">
        <w:rPr>
          <w:rFonts w:ascii="Times New Roman" w:hAnsi="Times New Roman" w:cs="Times New Roman"/>
          <w:sz w:val="24"/>
          <w:szCs w:val="24"/>
        </w:rPr>
        <w:t>a</w:t>
      </w:r>
      <w:r w:rsidR="00BE7616" w:rsidRPr="007B0913">
        <w:rPr>
          <w:rFonts w:ascii="Times New Roman" w:hAnsi="Times New Roman" w:cs="Times New Roman"/>
          <w:sz w:val="24"/>
          <w:szCs w:val="24"/>
        </w:rPr>
        <w:t xml:space="preserve">nticipated </w:t>
      </w:r>
      <w:r w:rsidR="002538FD" w:rsidRPr="007B0913">
        <w:rPr>
          <w:rFonts w:ascii="Times New Roman" w:hAnsi="Times New Roman" w:cs="Times New Roman"/>
          <w:sz w:val="24"/>
          <w:szCs w:val="24"/>
        </w:rPr>
        <w:t xml:space="preserve">that </w:t>
      </w:r>
      <w:r w:rsidR="005D6800" w:rsidRPr="007B0913">
        <w:rPr>
          <w:rFonts w:ascii="Times New Roman" w:hAnsi="Times New Roman" w:cs="Times New Roman"/>
          <w:sz w:val="24"/>
          <w:szCs w:val="24"/>
        </w:rPr>
        <w:t xml:space="preserve">the various rights </w:t>
      </w:r>
      <w:r w:rsidR="00BA1DA9" w:rsidRPr="007B0913">
        <w:rPr>
          <w:rFonts w:ascii="Times New Roman" w:hAnsi="Times New Roman" w:cs="Times New Roman"/>
          <w:sz w:val="24"/>
          <w:szCs w:val="24"/>
        </w:rPr>
        <w:t>discussed above, in connection with the conduct of criminal proceedings,</w:t>
      </w:r>
      <w:r w:rsidR="005D6800" w:rsidRPr="007B0913">
        <w:rPr>
          <w:rFonts w:ascii="Times New Roman" w:hAnsi="Times New Roman" w:cs="Times New Roman"/>
          <w:sz w:val="24"/>
          <w:szCs w:val="24"/>
        </w:rPr>
        <w:t xml:space="preserve"> would </w:t>
      </w:r>
      <w:r w:rsidR="00BA1DA9" w:rsidRPr="007B0913">
        <w:rPr>
          <w:rFonts w:ascii="Times New Roman" w:hAnsi="Times New Roman" w:cs="Times New Roman"/>
          <w:sz w:val="24"/>
          <w:szCs w:val="24"/>
        </w:rPr>
        <w:t>be among those most frequently i</w:t>
      </w:r>
      <w:r w:rsidR="005D6800" w:rsidRPr="007B0913">
        <w:rPr>
          <w:rFonts w:ascii="Times New Roman" w:hAnsi="Times New Roman" w:cs="Times New Roman"/>
          <w:sz w:val="24"/>
          <w:szCs w:val="24"/>
        </w:rPr>
        <w:t xml:space="preserve">nvoked.  </w:t>
      </w:r>
      <w:r w:rsidR="006A6E2D" w:rsidRPr="007B0913">
        <w:rPr>
          <w:rFonts w:ascii="Times New Roman" w:hAnsi="Times New Roman" w:cs="Times New Roman"/>
          <w:sz w:val="24"/>
          <w:szCs w:val="24"/>
        </w:rPr>
        <w:t xml:space="preserve">After the introduction of the </w:t>
      </w:r>
      <w:r w:rsidR="003850B3" w:rsidRPr="007B0913">
        <w:rPr>
          <w:rFonts w:ascii="Times New Roman" w:hAnsi="Times New Roman" w:cs="Times New Roman"/>
          <w:sz w:val="24"/>
          <w:szCs w:val="24"/>
        </w:rPr>
        <w:t xml:space="preserve">Canadian Charter of Rights and Freedoms, </w:t>
      </w:r>
      <w:r w:rsidR="006A6E2D" w:rsidRPr="007B0913">
        <w:rPr>
          <w:rFonts w:ascii="Times New Roman" w:hAnsi="Times New Roman" w:cs="Times New Roman"/>
          <w:sz w:val="24"/>
          <w:szCs w:val="24"/>
        </w:rPr>
        <w:t xml:space="preserve">the </w:t>
      </w:r>
      <w:r w:rsidR="00E24425" w:rsidRPr="007B0913">
        <w:rPr>
          <w:rFonts w:ascii="Times New Roman" w:hAnsi="Times New Roman" w:cs="Times New Roman"/>
          <w:sz w:val="24"/>
          <w:szCs w:val="24"/>
        </w:rPr>
        <w:t xml:space="preserve">analogous provisions were, at least for a time, regularly utilised in such proceedings.  </w:t>
      </w:r>
      <w:r w:rsidR="009951DA" w:rsidRPr="007B0913">
        <w:rPr>
          <w:rFonts w:ascii="Times New Roman" w:hAnsi="Times New Roman" w:cs="Times New Roman"/>
          <w:sz w:val="24"/>
          <w:szCs w:val="24"/>
        </w:rPr>
        <w:t xml:space="preserve">I understand </w:t>
      </w:r>
      <w:r w:rsidR="00E24425" w:rsidRPr="007B0913">
        <w:rPr>
          <w:rFonts w:ascii="Times New Roman" w:hAnsi="Times New Roman" w:cs="Times New Roman"/>
          <w:sz w:val="24"/>
          <w:szCs w:val="24"/>
        </w:rPr>
        <w:t xml:space="preserve">that </w:t>
      </w:r>
      <w:r w:rsidR="009951DA" w:rsidRPr="007B0913">
        <w:rPr>
          <w:rFonts w:ascii="Times New Roman" w:hAnsi="Times New Roman" w:cs="Times New Roman"/>
          <w:sz w:val="24"/>
          <w:szCs w:val="24"/>
        </w:rPr>
        <w:t xml:space="preserve">the </w:t>
      </w:r>
      <w:r w:rsidR="00E24425" w:rsidRPr="007B0913">
        <w:rPr>
          <w:rFonts w:ascii="Times New Roman" w:hAnsi="Times New Roman" w:cs="Times New Roman"/>
          <w:sz w:val="24"/>
          <w:szCs w:val="24"/>
        </w:rPr>
        <w:t>same was true in both</w:t>
      </w:r>
      <w:r w:rsidR="009951DA" w:rsidRPr="007B0913">
        <w:rPr>
          <w:rFonts w:ascii="Times New Roman" w:hAnsi="Times New Roman" w:cs="Times New Roman"/>
          <w:sz w:val="24"/>
          <w:szCs w:val="24"/>
        </w:rPr>
        <w:t xml:space="preserve"> New Zealand and the United Kingdom.</w:t>
      </w:r>
      <w:r w:rsidR="00E24425" w:rsidRPr="007B0913">
        <w:rPr>
          <w:rStyle w:val="FootnoteReference"/>
          <w:rFonts w:ascii="Times New Roman" w:hAnsi="Times New Roman" w:cs="Times New Roman"/>
          <w:sz w:val="24"/>
          <w:szCs w:val="24"/>
        </w:rPr>
        <w:footnoteReference w:id="15"/>
      </w:r>
      <w:r w:rsidR="009951DA" w:rsidRPr="007B0913">
        <w:rPr>
          <w:rFonts w:ascii="Times New Roman" w:hAnsi="Times New Roman" w:cs="Times New Roman"/>
          <w:sz w:val="24"/>
          <w:szCs w:val="24"/>
        </w:rPr>
        <w:t xml:space="preserve">  </w:t>
      </w:r>
    </w:p>
    <w:p w14:paraId="09C74D9C" w14:textId="4F741A86" w:rsidR="00CB5744" w:rsidRPr="007B0913" w:rsidRDefault="00FD1C93"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In fact, </w:t>
      </w:r>
      <w:r w:rsidR="00F85684" w:rsidRPr="007B0913">
        <w:rPr>
          <w:rFonts w:ascii="Times New Roman" w:hAnsi="Times New Roman" w:cs="Times New Roman"/>
          <w:sz w:val="24"/>
          <w:szCs w:val="24"/>
        </w:rPr>
        <w:t xml:space="preserve">there have been </w:t>
      </w:r>
      <w:r w:rsidRPr="007B0913">
        <w:rPr>
          <w:rFonts w:ascii="Times New Roman" w:hAnsi="Times New Roman" w:cs="Times New Roman"/>
          <w:sz w:val="24"/>
          <w:szCs w:val="24"/>
        </w:rPr>
        <w:t xml:space="preserve">relatively few challenges </w:t>
      </w:r>
      <w:r w:rsidR="00365F17" w:rsidRPr="007B0913">
        <w:rPr>
          <w:rFonts w:ascii="Times New Roman" w:hAnsi="Times New Roman" w:cs="Times New Roman"/>
          <w:sz w:val="24"/>
          <w:szCs w:val="24"/>
        </w:rPr>
        <w:t xml:space="preserve">in Victoria </w:t>
      </w:r>
      <w:r w:rsidRPr="007B0913">
        <w:rPr>
          <w:rFonts w:ascii="Times New Roman" w:hAnsi="Times New Roman" w:cs="Times New Roman"/>
          <w:sz w:val="24"/>
          <w:szCs w:val="24"/>
        </w:rPr>
        <w:t>seeking to invoke these provisions</w:t>
      </w:r>
      <w:r w:rsidR="00F85684" w:rsidRPr="007B0913">
        <w:rPr>
          <w:rFonts w:ascii="Times New Roman" w:hAnsi="Times New Roman" w:cs="Times New Roman"/>
          <w:sz w:val="24"/>
          <w:szCs w:val="24"/>
        </w:rPr>
        <w:t xml:space="preserve">.  </w:t>
      </w:r>
      <w:r w:rsidR="00365F17" w:rsidRPr="007B0913">
        <w:rPr>
          <w:rFonts w:ascii="Times New Roman" w:hAnsi="Times New Roman" w:cs="Times New Roman"/>
          <w:sz w:val="24"/>
          <w:szCs w:val="24"/>
        </w:rPr>
        <w:t>As previously indicated, one</w:t>
      </w:r>
      <w:r w:rsidRPr="007B0913">
        <w:rPr>
          <w:rFonts w:ascii="Times New Roman" w:hAnsi="Times New Roman" w:cs="Times New Roman"/>
          <w:sz w:val="24"/>
          <w:szCs w:val="24"/>
        </w:rPr>
        <w:t xml:space="preserve"> </w:t>
      </w:r>
      <w:r w:rsidR="00432D63" w:rsidRPr="007B0913">
        <w:rPr>
          <w:rFonts w:ascii="Times New Roman" w:hAnsi="Times New Roman" w:cs="Times New Roman"/>
          <w:sz w:val="24"/>
          <w:szCs w:val="24"/>
        </w:rPr>
        <w:t>possible explanation</w:t>
      </w:r>
      <w:r w:rsidR="00365F17" w:rsidRPr="007B0913">
        <w:rPr>
          <w:rFonts w:ascii="Times New Roman" w:hAnsi="Times New Roman" w:cs="Times New Roman"/>
          <w:sz w:val="24"/>
          <w:szCs w:val="24"/>
        </w:rPr>
        <w:t xml:space="preserve"> for this</w:t>
      </w:r>
      <w:r w:rsidR="00432D63" w:rsidRPr="007B0913">
        <w:rPr>
          <w:rFonts w:ascii="Times New Roman" w:hAnsi="Times New Roman" w:cs="Times New Roman"/>
          <w:sz w:val="24"/>
          <w:szCs w:val="24"/>
        </w:rPr>
        <w:t xml:space="preserve"> lies in the fact that t</w:t>
      </w:r>
      <w:r w:rsidR="00C92216" w:rsidRPr="007B0913">
        <w:rPr>
          <w:rFonts w:ascii="Times New Roman" w:hAnsi="Times New Roman" w:cs="Times New Roman"/>
          <w:sz w:val="24"/>
          <w:szCs w:val="24"/>
        </w:rPr>
        <w:t>he Charter</w:t>
      </w:r>
      <w:r w:rsidR="00432D63" w:rsidRPr="007B0913">
        <w:rPr>
          <w:rFonts w:ascii="Times New Roman" w:hAnsi="Times New Roman" w:cs="Times New Roman"/>
          <w:sz w:val="24"/>
          <w:szCs w:val="24"/>
        </w:rPr>
        <w:t xml:space="preserve"> is</w:t>
      </w:r>
      <w:r w:rsidR="00865344" w:rsidRPr="007B0913">
        <w:rPr>
          <w:rFonts w:ascii="Times New Roman" w:hAnsi="Times New Roman" w:cs="Times New Roman"/>
          <w:sz w:val="24"/>
          <w:szCs w:val="24"/>
        </w:rPr>
        <w:t xml:space="preserve">, in practical terms, </w:t>
      </w:r>
      <w:r w:rsidRPr="007B0913">
        <w:rPr>
          <w:rFonts w:ascii="Times New Roman" w:hAnsi="Times New Roman" w:cs="Times New Roman"/>
          <w:sz w:val="24"/>
          <w:szCs w:val="24"/>
        </w:rPr>
        <w:t xml:space="preserve">devoid of any </w:t>
      </w:r>
      <w:r w:rsidR="00365F17" w:rsidRPr="007B0913">
        <w:rPr>
          <w:rFonts w:ascii="Times New Roman" w:hAnsi="Times New Roman" w:cs="Times New Roman"/>
          <w:sz w:val="24"/>
          <w:szCs w:val="24"/>
        </w:rPr>
        <w:t xml:space="preserve">effective </w:t>
      </w:r>
      <w:r w:rsidR="00CB5744" w:rsidRPr="007B0913">
        <w:rPr>
          <w:rFonts w:ascii="Times New Roman" w:hAnsi="Times New Roman" w:cs="Times New Roman"/>
          <w:sz w:val="24"/>
          <w:szCs w:val="24"/>
        </w:rPr>
        <w:t xml:space="preserve">remedial provisions for Charter breaches.  It is necessary, therefore, </w:t>
      </w:r>
      <w:r w:rsidR="00865344" w:rsidRPr="007B0913">
        <w:rPr>
          <w:rFonts w:ascii="Times New Roman" w:hAnsi="Times New Roman" w:cs="Times New Roman"/>
          <w:sz w:val="24"/>
          <w:szCs w:val="24"/>
        </w:rPr>
        <w:t xml:space="preserve">to say something briefly about the </w:t>
      </w:r>
      <w:r w:rsidR="00CB5744" w:rsidRPr="007B0913">
        <w:rPr>
          <w:rFonts w:ascii="Times New Roman" w:hAnsi="Times New Roman" w:cs="Times New Roman"/>
          <w:sz w:val="24"/>
          <w:szCs w:val="24"/>
        </w:rPr>
        <w:t>Charter’s remedial regime.</w:t>
      </w:r>
    </w:p>
    <w:p w14:paraId="36A952CD" w14:textId="481C7216" w:rsidR="00865344" w:rsidRPr="007B0913" w:rsidRDefault="00865344"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There are two key provisions</w:t>
      </w:r>
      <w:r w:rsidR="00955889" w:rsidRPr="007B0913">
        <w:rPr>
          <w:rFonts w:ascii="Times New Roman" w:hAnsi="Times New Roman" w:cs="Times New Roman"/>
          <w:sz w:val="24"/>
          <w:szCs w:val="24"/>
        </w:rPr>
        <w:t xml:space="preserve"> in that regard</w:t>
      </w:r>
      <w:r w:rsidRPr="007B0913">
        <w:rPr>
          <w:rFonts w:ascii="Times New Roman" w:hAnsi="Times New Roman" w:cs="Times New Roman"/>
          <w:sz w:val="24"/>
          <w:szCs w:val="24"/>
        </w:rPr>
        <w:t xml:space="preserve">.  </w:t>
      </w:r>
    </w:p>
    <w:p w14:paraId="1D74C950" w14:textId="44604388" w:rsidR="00865344" w:rsidRPr="007B0913" w:rsidRDefault="00C53550" w:rsidP="006B2E41">
      <w:pPr>
        <w:autoSpaceDE w:val="0"/>
        <w:autoSpaceDN w:val="0"/>
        <w:adjustRightInd w:val="0"/>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Specifically, s 38</w:t>
      </w:r>
      <w:r w:rsidR="00865344" w:rsidRPr="007B0913">
        <w:rPr>
          <w:rFonts w:ascii="Times New Roman" w:hAnsi="Times New Roman" w:cs="Times New Roman"/>
          <w:sz w:val="24"/>
          <w:szCs w:val="24"/>
        </w:rPr>
        <w:t xml:space="preserve"> which is headed ‘</w:t>
      </w:r>
      <w:r w:rsidRPr="007B0913">
        <w:rPr>
          <w:rFonts w:ascii="Times New Roman" w:hAnsi="Times New Roman" w:cs="Times New Roman"/>
          <w:sz w:val="24"/>
          <w:szCs w:val="24"/>
        </w:rPr>
        <w:t xml:space="preserve">Conduct of public authorities’ </w:t>
      </w:r>
      <w:r w:rsidR="00865344" w:rsidRPr="007B0913">
        <w:rPr>
          <w:rFonts w:ascii="Times New Roman" w:hAnsi="Times New Roman" w:cs="Times New Roman"/>
          <w:sz w:val="24"/>
          <w:szCs w:val="24"/>
        </w:rPr>
        <w:t>provides that it is unlawful for a ‘public authority’ to act in a way that is incompatible with a human right or, in making a decision, to fail to give proper consideration to a relevant human right. The term ‘public authority’ is defined in the Charter</w:t>
      </w:r>
      <w:r w:rsidR="00DD0786" w:rsidRPr="007B0913">
        <w:rPr>
          <w:rFonts w:ascii="Times New Roman" w:hAnsi="Times New Roman" w:cs="Times New Roman"/>
          <w:sz w:val="24"/>
          <w:szCs w:val="24"/>
        </w:rPr>
        <w:t>,</w:t>
      </w:r>
      <w:r w:rsidR="00865344" w:rsidRPr="007B0913">
        <w:rPr>
          <w:rFonts w:ascii="Times New Roman" w:hAnsi="Times New Roman" w:cs="Times New Roman"/>
          <w:sz w:val="24"/>
          <w:szCs w:val="24"/>
        </w:rPr>
        <w:t xml:space="preserve"> </w:t>
      </w:r>
      <w:r w:rsidR="00DD0786" w:rsidRPr="007B0913">
        <w:rPr>
          <w:rFonts w:ascii="Times New Roman" w:hAnsi="Times New Roman" w:cs="Times New Roman"/>
          <w:sz w:val="24"/>
          <w:szCs w:val="24"/>
        </w:rPr>
        <w:t xml:space="preserve">which includes </w:t>
      </w:r>
      <w:r w:rsidR="00865344" w:rsidRPr="007B0913">
        <w:rPr>
          <w:rFonts w:ascii="Times New Roman" w:hAnsi="Times New Roman" w:cs="Times New Roman"/>
          <w:sz w:val="24"/>
          <w:szCs w:val="24"/>
        </w:rPr>
        <w:t xml:space="preserve">a public official or </w:t>
      </w:r>
      <w:r w:rsidR="00DD0786" w:rsidRPr="007B0913">
        <w:rPr>
          <w:rFonts w:ascii="Times New Roman" w:hAnsi="Times New Roman" w:cs="Times New Roman"/>
          <w:sz w:val="24"/>
          <w:szCs w:val="24"/>
        </w:rPr>
        <w:t>‘</w:t>
      </w:r>
      <w:r w:rsidR="00865344" w:rsidRPr="007B0913">
        <w:rPr>
          <w:rFonts w:ascii="Times New Roman" w:hAnsi="Times New Roman" w:cs="Times New Roman"/>
          <w:sz w:val="24"/>
          <w:szCs w:val="24"/>
        </w:rPr>
        <w:t xml:space="preserve">entity </w:t>
      </w:r>
      <w:r w:rsidR="00865344" w:rsidRPr="007B0913">
        <w:rPr>
          <w:rFonts w:ascii="Times New Roman" w:hAnsi="Times New Roman" w:cs="Times New Roman"/>
          <w:sz w:val="24"/>
          <w:szCs w:val="24"/>
        </w:rPr>
        <w:lastRenderedPageBreak/>
        <w:t xml:space="preserve">established by a statutory provision that has functions of a public nature’, and extends to police officers, </w:t>
      </w:r>
      <w:r w:rsidR="00965566" w:rsidRPr="007B0913">
        <w:rPr>
          <w:rFonts w:ascii="Times New Roman" w:hAnsi="Times New Roman" w:cs="Times New Roman"/>
          <w:sz w:val="24"/>
          <w:szCs w:val="24"/>
        </w:rPr>
        <w:t xml:space="preserve">local councils, and government </w:t>
      </w:r>
      <w:r w:rsidR="001D7D35" w:rsidRPr="007B0913">
        <w:rPr>
          <w:rFonts w:ascii="Times New Roman" w:hAnsi="Times New Roman" w:cs="Times New Roman"/>
          <w:sz w:val="24"/>
          <w:szCs w:val="24"/>
        </w:rPr>
        <w:t>m</w:t>
      </w:r>
      <w:r w:rsidR="00865344" w:rsidRPr="007B0913">
        <w:rPr>
          <w:rFonts w:ascii="Times New Roman" w:hAnsi="Times New Roman" w:cs="Times New Roman"/>
          <w:sz w:val="24"/>
          <w:szCs w:val="24"/>
        </w:rPr>
        <w:t>inisters.</w:t>
      </w:r>
      <w:r w:rsidRPr="007B0913">
        <w:rPr>
          <w:rStyle w:val="FootnoteReference"/>
          <w:rFonts w:ascii="Times New Roman" w:hAnsi="Times New Roman" w:cs="Times New Roman"/>
          <w:sz w:val="24"/>
          <w:szCs w:val="24"/>
        </w:rPr>
        <w:footnoteReference w:id="16"/>
      </w:r>
      <w:r w:rsidR="00865344" w:rsidRPr="007B0913">
        <w:rPr>
          <w:rFonts w:ascii="Times New Roman" w:hAnsi="Times New Roman" w:cs="Times New Roman"/>
          <w:sz w:val="24"/>
          <w:szCs w:val="24"/>
        </w:rPr>
        <w:t xml:space="preserve">  It does not, however, embrace courts and tribunals except when acting in an administrative capacity.</w:t>
      </w:r>
      <w:r w:rsidR="00DD0786" w:rsidRPr="007B0913">
        <w:rPr>
          <w:rStyle w:val="FootnoteReference"/>
          <w:rFonts w:ascii="Times New Roman" w:hAnsi="Times New Roman" w:cs="Times New Roman"/>
          <w:sz w:val="24"/>
          <w:szCs w:val="24"/>
        </w:rPr>
        <w:footnoteReference w:id="17"/>
      </w:r>
      <w:r w:rsidR="00865344" w:rsidRPr="007B0913">
        <w:rPr>
          <w:rFonts w:ascii="Times New Roman" w:hAnsi="Times New Roman" w:cs="Times New Roman"/>
          <w:sz w:val="24"/>
          <w:szCs w:val="24"/>
        </w:rPr>
        <w:t xml:space="preserve">   </w:t>
      </w:r>
    </w:p>
    <w:p w14:paraId="3DE82C4A" w14:textId="0F7253FE" w:rsidR="00865344" w:rsidRPr="007B0913" w:rsidRDefault="00865344" w:rsidP="00886F9F">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Section 39 is headed ‘Legal proceedings’.  That section provides that where, outside the realm of the Charter, a person may seek any relief or remedy in respect of an act or decision of a ‘public authority’, that person may also seek that relief or remedy on a ground of unlawfulness arising because of the Charter.  </w:t>
      </w:r>
      <w:r w:rsidR="00886F9F" w:rsidRPr="007B0913">
        <w:rPr>
          <w:rFonts w:ascii="Times New Roman" w:hAnsi="Times New Roman" w:cs="Times New Roman"/>
          <w:sz w:val="24"/>
          <w:szCs w:val="24"/>
        </w:rPr>
        <w:t>The section</w:t>
      </w:r>
      <w:r w:rsidRPr="007B0913">
        <w:rPr>
          <w:rFonts w:ascii="Times New Roman" w:hAnsi="Times New Roman" w:cs="Times New Roman"/>
          <w:sz w:val="24"/>
          <w:szCs w:val="24"/>
        </w:rPr>
        <w:t xml:space="preserve"> goes on to provide that a person is not entitled to be awarded any damages because of a breach of the Charter.</w:t>
      </w:r>
      <w:r w:rsidR="00A04823" w:rsidRPr="007B0913">
        <w:rPr>
          <w:rStyle w:val="FootnoteReference"/>
          <w:rFonts w:ascii="Times New Roman" w:hAnsi="Times New Roman" w:cs="Times New Roman"/>
          <w:sz w:val="24"/>
          <w:szCs w:val="24"/>
        </w:rPr>
        <w:footnoteReference w:id="18"/>
      </w:r>
      <w:r w:rsidRPr="007B0913">
        <w:rPr>
          <w:rFonts w:ascii="Times New Roman" w:hAnsi="Times New Roman" w:cs="Times New Roman"/>
          <w:sz w:val="24"/>
          <w:szCs w:val="24"/>
        </w:rPr>
        <w:t xml:space="preserve">  However, nothing in s 39 affects any right a person may have to damages apart from the operation of that section.</w:t>
      </w:r>
      <w:r w:rsidR="00EB686C" w:rsidRPr="007B0913">
        <w:rPr>
          <w:rStyle w:val="FootnoteReference"/>
          <w:rFonts w:ascii="Times New Roman" w:hAnsi="Times New Roman" w:cs="Times New Roman"/>
          <w:sz w:val="24"/>
          <w:szCs w:val="24"/>
        </w:rPr>
        <w:footnoteReference w:id="19"/>
      </w:r>
    </w:p>
    <w:p w14:paraId="70C9DF11" w14:textId="4E581C5B" w:rsidR="00023471" w:rsidRPr="007B0913" w:rsidRDefault="00CB5744"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A moment’s reflection will reveal </w:t>
      </w:r>
      <w:r w:rsidR="00522FFE" w:rsidRPr="007B0913">
        <w:rPr>
          <w:rFonts w:ascii="Times New Roman" w:hAnsi="Times New Roman" w:cs="Times New Roman"/>
          <w:sz w:val="24"/>
          <w:szCs w:val="24"/>
        </w:rPr>
        <w:t xml:space="preserve">some of the difficulties associated with the awkward manner </w:t>
      </w:r>
      <w:r w:rsidR="00A0134B" w:rsidRPr="007B0913">
        <w:rPr>
          <w:rFonts w:ascii="Times New Roman" w:hAnsi="Times New Roman" w:cs="Times New Roman"/>
          <w:sz w:val="24"/>
          <w:szCs w:val="24"/>
        </w:rPr>
        <w:t>in which these remedial provisions are drafted.  I</w:t>
      </w:r>
      <w:r w:rsidR="00C92216" w:rsidRPr="007B0913">
        <w:rPr>
          <w:rFonts w:ascii="Times New Roman" w:hAnsi="Times New Roman" w:cs="Times New Roman"/>
          <w:sz w:val="24"/>
          <w:szCs w:val="24"/>
        </w:rPr>
        <w:t xml:space="preserve">n 2015, Michael </w:t>
      </w:r>
      <w:r w:rsidR="00B817E8" w:rsidRPr="007B0913">
        <w:rPr>
          <w:rFonts w:ascii="Times New Roman" w:hAnsi="Times New Roman" w:cs="Times New Roman"/>
          <w:sz w:val="24"/>
          <w:szCs w:val="24"/>
        </w:rPr>
        <w:t xml:space="preserve">Brett </w:t>
      </w:r>
      <w:r w:rsidR="00C92216" w:rsidRPr="007B0913">
        <w:rPr>
          <w:rFonts w:ascii="Times New Roman" w:hAnsi="Times New Roman" w:cs="Times New Roman"/>
          <w:sz w:val="24"/>
          <w:szCs w:val="24"/>
        </w:rPr>
        <w:t xml:space="preserve">Young, a former CEO of the Law Institute of Victoria, conducted a comprehensive review of the </w:t>
      </w:r>
      <w:r w:rsidR="00A0134B" w:rsidRPr="007B0913">
        <w:rPr>
          <w:rFonts w:ascii="Times New Roman" w:hAnsi="Times New Roman" w:cs="Times New Roman"/>
          <w:sz w:val="24"/>
          <w:szCs w:val="24"/>
        </w:rPr>
        <w:t>Charter’s operation</w:t>
      </w:r>
      <w:r w:rsidR="00C92216" w:rsidRPr="007B0913">
        <w:rPr>
          <w:rFonts w:ascii="Times New Roman" w:hAnsi="Times New Roman" w:cs="Times New Roman"/>
          <w:sz w:val="24"/>
          <w:szCs w:val="24"/>
        </w:rPr>
        <w:t>.</w:t>
      </w:r>
      <w:r w:rsidR="004A347B" w:rsidRPr="007B0913">
        <w:rPr>
          <w:rStyle w:val="FootnoteReference"/>
          <w:rFonts w:ascii="Times New Roman" w:hAnsi="Times New Roman" w:cs="Times New Roman"/>
          <w:sz w:val="24"/>
          <w:szCs w:val="24"/>
        </w:rPr>
        <w:footnoteReference w:id="20"/>
      </w:r>
      <w:r w:rsidR="00C92216" w:rsidRPr="007B0913">
        <w:rPr>
          <w:rFonts w:ascii="Times New Roman" w:hAnsi="Times New Roman" w:cs="Times New Roman"/>
          <w:sz w:val="24"/>
          <w:szCs w:val="24"/>
        </w:rPr>
        <w:t xml:space="preserve"> </w:t>
      </w:r>
      <w:r w:rsidR="00EE3B89" w:rsidRPr="007B0913">
        <w:rPr>
          <w:rFonts w:ascii="Times New Roman" w:hAnsi="Times New Roman" w:cs="Times New Roman"/>
          <w:sz w:val="24"/>
          <w:szCs w:val="24"/>
        </w:rPr>
        <w:t>He noted, in particular, t</w:t>
      </w:r>
      <w:r w:rsidR="00865344" w:rsidRPr="007B0913">
        <w:rPr>
          <w:rFonts w:ascii="Times New Roman" w:hAnsi="Times New Roman" w:cs="Times New Roman"/>
          <w:sz w:val="24"/>
          <w:szCs w:val="24"/>
        </w:rPr>
        <w:t xml:space="preserve">hat </w:t>
      </w:r>
      <w:proofErr w:type="spellStart"/>
      <w:r w:rsidR="00865344" w:rsidRPr="007B0913">
        <w:rPr>
          <w:rFonts w:ascii="Times New Roman" w:hAnsi="Times New Roman" w:cs="Times New Roman"/>
          <w:sz w:val="24"/>
          <w:szCs w:val="24"/>
        </w:rPr>
        <w:t>ss</w:t>
      </w:r>
      <w:proofErr w:type="spellEnd"/>
      <w:r w:rsidR="00865344" w:rsidRPr="007B0913">
        <w:rPr>
          <w:rFonts w:ascii="Times New Roman" w:hAnsi="Times New Roman" w:cs="Times New Roman"/>
          <w:sz w:val="24"/>
          <w:szCs w:val="24"/>
        </w:rPr>
        <w:t xml:space="preserve"> 38 and 39 </w:t>
      </w:r>
      <w:r w:rsidR="00EE3B89" w:rsidRPr="007B0913">
        <w:rPr>
          <w:rFonts w:ascii="Times New Roman" w:hAnsi="Times New Roman" w:cs="Times New Roman"/>
          <w:sz w:val="24"/>
          <w:szCs w:val="24"/>
        </w:rPr>
        <w:t xml:space="preserve">were </w:t>
      </w:r>
      <w:r w:rsidR="00A0134B" w:rsidRPr="007B0913">
        <w:rPr>
          <w:rFonts w:ascii="Times New Roman" w:hAnsi="Times New Roman" w:cs="Times New Roman"/>
          <w:sz w:val="24"/>
          <w:szCs w:val="24"/>
        </w:rPr>
        <w:t xml:space="preserve">widely </w:t>
      </w:r>
      <w:r w:rsidR="00EE3B89" w:rsidRPr="007B0913">
        <w:rPr>
          <w:rFonts w:ascii="Times New Roman" w:hAnsi="Times New Roman" w:cs="Times New Roman"/>
          <w:sz w:val="24"/>
          <w:szCs w:val="24"/>
        </w:rPr>
        <w:t xml:space="preserve">perceived as </w:t>
      </w:r>
      <w:r w:rsidR="002A1E49" w:rsidRPr="007B0913">
        <w:rPr>
          <w:rFonts w:ascii="Times New Roman" w:hAnsi="Times New Roman" w:cs="Times New Roman"/>
          <w:sz w:val="24"/>
          <w:szCs w:val="24"/>
        </w:rPr>
        <w:t xml:space="preserve">having been </w:t>
      </w:r>
      <w:r w:rsidR="00E3695D" w:rsidRPr="007B0913">
        <w:rPr>
          <w:rFonts w:ascii="Times New Roman" w:hAnsi="Times New Roman" w:cs="Times New Roman"/>
          <w:sz w:val="24"/>
          <w:szCs w:val="24"/>
        </w:rPr>
        <w:t>poorly drafted</w:t>
      </w:r>
      <w:r w:rsidR="00F90394" w:rsidRPr="007B0913">
        <w:rPr>
          <w:rFonts w:ascii="Times New Roman" w:hAnsi="Times New Roman" w:cs="Times New Roman"/>
          <w:sz w:val="24"/>
          <w:szCs w:val="24"/>
        </w:rPr>
        <w:t>,</w:t>
      </w:r>
      <w:r w:rsidR="00E3695D" w:rsidRPr="007B0913">
        <w:rPr>
          <w:rFonts w:ascii="Times New Roman" w:hAnsi="Times New Roman" w:cs="Times New Roman"/>
          <w:sz w:val="24"/>
          <w:szCs w:val="24"/>
        </w:rPr>
        <w:t xml:space="preserve"> and </w:t>
      </w:r>
      <w:r w:rsidR="00F90394" w:rsidRPr="007B0913">
        <w:rPr>
          <w:rFonts w:ascii="Times New Roman" w:hAnsi="Times New Roman" w:cs="Times New Roman"/>
          <w:sz w:val="24"/>
          <w:szCs w:val="24"/>
        </w:rPr>
        <w:t xml:space="preserve">as being </w:t>
      </w:r>
      <w:r w:rsidR="00E3695D" w:rsidRPr="007B0913">
        <w:rPr>
          <w:rFonts w:ascii="Times New Roman" w:hAnsi="Times New Roman" w:cs="Times New Roman"/>
          <w:sz w:val="24"/>
          <w:szCs w:val="24"/>
        </w:rPr>
        <w:t>ineffective</w:t>
      </w:r>
      <w:r w:rsidR="00A40FB7" w:rsidRPr="007B0913">
        <w:rPr>
          <w:rFonts w:ascii="Times New Roman" w:hAnsi="Times New Roman" w:cs="Times New Roman"/>
          <w:sz w:val="24"/>
          <w:szCs w:val="24"/>
        </w:rPr>
        <w:t>.</w:t>
      </w:r>
      <w:r w:rsidR="00A40FB7" w:rsidRPr="007B0913">
        <w:rPr>
          <w:rStyle w:val="FootnoteReference"/>
          <w:rFonts w:ascii="Times New Roman" w:hAnsi="Times New Roman" w:cs="Times New Roman"/>
          <w:sz w:val="24"/>
          <w:szCs w:val="24"/>
        </w:rPr>
        <w:footnoteReference w:id="21"/>
      </w:r>
    </w:p>
    <w:p w14:paraId="650B4297" w14:textId="3FC5ADF6" w:rsidR="00035CB6" w:rsidRPr="007B0913" w:rsidRDefault="004D7804"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T</w:t>
      </w:r>
      <w:r w:rsidR="00D457DD" w:rsidRPr="007B0913">
        <w:rPr>
          <w:rFonts w:ascii="Times New Roman" w:hAnsi="Times New Roman" w:cs="Times New Roman"/>
          <w:sz w:val="24"/>
          <w:szCs w:val="24"/>
        </w:rPr>
        <w:t xml:space="preserve">he reasons for </w:t>
      </w:r>
      <w:r w:rsidR="006B5360" w:rsidRPr="007B0913">
        <w:rPr>
          <w:rFonts w:ascii="Times New Roman" w:hAnsi="Times New Roman" w:cs="Times New Roman"/>
          <w:sz w:val="24"/>
          <w:szCs w:val="24"/>
        </w:rPr>
        <w:t xml:space="preserve">Mr </w:t>
      </w:r>
      <w:r w:rsidR="00F33D5A" w:rsidRPr="007B0913">
        <w:rPr>
          <w:rFonts w:ascii="Times New Roman" w:hAnsi="Times New Roman" w:cs="Times New Roman"/>
          <w:sz w:val="24"/>
          <w:szCs w:val="24"/>
        </w:rPr>
        <w:t xml:space="preserve">Brett </w:t>
      </w:r>
      <w:r w:rsidR="006B5360" w:rsidRPr="007B0913">
        <w:rPr>
          <w:rFonts w:ascii="Times New Roman" w:hAnsi="Times New Roman" w:cs="Times New Roman"/>
          <w:sz w:val="24"/>
          <w:szCs w:val="24"/>
        </w:rPr>
        <w:t>Young’s</w:t>
      </w:r>
      <w:r w:rsidR="00D457DD" w:rsidRPr="007B0913">
        <w:rPr>
          <w:rFonts w:ascii="Times New Roman" w:hAnsi="Times New Roman" w:cs="Times New Roman"/>
          <w:sz w:val="24"/>
          <w:szCs w:val="24"/>
        </w:rPr>
        <w:t xml:space="preserve"> conclusion</w:t>
      </w:r>
      <w:r w:rsidR="006B5360" w:rsidRPr="007B0913">
        <w:rPr>
          <w:rFonts w:ascii="Times New Roman" w:hAnsi="Times New Roman" w:cs="Times New Roman"/>
          <w:sz w:val="24"/>
          <w:szCs w:val="24"/>
        </w:rPr>
        <w:t xml:space="preserve"> can be readily understood. </w:t>
      </w:r>
      <w:r w:rsidR="00023471" w:rsidRPr="007B0913">
        <w:rPr>
          <w:rFonts w:ascii="Times New Roman" w:hAnsi="Times New Roman" w:cs="Times New Roman"/>
          <w:sz w:val="24"/>
          <w:szCs w:val="24"/>
        </w:rPr>
        <w:t xml:space="preserve"> </w:t>
      </w:r>
      <w:r w:rsidR="00035CB6" w:rsidRPr="007B0913">
        <w:rPr>
          <w:rFonts w:ascii="Times New Roman" w:hAnsi="Times New Roman" w:cs="Times New Roman"/>
          <w:sz w:val="24"/>
          <w:szCs w:val="24"/>
        </w:rPr>
        <w:t xml:space="preserve">In essence, </w:t>
      </w:r>
      <w:r w:rsidR="0068054C" w:rsidRPr="007B0913">
        <w:rPr>
          <w:rFonts w:ascii="Times New Roman" w:hAnsi="Times New Roman" w:cs="Times New Roman"/>
          <w:sz w:val="24"/>
          <w:szCs w:val="24"/>
        </w:rPr>
        <w:t>s 39</w:t>
      </w:r>
      <w:r w:rsidR="00035CB6" w:rsidRPr="007B0913">
        <w:rPr>
          <w:rFonts w:ascii="Times New Roman" w:hAnsi="Times New Roman" w:cs="Times New Roman"/>
          <w:sz w:val="24"/>
          <w:szCs w:val="24"/>
        </w:rPr>
        <w:t xml:space="preserve"> operates to ens</w:t>
      </w:r>
      <w:r w:rsidR="00F44E5D" w:rsidRPr="007B0913">
        <w:rPr>
          <w:rFonts w:ascii="Times New Roman" w:hAnsi="Times New Roman" w:cs="Times New Roman"/>
          <w:sz w:val="24"/>
          <w:szCs w:val="24"/>
        </w:rPr>
        <w:t xml:space="preserve">ure that </w:t>
      </w:r>
      <w:r w:rsidR="00760D46" w:rsidRPr="007B0913">
        <w:rPr>
          <w:rFonts w:ascii="Times New Roman" w:hAnsi="Times New Roman" w:cs="Times New Roman"/>
          <w:sz w:val="24"/>
          <w:szCs w:val="24"/>
        </w:rPr>
        <w:t>the Charter provides</w:t>
      </w:r>
      <w:r w:rsidR="00F44E5D" w:rsidRPr="007B0913">
        <w:rPr>
          <w:rFonts w:ascii="Times New Roman" w:hAnsi="Times New Roman" w:cs="Times New Roman"/>
          <w:sz w:val="24"/>
          <w:szCs w:val="24"/>
        </w:rPr>
        <w:t xml:space="preserve"> no new remedy for breach of Charter rights, </w:t>
      </w:r>
      <w:r w:rsidR="00035CB6" w:rsidRPr="007B0913">
        <w:rPr>
          <w:rFonts w:ascii="Times New Roman" w:hAnsi="Times New Roman" w:cs="Times New Roman"/>
          <w:sz w:val="24"/>
          <w:szCs w:val="24"/>
        </w:rPr>
        <w:t xml:space="preserve">beyond </w:t>
      </w:r>
      <w:r w:rsidR="006B5360" w:rsidRPr="007B0913">
        <w:rPr>
          <w:rFonts w:ascii="Times New Roman" w:hAnsi="Times New Roman" w:cs="Times New Roman"/>
          <w:sz w:val="24"/>
          <w:szCs w:val="24"/>
        </w:rPr>
        <w:t>any remedy that</w:t>
      </w:r>
      <w:r w:rsidR="00760D46" w:rsidRPr="007B0913">
        <w:rPr>
          <w:rFonts w:ascii="Times New Roman" w:hAnsi="Times New Roman" w:cs="Times New Roman"/>
          <w:sz w:val="24"/>
          <w:szCs w:val="24"/>
        </w:rPr>
        <w:t xml:space="preserve"> </w:t>
      </w:r>
      <w:r w:rsidR="00035CB6" w:rsidRPr="007B0913">
        <w:rPr>
          <w:rFonts w:ascii="Times New Roman" w:hAnsi="Times New Roman" w:cs="Times New Roman"/>
          <w:sz w:val="24"/>
          <w:szCs w:val="24"/>
        </w:rPr>
        <w:t xml:space="preserve">would have been available had </w:t>
      </w:r>
      <w:r w:rsidR="00760D46" w:rsidRPr="007B0913">
        <w:rPr>
          <w:rFonts w:ascii="Times New Roman" w:hAnsi="Times New Roman" w:cs="Times New Roman"/>
          <w:sz w:val="24"/>
          <w:szCs w:val="24"/>
        </w:rPr>
        <w:t>it</w:t>
      </w:r>
      <w:r w:rsidR="00035CB6" w:rsidRPr="007B0913">
        <w:rPr>
          <w:rFonts w:ascii="Times New Roman" w:hAnsi="Times New Roman" w:cs="Times New Roman"/>
          <w:sz w:val="24"/>
          <w:szCs w:val="24"/>
        </w:rPr>
        <w:t xml:space="preserve"> not been enacted.  In other words, it seems that </w:t>
      </w:r>
      <w:r w:rsidR="00F44E5D" w:rsidRPr="007B0913">
        <w:rPr>
          <w:rFonts w:ascii="Times New Roman" w:hAnsi="Times New Roman" w:cs="Times New Roman"/>
          <w:sz w:val="24"/>
          <w:szCs w:val="24"/>
        </w:rPr>
        <w:t xml:space="preserve">the legislature intended </w:t>
      </w:r>
      <w:r w:rsidR="0031797C" w:rsidRPr="007B0913">
        <w:rPr>
          <w:rFonts w:ascii="Times New Roman" w:hAnsi="Times New Roman" w:cs="Times New Roman"/>
          <w:sz w:val="24"/>
          <w:szCs w:val="24"/>
        </w:rPr>
        <w:t xml:space="preserve">by the enactment of s 39 </w:t>
      </w:r>
      <w:r w:rsidR="00F44E5D" w:rsidRPr="007B0913">
        <w:rPr>
          <w:rFonts w:ascii="Times New Roman" w:hAnsi="Times New Roman" w:cs="Times New Roman"/>
          <w:sz w:val="24"/>
          <w:szCs w:val="24"/>
        </w:rPr>
        <w:t xml:space="preserve">to preserve </w:t>
      </w:r>
      <w:r w:rsidR="00035CB6" w:rsidRPr="007B0913">
        <w:rPr>
          <w:rFonts w:ascii="Times New Roman" w:hAnsi="Times New Roman" w:cs="Times New Roman"/>
          <w:sz w:val="24"/>
          <w:szCs w:val="24"/>
        </w:rPr>
        <w:t>ordinary</w:t>
      </w:r>
      <w:r w:rsidR="006B5360" w:rsidRPr="007B0913">
        <w:rPr>
          <w:rFonts w:ascii="Times New Roman" w:hAnsi="Times New Roman" w:cs="Times New Roman"/>
          <w:sz w:val="24"/>
          <w:szCs w:val="24"/>
        </w:rPr>
        <w:t xml:space="preserve"> remedies (</w:t>
      </w:r>
      <w:r w:rsidR="00027033" w:rsidRPr="007B0913">
        <w:rPr>
          <w:rFonts w:ascii="Times New Roman" w:hAnsi="Times New Roman" w:cs="Times New Roman"/>
          <w:sz w:val="24"/>
          <w:szCs w:val="24"/>
        </w:rPr>
        <w:t>including</w:t>
      </w:r>
      <w:r w:rsidR="00035CB6" w:rsidRPr="007B0913">
        <w:rPr>
          <w:rFonts w:ascii="Times New Roman" w:hAnsi="Times New Roman" w:cs="Times New Roman"/>
          <w:sz w:val="24"/>
          <w:szCs w:val="24"/>
        </w:rPr>
        <w:t xml:space="preserve"> judicial review</w:t>
      </w:r>
      <w:r w:rsidR="00027033" w:rsidRPr="007B0913">
        <w:rPr>
          <w:rFonts w:ascii="Times New Roman" w:hAnsi="Times New Roman" w:cs="Times New Roman"/>
          <w:sz w:val="24"/>
          <w:szCs w:val="24"/>
        </w:rPr>
        <w:t xml:space="preserve"> of administrative action</w:t>
      </w:r>
      <w:r w:rsidR="006B5360" w:rsidRPr="007B0913">
        <w:rPr>
          <w:rFonts w:ascii="Times New Roman" w:hAnsi="Times New Roman" w:cs="Times New Roman"/>
          <w:sz w:val="24"/>
          <w:szCs w:val="24"/>
        </w:rPr>
        <w:t>)</w:t>
      </w:r>
      <w:r w:rsidR="0031797C" w:rsidRPr="007B0913">
        <w:rPr>
          <w:rFonts w:ascii="Times New Roman" w:hAnsi="Times New Roman" w:cs="Times New Roman"/>
          <w:sz w:val="24"/>
          <w:szCs w:val="24"/>
        </w:rPr>
        <w:t xml:space="preserve"> but not to expand </w:t>
      </w:r>
      <w:r w:rsidR="00027033" w:rsidRPr="007B0913">
        <w:rPr>
          <w:rFonts w:ascii="Times New Roman" w:hAnsi="Times New Roman" w:cs="Times New Roman"/>
          <w:sz w:val="24"/>
          <w:szCs w:val="24"/>
        </w:rPr>
        <w:t>those remedies at all</w:t>
      </w:r>
      <w:r w:rsidR="0015692C" w:rsidRPr="007B0913">
        <w:rPr>
          <w:rFonts w:ascii="Times New Roman" w:hAnsi="Times New Roman" w:cs="Times New Roman"/>
          <w:sz w:val="24"/>
          <w:szCs w:val="24"/>
        </w:rPr>
        <w:t>.</w:t>
      </w:r>
      <w:r w:rsidR="00027033" w:rsidRPr="007B0913">
        <w:rPr>
          <w:rFonts w:ascii="Times New Roman" w:hAnsi="Times New Roman" w:cs="Times New Roman"/>
          <w:sz w:val="24"/>
          <w:szCs w:val="24"/>
        </w:rPr>
        <w:t xml:space="preserve">  Accordingly, the </w:t>
      </w:r>
      <w:r w:rsidR="00A40BA1" w:rsidRPr="007B0913">
        <w:rPr>
          <w:rFonts w:ascii="Times New Roman" w:hAnsi="Times New Roman" w:cs="Times New Roman"/>
          <w:sz w:val="24"/>
          <w:szCs w:val="24"/>
        </w:rPr>
        <w:t xml:space="preserve">weaknesses of </w:t>
      </w:r>
      <w:r w:rsidR="00940C57" w:rsidRPr="007B0913">
        <w:rPr>
          <w:rFonts w:ascii="Times New Roman" w:hAnsi="Times New Roman" w:cs="Times New Roman"/>
          <w:sz w:val="24"/>
          <w:szCs w:val="24"/>
        </w:rPr>
        <w:t>judicial review</w:t>
      </w:r>
      <w:r w:rsidR="00A40BA1" w:rsidRPr="007B0913">
        <w:rPr>
          <w:rFonts w:ascii="Times New Roman" w:hAnsi="Times New Roman" w:cs="Times New Roman"/>
          <w:sz w:val="24"/>
          <w:szCs w:val="24"/>
        </w:rPr>
        <w:t xml:space="preserve"> as a basis for effective sanction for breach of Charter rights</w:t>
      </w:r>
      <w:r w:rsidR="00356F7E" w:rsidRPr="007B0913">
        <w:rPr>
          <w:rFonts w:ascii="Times New Roman" w:hAnsi="Times New Roman" w:cs="Times New Roman"/>
          <w:sz w:val="24"/>
          <w:szCs w:val="24"/>
        </w:rPr>
        <w:t xml:space="preserve"> continue to </w:t>
      </w:r>
      <w:r w:rsidR="00F90394" w:rsidRPr="007B0913">
        <w:rPr>
          <w:rFonts w:ascii="Times New Roman" w:hAnsi="Times New Roman" w:cs="Times New Roman"/>
          <w:sz w:val="24"/>
          <w:szCs w:val="24"/>
        </w:rPr>
        <w:t xml:space="preserve">affect </w:t>
      </w:r>
      <w:r w:rsidR="00356F7E" w:rsidRPr="007B0913">
        <w:rPr>
          <w:rFonts w:ascii="Times New Roman" w:hAnsi="Times New Roman" w:cs="Times New Roman"/>
          <w:sz w:val="24"/>
          <w:szCs w:val="24"/>
        </w:rPr>
        <w:t>the operation of the Charter itself</w:t>
      </w:r>
      <w:r w:rsidR="00BC17BA" w:rsidRPr="007B0913">
        <w:rPr>
          <w:rFonts w:ascii="Times New Roman" w:hAnsi="Times New Roman" w:cs="Times New Roman"/>
          <w:sz w:val="24"/>
          <w:szCs w:val="24"/>
        </w:rPr>
        <w:t>.</w:t>
      </w:r>
      <w:r w:rsidR="00F44E5D" w:rsidRPr="007B0913">
        <w:rPr>
          <w:rStyle w:val="FootnoteReference"/>
          <w:rFonts w:ascii="Times New Roman" w:hAnsi="Times New Roman" w:cs="Times New Roman"/>
          <w:sz w:val="24"/>
          <w:szCs w:val="24"/>
        </w:rPr>
        <w:footnoteReference w:id="22"/>
      </w:r>
    </w:p>
    <w:p w14:paraId="68AD7B8E" w14:textId="4680C9BE" w:rsidR="00EE3B89" w:rsidRPr="007B0913" w:rsidRDefault="00F67CB4" w:rsidP="00D74FE5">
      <w:pPr>
        <w:keepNext/>
        <w:autoSpaceDE w:val="0"/>
        <w:autoSpaceDN w:val="0"/>
        <w:adjustRightInd w:val="0"/>
        <w:spacing w:after="0" w:line="24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lastRenderedPageBreak/>
        <w:t xml:space="preserve">Mr </w:t>
      </w:r>
      <w:r w:rsidR="00F33D5A" w:rsidRPr="007B0913">
        <w:rPr>
          <w:rFonts w:ascii="Times New Roman" w:hAnsi="Times New Roman" w:cs="Times New Roman"/>
          <w:sz w:val="24"/>
          <w:szCs w:val="24"/>
        </w:rPr>
        <w:t xml:space="preserve">Brett </w:t>
      </w:r>
      <w:r w:rsidRPr="007B0913">
        <w:rPr>
          <w:rFonts w:ascii="Times New Roman" w:hAnsi="Times New Roman" w:cs="Times New Roman"/>
          <w:sz w:val="24"/>
          <w:szCs w:val="24"/>
        </w:rPr>
        <w:t>Young</w:t>
      </w:r>
      <w:r w:rsidR="00B9615F" w:rsidRPr="007B0913">
        <w:rPr>
          <w:rFonts w:ascii="Times New Roman" w:hAnsi="Times New Roman" w:cs="Times New Roman"/>
          <w:sz w:val="24"/>
          <w:szCs w:val="24"/>
        </w:rPr>
        <w:t xml:space="preserve"> has</w:t>
      </w:r>
      <w:r w:rsidR="00F44E5D" w:rsidRPr="007B0913">
        <w:rPr>
          <w:rFonts w:ascii="Times New Roman" w:hAnsi="Times New Roman" w:cs="Times New Roman"/>
          <w:sz w:val="24"/>
          <w:szCs w:val="24"/>
        </w:rPr>
        <w:t xml:space="preserve"> commented:</w:t>
      </w:r>
    </w:p>
    <w:p w14:paraId="554C2819" w14:textId="77777777" w:rsidR="00F44E5D" w:rsidRPr="007B0913" w:rsidRDefault="00F44E5D" w:rsidP="00D74FE5">
      <w:pPr>
        <w:keepNext/>
        <w:autoSpaceDE w:val="0"/>
        <w:autoSpaceDN w:val="0"/>
        <w:adjustRightInd w:val="0"/>
        <w:spacing w:after="0" w:line="240" w:lineRule="auto"/>
        <w:jc w:val="both"/>
        <w:rPr>
          <w:rFonts w:ascii="Times New Roman" w:hAnsi="Times New Roman" w:cs="Times New Roman"/>
          <w:sz w:val="24"/>
          <w:szCs w:val="24"/>
        </w:rPr>
      </w:pPr>
    </w:p>
    <w:p w14:paraId="5D936925" w14:textId="77777777" w:rsidR="00D74405" w:rsidRPr="007B0913" w:rsidRDefault="00D74405" w:rsidP="00D74FE5">
      <w:pPr>
        <w:keepNext/>
        <w:spacing w:after="240"/>
        <w:ind w:left="720"/>
        <w:jc w:val="both"/>
        <w:rPr>
          <w:rFonts w:ascii="Times New Roman" w:hAnsi="Times New Roman" w:cs="Times New Roman"/>
          <w:sz w:val="24"/>
          <w:szCs w:val="24"/>
        </w:rPr>
      </w:pPr>
      <w:r w:rsidRPr="007B0913">
        <w:rPr>
          <w:rFonts w:ascii="Times New Roman" w:hAnsi="Times New Roman" w:cs="Times New Roman"/>
        </w:rPr>
        <w:t xml:space="preserve">Overwhelmingly, I heard </w:t>
      </w:r>
      <w:proofErr w:type="spellStart"/>
      <w:proofErr w:type="gramStart"/>
      <w:r w:rsidRPr="007B0913">
        <w:rPr>
          <w:rFonts w:ascii="Times New Roman" w:hAnsi="Times New Roman" w:cs="Times New Roman"/>
        </w:rPr>
        <w:t>th</w:t>
      </w:r>
      <w:proofErr w:type="spellEnd"/>
      <w:r w:rsidRPr="007B0913">
        <w:rPr>
          <w:rFonts w:ascii="Times New Roman" w:hAnsi="Times New Roman" w:cs="Times New Roman"/>
        </w:rPr>
        <w:t>[</w:t>
      </w:r>
      <w:proofErr w:type="gramEnd"/>
      <w:r w:rsidRPr="007B0913">
        <w:rPr>
          <w:rFonts w:ascii="Times New Roman" w:hAnsi="Times New Roman" w:cs="Times New Roman"/>
        </w:rPr>
        <w:t>at] [sections 38 and 39] are unclear and complicated, and too often do not provide any remedy for a person whose human rights have been breached.  Many people are concerned that this diminishes the Charter</w:t>
      </w:r>
      <w:r w:rsidRPr="007B0913">
        <w:rPr>
          <w:rFonts w:ascii="Times New Roman" w:hAnsi="Times New Roman" w:cs="Times New Roman"/>
          <w:sz w:val="24"/>
          <w:szCs w:val="24"/>
        </w:rPr>
        <w:t>.</w:t>
      </w:r>
      <w:r w:rsidRPr="007B0913">
        <w:rPr>
          <w:rStyle w:val="FootnoteReference"/>
          <w:rFonts w:ascii="Times New Roman" w:hAnsi="Times New Roman" w:cs="Times New Roman"/>
          <w:sz w:val="24"/>
          <w:szCs w:val="24"/>
        </w:rPr>
        <w:footnoteReference w:id="23"/>
      </w:r>
      <w:r w:rsidRPr="007B0913">
        <w:rPr>
          <w:rFonts w:ascii="Times New Roman" w:hAnsi="Times New Roman" w:cs="Times New Roman"/>
          <w:sz w:val="24"/>
          <w:szCs w:val="24"/>
        </w:rPr>
        <w:t xml:space="preserve"> </w:t>
      </w:r>
    </w:p>
    <w:p w14:paraId="4D158C28" w14:textId="1660534C" w:rsidR="005F58AD" w:rsidRPr="007B0913" w:rsidRDefault="00B41D69"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F</w:t>
      </w:r>
      <w:r w:rsidR="008B52A9" w:rsidRPr="007B0913">
        <w:rPr>
          <w:rFonts w:ascii="Times New Roman" w:hAnsi="Times New Roman" w:cs="Times New Roman"/>
          <w:sz w:val="24"/>
          <w:szCs w:val="24"/>
        </w:rPr>
        <w:t>ocus</w:t>
      </w:r>
      <w:r w:rsidRPr="007B0913">
        <w:rPr>
          <w:rFonts w:ascii="Times New Roman" w:hAnsi="Times New Roman" w:cs="Times New Roman"/>
          <w:sz w:val="24"/>
          <w:szCs w:val="24"/>
        </w:rPr>
        <w:t xml:space="preserve">ing </w:t>
      </w:r>
      <w:r w:rsidR="0036199B" w:rsidRPr="007B0913">
        <w:rPr>
          <w:rFonts w:ascii="Times New Roman" w:hAnsi="Times New Roman" w:cs="Times New Roman"/>
          <w:sz w:val="24"/>
          <w:szCs w:val="24"/>
        </w:rPr>
        <w:t>briefly</w:t>
      </w:r>
      <w:r w:rsidRPr="007B0913">
        <w:rPr>
          <w:rFonts w:ascii="Times New Roman" w:hAnsi="Times New Roman" w:cs="Times New Roman"/>
          <w:sz w:val="24"/>
          <w:szCs w:val="24"/>
        </w:rPr>
        <w:t xml:space="preserve"> on</w:t>
      </w:r>
      <w:r w:rsidR="006F68AD" w:rsidRPr="007B0913">
        <w:rPr>
          <w:rFonts w:ascii="Times New Roman" w:hAnsi="Times New Roman" w:cs="Times New Roman"/>
          <w:sz w:val="24"/>
          <w:szCs w:val="24"/>
        </w:rPr>
        <w:t xml:space="preserve"> s 38, </w:t>
      </w:r>
      <w:r w:rsidR="00F67CB4" w:rsidRPr="007B0913">
        <w:rPr>
          <w:rFonts w:ascii="Times New Roman" w:hAnsi="Times New Roman" w:cs="Times New Roman"/>
          <w:sz w:val="24"/>
          <w:szCs w:val="24"/>
        </w:rPr>
        <w:t xml:space="preserve">it is true that the section can be used as </w:t>
      </w:r>
      <w:r w:rsidR="0077198B" w:rsidRPr="007B0913">
        <w:rPr>
          <w:rFonts w:ascii="Times New Roman" w:hAnsi="Times New Roman" w:cs="Times New Roman"/>
          <w:sz w:val="24"/>
          <w:szCs w:val="24"/>
        </w:rPr>
        <w:t>the basis</w:t>
      </w:r>
      <w:r w:rsidR="00F67CB4" w:rsidRPr="007B0913">
        <w:rPr>
          <w:rFonts w:ascii="Times New Roman" w:hAnsi="Times New Roman" w:cs="Times New Roman"/>
          <w:sz w:val="24"/>
          <w:szCs w:val="24"/>
        </w:rPr>
        <w:t xml:space="preserve"> for</w:t>
      </w:r>
      <w:r w:rsidR="0077198B" w:rsidRPr="007B0913">
        <w:rPr>
          <w:rFonts w:ascii="Times New Roman" w:hAnsi="Times New Roman" w:cs="Times New Roman"/>
          <w:sz w:val="24"/>
          <w:szCs w:val="24"/>
        </w:rPr>
        <w:t xml:space="preserve"> a finding of ‘unlawfulness’ required, for example, as an element of various </w:t>
      </w:r>
      <w:r w:rsidR="00E3001B" w:rsidRPr="007B0913">
        <w:rPr>
          <w:rFonts w:ascii="Times New Roman" w:hAnsi="Times New Roman" w:cs="Times New Roman"/>
          <w:sz w:val="24"/>
          <w:szCs w:val="24"/>
        </w:rPr>
        <w:t>tortious claims.</w:t>
      </w:r>
      <w:r w:rsidR="00992E6D" w:rsidRPr="007B0913">
        <w:rPr>
          <w:rStyle w:val="FootnoteReference"/>
          <w:rFonts w:ascii="Times New Roman" w:hAnsi="Times New Roman" w:cs="Times New Roman"/>
          <w:sz w:val="24"/>
          <w:szCs w:val="24"/>
        </w:rPr>
        <w:footnoteReference w:id="24"/>
      </w:r>
      <w:r w:rsidR="00BD7AC5" w:rsidRPr="007B0913">
        <w:rPr>
          <w:rFonts w:ascii="Times New Roman" w:hAnsi="Times New Roman" w:cs="Times New Roman"/>
          <w:sz w:val="24"/>
          <w:szCs w:val="24"/>
        </w:rPr>
        <w:t xml:space="preserve">  </w:t>
      </w:r>
      <w:r w:rsidR="0077198B" w:rsidRPr="007B0913">
        <w:rPr>
          <w:rFonts w:ascii="Times New Roman" w:hAnsi="Times New Roman" w:cs="Times New Roman"/>
          <w:sz w:val="24"/>
          <w:szCs w:val="24"/>
        </w:rPr>
        <w:t xml:space="preserve">However, in </w:t>
      </w:r>
      <w:r w:rsidR="00F67CB4" w:rsidRPr="007B0913">
        <w:rPr>
          <w:rFonts w:ascii="Times New Roman" w:hAnsi="Times New Roman" w:cs="Times New Roman"/>
          <w:sz w:val="24"/>
          <w:szCs w:val="24"/>
        </w:rPr>
        <w:t>relation to</w:t>
      </w:r>
      <w:r w:rsidR="005F58AD" w:rsidRPr="007B0913">
        <w:rPr>
          <w:rFonts w:ascii="Times New Roman" w:hAnsi="Times New Roman" w:cs="Times New Roman"/>
          <w:sz w:val="24"/>
          <w:szCs w:val="24"/>
        </w:rPr>
        <w:t xml:space="preserve"> the conduct of</w:t>
      </w:r>
      <w:r w:rsidR="00F67CB4" w:rsidRPr="007B0913">
        <w:rPr>
          <w:rFonts w:ascii="Times New Roman" w:hAnsi="Times New Roman" w:cs="Times New Roman"/>
          <w:sz w:val="24"/>
          <w:szCs w:val="24"/>
        </w:rPr>
        <w:t xml:space="preserve"> crimin</w:t>
      </w:r>
      <w:r w:rsidR="005F58AD" w:rsidRPr="007B0913">
        <w:rPr>
          <w:rFonts w:ascii="Times New Roman" w:hAnsi="Times New Roman" w:cs="Times New Roman"/>
          <w:sz w:val="24"/>
          <w:szCs w:val="24"/>
        </w:rPr>
        <w:t>al proceedings</w:t>
      </w:r>
      <w:r w:rsidR="0077198B" w:rsidRPr="007B0913">
        <w:rPr>
          <w:rFonts w:ascii="Times New Roman" w:hAnsi="Times New Roman" w:cs="Times New Roman"/>
          <w:sz w:val="24"/>
          <w:szCs w:val="24"/>
        </w:rPr>
        <w:t xml:space="preserve">, </w:t>
      </w:r>
      <w:r w:rsidR="00F67CB4" w:rsidRPr="007B0913">
        <w:rPr>
          <w:rFonts w:ascii="Times New Roman" w:hAnsi="Times New Roman" w:cs="Times New Roman"/>
          <w:sz w:val="24"/>
          <w:szCs w:val="24"/>
        </w:rPr>
        <w:t>there may be little u</w:t>
      </w:r>
      <w:r w:rsidR="00DC242D" w:rsidRPr="007B0913">
        <w:rPr>
          <w:rFonts w:ascii="Times New Roman" w:hAnsi="Times New Roman" w:cs="Times New Roman"/>
          <w:sz w:val="24"/>
          <w:szCs w:val="24"/>
        </w:rPr>
        <w:t xml:space="preserve">tility </w:t>
      </w:r>
      <w:r w:rsidR="00F67CB4" w:rsidRPr="007B0913">
        <w:rPr>
          <w:rFonts w:ascii="Times New Roman" w:hAnsi="Times New Roman" w:cs="Times New Roman"/>
          <w:sz w:val="24"/>
          <w:szCs w:val="24"/>
        </w:rPr>
        <w:t>in</w:t>
      </w:r>
      <w:r w:rsidR="0077198B" w:rsidRPr="007B0913">
        <w:rPr>
          <w:rFonts w:ascii="Times New Roman" w:hAnsi="Times New Roman" w:cs="Times New Roman"/>
          <w:sz w:val="24"/>
          <w:szCs w:val="24"/>
        </w:rPr>
        <w:t xml:space="preserve"> a finding of</w:t>
      </w:r>
      <w:r w:rsidR="009E118B" w:rsidRPr="007B0913">
        <w:rPr>
          <w:rFonts w:ascii="Times New Roman" w:hAnsi="Times New Roman" w:cs="Times New Roman"/>
          <w:sz w:val="24"/>
          <w:szCs w:val="24"/>
        </w:rPr>
        <w:t xml:space="preserve"> </w:t>
      </w:r>
      <w:r w:rsidR="005F58AD" w:rsidRPr="007B0913">
        <w:rPr>
          <w:rFonts w:ascii="Times New Roman" w:hAnsi="Times New Roman" w:cs="Times New Roman"/>
          <w:sz w:val="24"/>
          <w:szCs w:val="24"/>
        </w:rPr>
        <w:t xml:space="preserve">that kind.  </w:t>
      </w:r>
    </w:p>
    <w:p w14:paraId="7608EC35" w14:textId="77777777" w:rsidR="0036199B" w:rsidRPr="007B0913" w:rsidRDefault="005F58AD"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The </w:t>
      </w:r>
      <w:r w:rsidR="00F67CB4" w:rsidRPr="007B0913">
        <w:rPr>
          <w:rFonts w:ascii="Times New Roman" w:hAnsi="Times New Roman" w:cs="Times New Roman"/>
          <w:sz w:val="24"/>
          <w:szCs w:val="24"/>
        </w:rPr>
        <w:t>evidentiary consequences of such a finding are</w:t>
      </w:r>
      <w:r w:rsidRPr="007B0913">
        <w:rPr>
          <w:rFonts w:ascii="Times New Roman" w:hAnsi="Times New Roman" w:cs="Times New Roman"/>
          <w:sz w:val="24"/>
          <w:szCs w:val="24"/>
        </w:rPr>
        <w:t>, of course,</w:t>
      </w:r>
      <w:r w:rsidR="00F67CB4" w:rsidRPr="007B0913">
        <w:rPr>
          <w:rFonts w:ascii="Times New Roman" w:hAnsi="Times New Roman" w:cs="Times New Roman"/>
          <w:sz w:val="24"/>
          <w:szCs w:val="24"/>
        </w:rPr>
        <w:t xml:space="preserve"> determined not by the </w:t>
      </w:r>
      <w:r w:rsidRPr="007B0913">
        <w:rPr>
          <w:rFonts w:ascii="Times New Roman" w:hAnsi="Times New Roman" w:cs="Times New Roman"/>
          <w:sz w:val="24"/>
          <w:szCs w:val="24"/>
        </w:rPr>
        <w:t>Charter</w:t>
      </w:r>
      <w:r w:rsidR="00F67CB4" w:rsidRPr="007B0913">
        <w:rPr>
          <w:rFonts w:ascii="Times New Roman" w:hAnsi="Times New Roman" w:cs="Times New Roman"/>
          <w:sz w:val="24"/>
          <w:szCs w:val="24"/>
        </w:rPr>
        <w:t xml:space="preserve"> but</w:t>
      </w:r>
      <w:r w:rsidRPr="007B0913">
        <w:rPr>
          <w:rFonts w:ascii="Times New Roman" w:hAnsi="Times New Roman" w:cs="Times New Roman"/>
          <w:sz w:val="24"/>
          <w:szCs w:val="24"/>
        </w:rPr>
        <w:t xml:space="preserve"> rather</w:t>
      </w:r>
      <w:r w:rsidR="00F67CB4" w:rsidRPr="007B0913">
        <w:rPr>
          <w:rFonts w:ascii="Times New Roman" w:hAnsi="Times New Roman" w:cs="Times New Roman"/>
          <w:sz w:val="24"/>
          <w:szCs w:val="24"/>
        </w:rPr>
        <w:t xml:space="preserve"> by the provisions of the </w:t>
      </w:r>
      <w:r w:rsidR="0019623C" w:rsidRPr="007B0913">
        <w:rPr>
          <w:rFonts w:ascii="Times New Roman" w:hAnsi="Times New Roman" w:cs="Times New Roman"/>
          <w:i/>
          <w:sz w:val="24"/>
          <w:szCs w:val="24"/>
        </w:rPr>
        <w:t xml:space="preserve">Evidence Act 2008 </w:t>
      </w:r>
      <w:r w:rsidR="0019623C" w:rsidRPr="007B0913">
        <w:rPr>
          <w:rFonts w:ascii="Times New Roman" w:hAnsi="Times New Roman" w:cs="Times New Roman"/>
          <w:sz w:val="24"/>
          <w:szCs w:val="24"/>
        </w:rPr>
        <w:t>(Vic)</w:t>
      </w:r>
      <w:r w:rsidR="00F40BBA" w:rsidRPr="007B0913">
        <w:rPr>
          <w:rFonts w:ascii="Times New Roman" w:hAnsi="Times New Roman" w:cs="Times New Roman"/>
          <w:sz w:val="24"/>
          <w:szCs w:val="24"/>
        </w:rPr>
        <w:t xml:space="preserve"> </w:t>
      </w:r>
      <w:r w:rsidR="00F4134E" w:rsidRPr="007B0913">
        <w:rPr>
          <w:rFonts w:ascii="Times New Roman" w:hAnsi="Times New Roman" w:cs="Times New Roman"/>
          <w:sz w:val="24"/>
          <w:szCs w:val="24"/>
        </w:rPr>
        <w:t xml:space="preserve">(‘Evidence Act’).  Section </w:t>
      </w:r>
      <w:r w:rsidR="00C8784E" w:rsidRPr="007B0913">
        <w:rPr>
          <w:rFonts w:ascii="Times New Roman" w:hAnsi="Times New Roman" w:cs="Times New Roman"/>
          <w:sz w:val="24"/>
          <w:szCs w:val="24"/>
        </w:rPr>
        <w:t>138</w:t>
      </w:r>
      <w:r w:rsidR="00F54AC6" w:rsidRPr="007B0913">
        <w:rPr>
          <w:rFonts w:ascii="Times New Roman" w:hAnsi="Times New Roman" w:cs="Times New Roman"/>
          <w:sz w:val="24"/>
          <w:szCs w:val="24"/>
        </w:rPr>
        <w:t xml:space="preserve"> </w:t>
      </w:r>
      <w:r w:rsidR="00124112" w:rsidRPr="007B0913">
        <w:rPr>
          <w:rFonts w:ascii="Times New Roman" w:hAnsi="Times New Roman" w:cs="Times New Roman"/>
          <w:sz w:val="24"/>
          <w:szCs w:val="24"/>
        </w:rPr>
        <w:t xml:space="preserve">confers upon a trial judge the </w:t>
      </w:r>
      <w:r w:rsidR="000C036F" w:rsidRPr="007B0913">
        <w:rPr>
          <w:rFonts w:ascii="Times New Roman" w:hAnsi="Times New Roman" w:cs="Times New Roman"/>
          <w:sz w:val="24"/>
          <w:szCs w:val="24"/>
        </w:rPr>
        <w:t>discretion to</w:t>
      </w:r>
      <w:r w:rsidR="00E01D28" w:rsidRPr="007B0913">
        <w:rPr>
          <w:rFonts w:ascii="Times New Roman" w:hAnsi="Times New Roman" w:cs="Times New Roman"/>
          <w:sz w:val="24"/>
          <w:szCs w:val="24"/>
        </w:rPr>
        <w:t xml:space="preserve"> exclude evidence that was improperly or illegally obtained</w:t>
      </w:r>
      <w:r w:rsidR="000C036F" w:rsidRPr="007B0913">
        <w:rPr>
          <w:rFonts w:ascii="Times New Roman" w:hAnsi="Times New Roman" w:cs="Times New Roman"/>
          <w:sz w:val="24"/>
          <w:szCs w:val="24"/>
        </w:rPr>
        <w:t>.</w:t>
      </w:r>
      <w:r w:rsidR="00E01D28" w:rsidRPr="007B0913">
        <w:rPr>
          <w:rFonts w:ascii="Times New Roman" w:hAnsi="Times New Roman" w:cs="Times New Roman"/>
          <w:sz w:val="24"/>
          <w:szCs w:val="24"/>
        </w:rPr>
        <w:t xml:space="preserve">  </w:t>
      </w:r>
      <w:r w:rsidR="00F67CB4" w:rsidRPr="007B0913">
        <w:rPr>
          <w:rFonts w:ascii="Times New Roman" w:hAnsi="Times New Roman" w:cs="Times New Roman"/>
          <w:sz w:val="24"/>
          <w:szCs w:val="24"/>
        </w:rPr>
        <w:t>That discretion must, of course, be exercised judicially and it</w:t>
      </w:r>
      <w:r w:rsidR="000C036F" w:rsidRPr="007B0913">
        <w:rPr>
          <w:rFonts w:ascii="Times New Roman" w:hAnsi="Times New Roman" w:cs="Times New Roman"/>
          <w:sz w:val="24"/>
          <w:szCs w:val="24"/>
        </w:rPr>
        <w:t xml:space="preserve"> </w:t>
      </w:r>
      <w:r w:rsidR="00F67CB4" w:rsidRPr="007B0913">
        <w:rPr>
          <w:rFonts w:ascii="Times New Roman" w:hAnsi="Times New Roman" w:cs="Times New Roman"/>
          <w:sz w:val="24"/>
          <w:szCs w:val="24"/>
        </w:rPr>
        <w:t>is</w:t>
      </w:r>
      <w:r w:rsidR="00407951" w:rsidRPr="007B0913">
        <w:rPr>
          <w:rFonts w:ascii="Times New Roman" w:hAnsi="Times New Roman" w:cs="Times New Roman"/>
          <w:sz w:val="24"/>
          <w:szCs w:val="24"/>
        </w:rPr>
        <w:t xml:space="preserve"> </w:t>
      </w:r>
      <w:r w:rsidR="0036199B" w:rsidRPr="007B0913">
        <w:rPr>
          <w:rFonts w:ascii="Times New Roman" w:hAnsi="Times New Roman" w:cs="Times New Roman"/>
          <w:sz w:val="24"/>
          <w:szCs w:val="24"/>
        </w:rPr>
        <w:t>significantly</w:t>
      </w:r>
      <w:r w:rsidR="000C036F" w:rsidRPr="007B0913">
        <w:rPr>
          <w:rFonts w:ascii="Times New Roman" w:hAnsi="Times New Roman" w:cs="Times New Roman"/>
          <w:sz w:val="24"/>
          <w:szCs w:val="24"/>
        </w:rPr>
        <w:t xml:space="preserve"> circumscribed.  Such</w:t>
      </w:r>
      <w:r w:rsidR="00E01D28" w:rsidRPr="007B0913">
        <w:rPr>
          <w:rFonts w:ascii="Times New Roman" w:hAnsi="Times New Roman" w:cs="Times New Roman"/>
          <w:sz w:val="24"/>
          <w:szCs w:val="24"/>
        </w:rPr>
        <w:t xml:space="preserve"> evidence is not to be admitted unless the desirability </w:t>
      </w:r>
      <w:r w:rsidR="00F67CB4" w:rsidRPr="007B0913">
        <w:rPr>
          <w:rFonts w:ascii="Times New Roman" w:hAnsi="Times New Roman" w:cs="Times New Roman"/>
          <w:sz w:val="24"/>
          <w:szCs w:val="24"/>
        </w:rPr>
        <w:t xml:space="preserve">of its admission </w:t>
      </w:r>
      <w:r w:rsidR="00E01D28" w:rsidRPr="007B0913">
        <w:rPr>
          <w:rFonts w:ascii="Times New Roman" w:hAnsi="Times New Roman" w:cs="Times New Roman"/>
          <w:sz w:val="24"/>
          <w:szCs w:val="24"/>
        </w:rPr>
        <w:t xml:space="preserve">outweighs the undesirability of its admission.  </w:t>
      </w:r>
    </w:p>
    <w:p w14:paraId="001A8C0B" w14:textId="4F5A9840" w:rsidR="00B9421A" w:rsidRPr="007B0913" w:rsidRDefault="00F67CB4"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Section 138(3)</w:t>
      </w:r>
      <w:r w:rsidR="00E01D28" w:rsidRPr="007B0913">
        <w:rPr>
          <w:rFonts w:ascii="Times New Roman" w:hAnsi="Times New Roman" w:cs="Times New Roman"/>
          <w:sz w:val="24"/>
          <w:szCs w:val="24"/>
        </w:rPr>
        <w:t xml:space="preserve"> sets out a number of matters, non-exhaustive in nature, th</w:t>
      </w:r>
      <w:r w:rsidR="000C036F" w:rsidRPr="007B0913">
        <w:rPr>
          <w:rFonts w:ascii="Times New Roman" w:hAnsi="Times New Roman" w:cs="Times New Roman"/>
          <w:sz w:val="24"/>
          <w:szCs w:val="24"/>
        </w:rPr>
        <w:t xml:space="preserve">at </w:t>
      </w:r>
      <w:r w:rsidR="00407951" w:rsidRPr="007B0913">
        <w:rPr>
          <w:rFonts w:ascii="Times New Roman" w:hAnsi="Times New Roman" w:cs="Times New Roman"/>
          <w:sz w:val="24"/>
          <w:szCs w:val="24"/>
        </w:rPr>
        <w:t>a court</w:t>
      </w:r>
      <w:r w:rsidR="00E01D28" w:rsidRPr="007B0913">
        <w:rPr>
          <w:rFonts w:ascii="Times New Roman" w:hAnsi="Times New Roman" w:cs="Times New Roman"/>
          <w:sz w:val="24"/>
          <w:szCs w:val="24"/>
        </w:rPr>
        <w:t xml:space="preserve"> may take into account in determining whether to exercise this </w:t>
      </w:r>
      <w:r w:rsidRPr="007B0913">
        <w:rPr>
          <w:rFonts w:ascii="Times New Roman" w:hAnsi="Times New Roman" w:cs="Times New Roman"/>
          <w:sz w:val="24"/>
          <w:szCs w:val="24"/>
        </w:rPr>
        <w:t>power</w:t>
      </w:r>
      <w:r w:rsidR="00E01D28" w:rsidRPr="007B0913">
        <w:rPr>
          <w:rFonts w:ascii="Times New Roman" w:hAnsi="Times New Roman" w:cs="Times New Roman"/>
          <w:sz w:val="24"/>
          <w:szCs w:val="24"/>
        </w:rPr>
        <w:t xml:space="preserve">.  These include </w:t>
      </w:r>
      <w:r w:rsidR="00FB306E" w:rsidRPr="007B0913">
        <w:rPr>
          <w:rFonts w:ascii="Times New Roman" w:hAnsi="Times New Roman" w:cs="Times New Roman"/>
          <w:sz w:val="24"/>
          <w:szCs w:val="24"/>
        </w:rPr>
        <w:t xml:space="preserve">the probative value of the evidence and its importance in </w:t>
      </w:r>
      <w:r w:rsidR="000C036F" w:rsidRPr="007B0913">
        <w:rPr>
          <w:rFonts w:ascii="Times New Roman" w:hAnsi="Times New Roman" w:cs="Times New Roman"/>
          <w:sz w:val="24"/>
          <w:szCs w:val="24"/>
        </w:rPr>
        <w:t>the proceeding</w:t>
      </w:r>
      <w:r w:rsidR="00FB306E" w:rsidRPr="007B0913">
        <w:rPr>
          <w:rFonts w:ascii="Times New Roman" w:hAnsi="Times New Roman" w:cs="Times New Roman"/>
          <w:sz w:val="24"/>
          <w:szCs w:val="24"/>
        </w:rPr>
        <w:t xml:space="preserve">, as well as the nature of the relevant offence charged and the gravity of the impropriety or contravention.  </w:t>
      </w:r>
      <w:r w:rsidR="000335D0" w:rsidRPr="007B0913">
        <w:rPr>
          <w:rFonts w:ascii="Times New Roman" w:hAnsi="Times New Roman" w:cs="Times New Roman"/>
          <w:sz w:val="24"/>
          <w:szCs w:val="24"/>
        </w:rPr>
        <w:t>It is also relevant to consider whether the impropriety or contravent</w:t>
      </w:r>
      <w:r w:rsidRPr="007B0913">
        <w:rPr>
          <w:rFonts w:ascii="Times New Roman" w:hAnsi="Times New Roman" w:cs="Times New Roman"/>
          <w:sz w:val="24"/>
          <w:szCs w:val="24"/>
        </w:rPr>
        <w:t xml:space="preserve">ion was deliberate or reckless; </w:t>
      </w:r>
      <w:r w:rsidR="000335D0" w:rsidRPr="007B0913">
        <w:rPr>
          <w:rFonts w:ascii="Times New Roman" w:hAnsi="Times New Roman" w:cs="Times New Roman"/>
          <w:sz w:val="24"/>
          <w:szCs w:val="24"/>
        </w:rPr>
        <w:t xml:space="preserve">whether it was contrary to or inconsistent with a right recognised by the </w:t>
      </w:r>
      <w:r w:rsidR="000335D0" w:rsidRPr="007B0913">
        <w:rPr>
          <w:rFonts w:ascii="Times New Roman" w:hAnsi="Times New Roman" w:cs="Times New Roman"/>
          <w:i/>
          <w:sz w:val="24"/>
          <w:szCs w:val="24"/>
        </w:rPr>
        <w:t>International Covenant on Civil and</w:t>
      </w:r>
      <w:r w:rsidR="000335D0" w:rsidRPr="007B0913">
        <w:rPr>
          <w:rFonts w:ascii="Times New Roman" w:hAnsi="Times New Roman" w:cs="Times New Roman"/>
          <w:sz w:val="24"/>
          <w:szCs w:val="24"/>
        </w:rPr>
        <w:t xml:space="preserve"> </w:t>
      </w:r>
      <w:r w:rsidR="000335D0" w:rsidRPr="007B0913">
        <w:rPr>
          <w:rFonts w:ascii="Times New Roman" w:hAnsi="Times New Roman" w:cs="Times New Roman"/>
          <w:i/>
          <w:sz w:val="24"/>
          <w:szCs w:val="24"/>
        </w:rPr>
        <w:t>Political</w:t>
      </w:r>
      <w:r w:rsidR="009B3631" w:rsidRPr="007B0913">
        <w:rPr>
          <w:rFonts w:ascii="Times New Roman" w:hAnsi="Times New Roman" w:cs="Times New Roman"/>
          <w:i/>
          <w:sz w:val="24"/>
          <w:szCs w:val="24"/>
        </w:rPr>
        <w:t xml:space="preserve"> Ri</w:t>
      </w:r>
      <w:r w:rsidR="000335D0" w:rsidRPr="007B0913">
        <w:rPr>
          <w:rFonts w:ascii="Times New Roman" w:hAnsi="Times New Roman" w:cs="Times New Roman"/>
          <w:i/>
          <w:sz w:val="24"/>
          <w:szCs w:val="24"/>
        </w:rPr>
        <w:t>ghts</w:t>
      </w:r>
      <w:r w:rsidR="009B3631" w:rsidRPr="007B0913">
        <w:rPr>
          <w:rFonts w:ascii="Times New Roman" w:hAnsi="Times New Roman" w:cs="Times New Roman"/>
          <w:sz w:val="24"/>
          <w:szCs w:val="24"/>
        </w:rPr>
        <w:t xml:space="preserve"> (</w:t>
      </w:r>
      <w:r w:rsidR="00FB2B9D" w:rsidRPr="007B0913">
        <w:rPr>
          <w:rFonts w:ascii="Times New Roman" w:hAnsi="Times New Roman" w:cs="Times New Roman"/>
          <w:sz w:val="24"/>
          <w:szCs w:val="24"/>
        </w:rPr>
        <w:t>‘</w:t>
      </w:r>
      <w:r w:rsidR="009B3631" w:rsidRPr="007B0913">
        <w:rPr>
          <w:rFonts w:ascii="Times New Roman" w:hAnsi="Times New Roman" w:cs="Times New Roman"/>
          <w:sz w:val="24"/>
          <w:szCs w:val="24"/>
        </w:rPr>
        <w:t>ICCPR</w:t>
      </w:r>
      <w:r w:rsidR="00FB2B9D" w:rsidRPr="007B0913">
        <w:rPr>
          <w:rFonts w:ascii="Times New Roman" w:hAnsi="Times New Roman" w:cs="Times New Roman"/>
          <w:sz w:val="24"/>
          <w:szCs w:val="24"/>
        </w:rPr>
        <w:t>’</w:t>
      </w:r>
      <w:r w:rsidR="009B3631" w:rsidRPr="007B0913">
        <w:rPr>
          <w:rFonts w:ascii="Times New Roman" w:hAnsi="Times New Roman" w:cs="Times New Roman"/>
          <w:sz w:val="24"/>
          <w:szCs w:val="24"/>
        </w:rPr>
        <w:t>)</w:t>
      </w:r>
      <w:r w:rsidRPr="007B0913">
        <w:rPr>
          <w:rFonts w:ascii="Times New Roman" w:hAnsi="Times New Roman" w:cs="Times New Roman"/>
          <w:sz w:val="24"/>
          <w:szCs w:val="24"/>
        </w:rPr>
        <w:t xml:space="preserve">; </w:t>
      </w:r>
      <w:r w:rsidR="000335D0" w:rsidRPr="007B0913">
        <w:rPr>
          <w:rFonts w:ascii="Times New Roman" w:hAnsi="Times New Roman" w:cs="Times New Roman"/>
          <w:sz w:val="24"/>
          <w:szCs w:val="24"/>
        </w:rPr>
        <w:t>and the difficulty</w:t>
      </w:r>
      <w:r w:rsidR="004F7708" w:rsidRPr="007B0913">
        <w:rPr>
          <w:rFonts w:ascii="Times New Roman" w:hAnsi="Times New Roman" w:cs="Times New Roman"/>
          <w:sz w:val="24"/>
          <w:szCs w:val="24"/>
        </w:rPr>
        <w:t>,</w:t>
      </w:r>
      <w:r w:rsidR="000335D0" w:rsidRPr="007B0913">
        <w:rPr>
          <w:rFonts w:ascii="Times New Roman" w:hAnsi="Times New Roman" w:cs="Times New Roman"/>
          <w:sz w:val="24"/>
          <w:szCs w:val="24"/>
        </w:rPr>
        <w:t xml:space="preserve"> if any</w:t>
      </w:r>
      <w:r w:rsidR="004F7708" w:rsidRPr="007B0913">
        <w:rPr>
          <w:rFonts w:ascii="Times New Roman" w:hAnsi="Times New Roman" w:cs="Times New Roman"/>
          <w:sz w:val="24"/>
          <w:szCs w:val="24"/>
        </w:rPr>
        <w:t>,</w:t>
      </w:r>
      <w:r w:rsidR="000335D0" w:rsidRPr="007B0913">
        <w:rPr>
          <w:rFonts w:ascii="Times New Roman" w:hAnsi="Times New Roman" w:cs="Times New Roman"/>
          <w:sz w:val="24"/>
          <w:szCs w:val="24"/>
        </w:rPr>
        <w:t xml:space="preserve"> of obtaining the evidence without such impropriety or contravention. </w:t>
      </w:r>
    </w:p>
    <w:p w14:paraId="51FB2C38" w14:textId="618FB7C6" w:rsidR="00CB7DCD" w:rsidRPr="007B0913" w:rsidRDefault="009B3631"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It is noteworthy that s 138 does not include</w:t>
      </w:r>
      <w:r w:rsidR="00407951" w:rsidRPr="007B0913">
        <w:rPr>
          <w:rFonts w:ascii="Times New Roman" w:hAnsi="Times New Roman" w:cs="Times New Roman"/>
          <w:sz w:val="24"/>
          <w:szCs w:val="24"/>
        </w:rPr>
        <w:t>,</w:t>
      </w:r>
      <w:r w:rsidR="00F67CB4" w:rsidRPr="007B0913">
        <w:rPr>
          <w:rFonts w:ascii="Times New Roman" w:hAnsi="Times New Roman" w:cs="Times New Roman"/>
          <w:sz w:val="24"/>
          <w:szCs w:val="24"/>
        </w:rPr>
        <w:t xml:space="preserve"> within those matters </w:t>
      </w:r>
      <w:r w:rsidRPr="007B0913">
        <w:rPr>
          <w:rFonts w:ascii="Times New Roman" w:hAnsi="Times New Roman" w:cs="Times New Roman"/>
          <w:sz w:val="24"/>
          <w:szCs w:val="24"/>
        </w:rPr>
        <w:t xml:space="preserve">that are to be taken into account, whether there has been a breach of Charter rights.  Nonetheless, the </w:t>
      </w:r>
      <w:r w:rsidR="004F7708" w:rsidRPr="007B0913">
        <w:rPr>
          <w:rFonts w:ascii="Times New Roman" w:hAnsi="Times New Roman" w:cs="Times New Roman"/>
          <w:sz w:val="24"/>
          <w:szCs w:val="24"/>
        </w:rPr>
        <w:t>reference</w:t>
      </w:r>
      <w:r w:rsidR="00F67CB4" w:rsidRPr="007B0913">
        <w:rPr>
          <w:rFonts w:ascii="Times New Roman" w:hAnsi="Times New Roman" w:cs="Times New Roman"/>
          <w:sz w:val="24"/>
          <w:szCs w:val="24"/>
        </w:rPr>
        <w:t xml:space="preserve"> </w:t>
      </w:r>
      <w:r w:rsidR="00C52878" w:rsidRPr="007B0913">
        <w:rPr>
          <w:rFonts w:ascii="Times New Roman" w:hAnsi="Times New Roman" w:cs="Times New Roman"/>
          <w:sz w:val="24"/>
          <w:szCs w:val="24"/>
        </w:rPr>
        <w:t>in the section</w:t>
      </w:r>
      <w:r w:rsidR="004F7708" w:rsidRPr="007B0913">
        <w:rPr>
          <w:rFonts w:ascii="Times New Roman" w:hAnsi="Times New Roman" w:cs="Times New Roman"/>
          <w:sz w:val="24"/>
          <w:szCs w:val="24"/>
        </w:rPr>
        <w:t xml:space="preserve"> to the ICCPR </w:t>
      </w:r>
      <w:r w:rsidR="00C52878" w:rsidRPr="007B0913">
        <w:rPr>
          <w:rFonts w:ascii="Times New Roman" w:hAnsi="Times New Roman" w:cs="Times New Roman"/>
          <w:sz w:val="24"/>
          <w:szCs w:val="24"/>
        </w:rPr>
        <w:t xml:space="preserve">effectively encompasses all </w:t>
      </w:r>
      <w:r w:rsidR="00F67CB4" w:rsidRPr="007B0913">
        <w:rPr>
          <w:rFonts w:ascii="Times New Roman" w:hAnsi="Times New Roman" w:cs="Times New Roman"/>
          <w:sz w:val="24"/>
          <w:szCs w:val="24"/>
        </w:rPr>
        <w:t xml:space="preserve">of </w:t>
      </w:r>
      <w:r w:rsidR="004F7708" w:rsidRPr="007B0913">
        <w:rPr>
          <w:rFonts w:ascii="Times New Roman" w:hAnsi="Times New Roman" w:cs="Times New Roman"/>
          <w:sz w:val="24"/>
          <w:szCs w:val="24"/>
        </w:rPr>
        <w:t xml:space="preserve">the rights contained within </w:t>
      </w:r>
      <w:r w:rsidR="00A371AB" w:rsidRPr="007B0913">
        <w:rPr>
          <w:rFonts w:ascii="Times New Roman" w:hAnsi="Times New Roman" w:cs="Times New Roman"/>
          <w:sz w:val="24"/>
          <w:szCs w:val="24"/>
        </w:rPr>
        <w:t xml:space="preserve">s </w:t>
      </w:r>
      <w:r w:rsidR="00F67CB4" w:rsidRPr="007B0913">
        <w:rPr>
          <w:rFonts w:ascii="Times New Roman" w:hAnsi="Times New Roman" w:cs="Times New Roman"/>
          <w:sz w:val="24"/>
          <w:szCs w:val="24"/>
        </w:rPr>
        <w:t>25 of the Charter</w:t>
      </w:r>
      <w:r w:rsidR="004F7708" w:rsidRPr="007B0913">
        <w:rPr>
          <w:rFonts w:ascii="Times New Roman" w:hAnsi="Times New Roman" w:cs="Times New Roman"/>
          <w:sz w:val="24"/>
          <w:szCs w:val="24"/>
        </w:rPr>
        <w:t>.</w:t>
      </w:r>
      <w:r w:rsidR="004F7708" w:rsidRPr="007B0913">
        <w:rPr>
          <w:rStyle w:val="FootnoteReference"/>
          <w:rFonts w:ascii="Times New Roman" w:hAnsi="Times New Roman" w:cs="Times New Roman"/>
          <w:sz w:val="24"/>
          <w:szCs w:val="24"/>
        </w:rPr>
        <w:footnoteReference w:id="25"/>
      </w:r>
      <w:r w:rsidR="004F7708" w:rsidRPr="007B0913">
        <w:rPr>
          <w:rFonts w:ascii="Times New Roman" w:hAnsi="Times New Roman" w:cs="Times New Roman"/>
          <w:sz w:val="24"/>
          <w:szCs w:val="24"/>
        </w:rPr>
        <w:t xml:space="preserve"> </w:t>
      </w:r>
    </w:p>
    <w:p w14:paraId="06267F72" w14:textId="0DF3EFB7" w:rsidR="00585172" w:rsidRPr="007B0913" w:rsidRDefault="006F2672" w:rsidP="00585172">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lastRenderedPageBreak/>
        <w:t xml:space="preserve">The </w:t>
      </w:r>
      <w:r w:rsidR="009334AF" w:rsidRPr="007B0913">
        <w:rPr>
          <w:rFonts w:ascii="Times New Roman" w:hAnsi="Times New Roman" w:cs="Times New Roman"/>
          <w:sz w:val="24"/>
          <w:szCs w:val="24"/>
        </w:rPr>
        <w:t xml:space="preserve">next </w:t>
      </w:r>
      <w:r w:rsidRPr="007B0913">
        <w:rPr>
          <w:rFonts w:ascii="Times New Roman" w:hAnsi="Times New Roman" w:cs="Times New Roman"/>
          <w:sz w:val="24"/>
          <w:szCs w:val="24"/>
        </w:rPr>
        <w:t>point to note is that a number of the provisions in the Charter setting out var</w:t>
      </w:r>
      <w:r w:rsidR="009334AF" w:rsidRPr="007B0913">
        <w:rPr>
          <w:rFonts w:ascii="Times New Roman" w:hAnsi="Times New Roman" w:cs="Times New Roman"/>
          <w:sz w:val="24"/>
          <w:szCs w:val="24"/>
        </w:rPr>
        <w:t xml:space="preserve">ious rights </w:t>
      </w:r>
      <w:r w:rsidR="008A368E" w:rsidRPr="007B0913">
        <w:rPr>
          <w:rFonts w:ascii="Times New Roman" w:hAnsi="Times New Roman" w:cs="Times New Roman"/>
          <w:sz w:val="24"/>
          <w:szCs w:val="24"/>
        </w:rPr>
        <w:t xml:space="preserve">that are integral to the workings of the </w:t>
      </w:r>
      <w:r w:rsidR="009334AF" w:rsidRPr="007B0913">
        <w:rPr>
          <w:rFonts w:ascii="Times New Roman" w:hAnsi="Times New Roman" w:cs="Times New Roman"/>
          <w:sz w:val="24"/>
          <w:szCs w:val="24"/>
        </w:rPr>
        <w:t>criminal justice system</w:t>
      </w:r>
      <w:r w:rsidRPr="007B0913">
        <w:rPr>
          <w:rFonts w:ascii="Times New Roman" w:hAnsi="Times New Roman" w:cs="Times New Roman"/>
          <w:sz w:val="24"/>
          <w:szCs w:val="24"/>
        </w:rPr>
        <w:t>, and particularly those</w:t>
      </w:r>
      <w:r w:rsidR="008A368E" w:rsidRPr="007B0913">
        <w:rPr>
          <w:rFonts w:ascii="Times New Roman" w:hAnsi="Times New Roman" w:cs="Times New Roman"/>
          <w:sz w:val="24"/>
          <w:szCs w:val="24"/>
        </w:rPr>
        <w:t xml:space="preserve"> </w:t>
      </w:r>
      <w:r w:rsidRPr="007B0913">
        <w:rPr>
          <w:rFonts w:ascii="Times New Roman" w:hAnsi="Times New Roman" w:cs="Times New Roman"/>
          <w:sz w:val="24"/>
          <w:szCs w:val="24"/>
        </w:rPr>
        <w:t xml:space="preserve">associated with the right to a fair trial, are expressed in language </w:t>
      </w:r>
      <w:r w:rsidR="0036199B" w:rsidRPr="007B0913">
        <w:rPr>
          <w:rFonts w:ascii="Times New Roman" w:hAnsi="Times New Roman" w:cs="Times New Roman"/>
          <w:sz w:val="24"/>
          <w:szCs w:val="24"/>
        </w:rPr>
        <w:t>of a somewhat</w:t>
      </w:r>
      <w:r w:rsidR="00657EC3" w:rsidRPr="007B0913">
        <w:rPr>
          <w:rFonts w:ascii="Times New Roman" w:hAnsi="Times New Roman" w:cs="Times New Roman"/>
          <w:sz w:val="24"/>
          <w:szCs w:val="24"/>
        </w:rPr>
        <w:t xml:space="preserve"> </w:t>
      </w:r>
      <w:r w:rsidRPr="007B0913">
        <w:rPr>
          <w:rFonts w:ascii="Times New Roman" w:hAnsi="Times New Roman" w:cs="Times New Roman"/>
          <w:sz w:val="24"/>
          <w:szCs w:val="24"/>
        </w:rPr>
        <w:t>opaque</w:t>
      </w:r>
      <w:r w:rsidR="0036199B" w:rsidRPr="007B0913">
        <w:rPr>
          <w:rFonts w:ascii="Times New Roman" w:hAnsi="Times New Roman" w:cs="Times New Roman"/>
          <w:sz w:val="24"/>
          <w:szCs w:val="24"/>
        </w:rPr>
        <w:t xml:space="preserve"> nature</w:t>
      </w:r>
      <w:r w:rsidRPr="007B0913">
        <w:rPr>
          <w:rFonts w:ascii="Times New Roman" w:hAnsi="Times New Roman" w:cs="Times New Roman"/>
          <w:sz w:val="24"/>
          <w:szCs w:val="24"/>
        </w:rPr>
        <w:t xml:space="preserve">. </w:t>
      </w:r>
      <w:r w:rsidR="007F6725" w:rsidRPr="007B0913">
        <w:rPr>
          <w:rFonts w:ascii="Times New Roman" w:hAnsi="Times New Roman" w:cs="Times New Roman"/>
          <w:sz w:val="24"/>
          <w:szCs w:val="24"/>
        </w:rPr>
        <w:t xml:space="preserve"> Terms such as ‘without unreasonable delay’, ‘humanity’, and ‘respect for the inherent dignity of the human person’, all have an open texture built into them.  </w:t>
      </w:r>
      <w:r w:rsidR="009334AF" w:rsidRPr="007B0913">
        <w:rPr>
          <w:rFonts w:ascii="Times New Roman" w:hAnsi="Times New Roman" w:cs="Times New Roman"/>
          <w:sz w:val="24"/>
          <w:szCs w:val="24"/>
        </w:rPr>
        <w:t xml:space="preserve">Moreover, </w:t>
      </w:r>
      <w:r w:rsidR="00AF7ECA" w:rsidRPr="007B0913">
        <w:rPr>
          <w:rFonts w:ascii="Times New Roman" w:hAnsi="Times New Roman" w:cs="Times New Roman"/>
          <w:sz w:val="24"/>
          <w:szCs w:val="24"/>
        </w:rPr>
        <w:t>building into an express right a qualification such as</w:t>
      </w:r>
      <w:r w:rsidR="0061581B" w:rsidRPr="007B0913">
        <w:rPr>
          <w:rFonts w:ascii="Times New Roman" w:hAnsi="Times New Roman" w:cs="Times New Roman"/>
          <w:sz w:val="24"/>
          <w:szCs w:val="24"/>
        </w:rPr>
        <w:t xml:space="preserve"> ‘</w:t>
      </w:r>
      <w:r w:rsidR="00B138CC" w:rsidRPr="007B0913">
        <w:rPr>
          <w:rFonts w:ascii="Times New Roman" w:hAnsi="Times New Roman" w:cs="Times New Roman"/>
          <w:sz w:val="24"/>
          <w:szCs w:val="24"/>
        </w:rPr>
        <w:t>unless</w:t>
      </w:r>
      <w:r w:rsidR="0061581B" w:rsidRPr="007B0913">
        <w:rPr>
          <w:rFonts w:ascii="Times New Roman" w:hAnsi="Times New Roman" w:cs="Times New Roman"/>
          <w:sz w:val="24"/>
          <w:szCs w:val="24"/>
        </w:rPr>
        <w:t xml:space="preserve"> otherwise provided for by law’</w:t>
      </w:r>
      <w:r w:rsidR="0027655C" w:rsidRPr="007B0913">
        <w:rPr>
          <w:rStyle w:val="FootnoteReference"/>
          <w:rFonts w:ascii="Times New Roman" w:hAnsi="Times New Roman" w:cs="Times New Roman"/>
          <w:sz w:val="24"/>
          <w:szCs w:val="24"/>
        </w:rPr>
        <w:footnoteReference w:id="26"/>
      </w:r>
      <w:r w:rsidR="00AF7ECA" w:rsidRPr="007B0913">
        <w:rPr>
          <w:rFonts w:ascii="Times New Roman" w:hAnsi="Times New Roman" w:cs="Times New Roman"/>
          <w:sz w:val="24"/>
          <w:szCs w:val="24"/>
        </w:rPr>
        <w:t xml:space="preserve"> can </w:t>
      </w:r>
      <w:r w:rsidR="007F6725" w:rsidRPr="007B0913">
        <w:rPr>
          <w:rFonts w:ascii="Times New Roman" w:hAnsi="Times New Roman" w:cs="Times New Roman"/>
          <w:sz w:val="24"/>
          <w:szCs w:val="24"/>
        </w:rPr>
        <w:t>effectively neuter the</w:t>
      </w:r>
      <w:r w:rsidR="00AF7ECA" w:rsidRPr="007B0913">
        <w:rPr>
          <w:rFonts w:ascii="Times New Roman" w:hAnsi="Times New Roman" w:cs="Times New Roman"/>
          <w:sz w:val="24"/>
          <w:szCs w:val="24"/>
        </w:rPr>
        <w:t xml:space="preserve"> right</w:t>
      </w:r>
      <w:r w:rsidR="007F6725" w:rsidRPr="007B0913">
        <w:rPr>
          <w:rFonts w:ascii="Times New Roman" w:hAnsi="Times New Roman" w:cs="Times New Roman"/>
          <w:sz w:val="24"/>
          <w:szCs w:val="24"/>
        </w:rPr>
        <w:t xml:space="preserve"> in question, and render</w:t>
      </w:r>
      <w:r w:rsidR="00AF7ECA" w:rsidRPr="007B0913">
        <w:rPr>
          <w:rFonts w:ascii="Times New Roman" w:hAnsi="Times New Roman" w:cs="Times New Roman"/>
          <w:sz w:val="24"/>
          <w:szCs w:val="24"/>
        </w:rPr>
        <w:t xml:space="preserve"> it virtually </w:t>
      </w:r>
      <w:r w:rsidR="00657EC3" w:rsidRPr="007B0913">
        <w:rPr>
          <w:rFonts w:ascii="Times New Roman" w:hAnsi="Times New Roman" w:cs="Times New Roman"/>
          <w:sz w:val="24"/>
          <w:szCs w:val="24"/>
        </w:rPr>
        <w:t>meaningless.</w:t>
      </w:r>
      <w:r w:rsidR="009334AF" w:rsidRPr="007B0913">
        <w:rPr>
          <w:rFonts w:ascii="Times New Roman" w:hAnsi="Times New Roman" w:cs="Times New Roman"/>
          <w:sz w:val="24"/>
          <w:szCs w:val="24"/>
        </w:rPr>
        <w:t xml:space="preserve">  Thus, for </w:t>
      </w:r>
      <w:r w:rsidR="00B138CC" w:rsidRPr="007B0913">
        <w:rPr>
          <w:rFonts w:ascii="Times New Roman" w:hAnsi="Times New Roman" w:cs="Times New Roman"/>
          <w:sz w:val="24"/>
          <w:szCs w:val="24"/>
        </w:rPr>
        <w:t xml:space="preserve">example, </w:t>
      </w:r>
      <w:r w:rsidR="00657EC3" w:rsidRPr="007B0913">
        <w:rPr>
          <w:rFonts w:ascii="Times New Roman" w:hAnsi="Times New Roman" w:cs="Times New Roman"/>
          <w:sz w:val="24"/>
          <w:szCs w:val="24"/>
        </w:rPr>
        <w:t xml:space="preserve">it has been held that </w:t>
      </w:r>
      <w:r w:rsidR="009334AF" w:rsidRPr="007B0913">
        <w:rPr>
          <w:rFonts w:ascii="Times New Roman" w:hAnsi="Times New Roman" w:cs="Times New Roman"/>
          <w:sz w:val="24"/>
          <w:szCs w:val="24"/>
        </w:rPr>
        <w:t xml:space="preserve">legislative abrogation of the </w:t>
      </w:r>
      <w:r w:rsidR="00B3192F" w:rsidRPr="007B0913">
        <w:rPr>
          <w:rFonts w:ascii="Times New Roman" w:hAnsi="Times New Roman" w:cs="Times New Roman"/>
          <w:sz w:val="24"/>
          <w:szCs w:val="24"/>
        </w:rPr>
        <w:t>hearsay rule in criminal cases</w:t>
      </w:r>
      <w:r w:rsidR="009334AF" w:rsidRPr="007B0913">
        <w:rPr>
          <w:rFonts w:ascii="Times New Roman" w:hAnsi="Times New Roman" w:cs="Times New Roman"/>
          <w:sz w:val="24"/>
          <w:szCs w:val="24"/>
        </w:rPr>
        <w:t xml:space="preserve"> can be accommodated under provisions drafted in such </w:t>
      </w:r>
      <w:r w:rsidR="00657EC3" w:rsidRPr="007B0913">
        <w:rPr>
          <w:rFonts w:ascii="Times New Roman" w:hAnsi="Times New Roman" w:cs="Times New Roman"/>
          <w:sz w:val="24"/>
          <w:szCs w:val="24"/>
        </w:rPr>
        <w:t>terms.</w:t>
      </w:r>
      <w:r w:rsidR="00657EC3" w:rsidRPr="007B0913">
        <w:rPr>
          <w:rStyle w:val="FootnoteReference"/>
          <w:rFonts w:ascii="Times New Roman" w:hAnsi="Times New Roman" w:cs="Times New Roman"/>
          <w:sz w:val="24"/>
          <w:szCs w:val="24"/>
        </w:rPr>
        <w:footnoteReference w:id="27"/>
      </w:r>
      <w:r w:rsidR="00657EC3" w:rsidRPr="007B0913">
        <w:rPr>
          <w:rFonts w:ascii="Times New Roman" w:hAnsi="Times New Roman" w:cs="Times New Roman"/>
          <w:sz w:val="24"/>
          <w:szCs w:val="24"/>
        </w:rPr>
        <w:t xml:space="preserve">  </w:t>
      </w:r>
    </w:p>
    <w:p w14:paraId="34A35A6E" w14:textId="53B05FE5" w:rsidR="00547FC6" w:rsidRPr="00DF4D5E" w:rsidRDefault="000E782B" w:rsidP="006B2E41">
      <w:pPr>
        <w:spacing w:after="240" w:line="360" w:lineRule="auto"/>
        <w:jc w:val="both"/>
        <w:rPr>
          <w:rFonts w:ascii="Times New Roman" w:hAnsi="Times New Roman" w:cs="Times New Roman"/>
          <w:b/>
          <w:sz w:val="24"/>
          <w:szCs w:val="24"/>
        </w:rPr>
      </w:pPr>
      <w:r w:rsidRPr="00DF4D5E">
        <w:rPr>
          <w:rFonts w:ascii="Times New Roman" w:hAnsi="Times New Roman" w:cs="Times New Roman"/>
          <w:b/>
          <w:sz w:val="24"/>
          <w:szCs w:val="24"/>
        </w:rPr>
        <w:t xml:space="preserve">Statutory Interpretation </w:t>
      </w:r>
      <w:r w:rsidR="006B5C49" w:rsidRPr="00DF4D5E">
        <w:rPr>
          <w:rFonts w:ascii="Times New Roman" w:hAnsi="Times New Roman" w:cs="Times New Roman"/>
          <w:b/>
          <w:sz w:val="24"/>
          <w:szCs w:val="24"/>
        </w:rPr>
        <w:t>and</w:t>
      </w:r>
      <w:r w:rsidRPr="00DF4D5E">
        <w:rPr>
          <w:rFonts w:ascii="Times New Roman" w:hAnsi="Times New Roman" w:cs="Times New Roman"/>
          <w:b/>
          <w:sz w:val="24"/>
          <w:szCs w:val="24"/>
        </w:rPr>
        <w:t xml:space="preserve"> the Charter</w:t>
      </w:r>
    </w:p>
    <w:p w14:paraId="47372C1A" w14:textId="2D428729" w:rsidR="006F37C7" w:rsidRPr="007B0913" w:rsidRDefault="00641109"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Where the Charter </w:t>
      </w:r>
      <w:r w:rsidR="005F1A07" w:rsidRPr="007B0913">
        <w:rPr>
          <w:rFonts w:ascii="Times New Roman" w:hAnsi="Times New Roman" w:cs="Times New Roman"/>
          <w:sz w:val="24"/>
          <w:szCs w:val="24"/>
        </w:rPr>
        <w:t>could</w:t>
      </w:r>
      <w:r w:rsidR="00C93DF6" w:rsidRPr="007B0913">
        <w:rPr>
          <w:rFonts w:ascii="Times New Roman" w:hAnsi="Times New Roman" w:cs="Times New Roman"/>
          <w:sz w:val="24"/>
          <w:szCs w:val="24"/>
        </w:rPr>
        <w:t xml:space="preserve"> </w:t>
      </w:r>
      <w:r w:rsidR="005373A1" w:rsidRPr="007B0913">
        <w:rPr>
          <w:rFonts w:ascii="Times New Roman" w:hAnsi="Times New Roman" w:cs="Times New Roman"/>
          <w:sz w:val="24"/>
          <w:szCs w:val="24"/>
        </w:rPr>
        <w:t xml:space="preserve">potentially </w:t>
      </w:r>
      <w:r w:rsidR="00C93DF6" w:rsidRPr="007B0913">
        <w:rPr>
          <w:rFonts w:ascii="Times New Roman" w:hAnsi="Times New Roman" w:cs="Times New Roman"/>
          <w:sz w:val="24"/>
          <w:szCs w:val="24"/>
        </w:rPr>
        <w:t>have a</w:t>
      </w:r>
      <w:r w:rsidR="00F96F10" w:rsidRPr="007B0913">
        <w:rPr>
          <w:rFonts w:ascii="Times New Roman" w:hAnsi="Times New Roman" w:cs="Times New Roman"/>
          <w:sz w:val="24"/>
          <w:szCs w:val="24"/>
        </w:rPr>
        <w:t xml:space="preserve"> real impact</w:t>
      </w:r>
      <w:r w:rsidR="00C93DF6" w:rsidRPr="007B0913">
        <w:rPr>
          <w:rFonts w:ascii="Times New Roman" w:hAnsi="Times New Roman" w:cs="Times New Roman"/>
          <w:sz w:val="24"/>
          <w:szCs w:val="24"/>
        </w:rPr>
        <w:t xml:space="preserve"> in relation to</w:t>
      </w:r>
      <w:r w:rsidR="005F1A07" w:rsidRPr="007B0913">
        <w:rPr>
          <w:rFonts w:ascii="Times New Roman" w:hAnsi="Times New Roman" w:cs="Times New Roman"/>
          <w:sz w:val="24"/>
          <w:szCs w:val="24"/>
        </w:rPr>
        <w:t xml:space="preserve"> the </w:t>
      </w:r>
      <w:r w:rsidR="006F37C7" w:rsidRPr="007B0913">
        <w:rPr>
          <w:rFonts w:ascii="Times New Roman" w:hAnsi="Times New Roman" w:cs="Times New Roman"/>
          <w:sz w:val="24"/>
          <w:szCs w:val="24"/>
        </w:rPr>
        <w:t xml:space="preserve">daily </w:t>
      </w:r>
      <w:r w:rsidR="004351E2" w:rsidRPr="007B0913">
        <w:rPr>
          <w:rFonts w:ascii="Times New Roman" w:hAnsi="Times New Roman" w:cs="Times New Roman"/>
          <w:sz w:val="24"/>
          <w:szCs w:val="24"/>
        </w:rPr>
        <w:t>operation</w:t>
      </w:r>
      <w:r w:rsidR="006F37C7" w:rsidRPr="007B0913">
        <w:rPr>
          <w:rFonts w:ascii="Times New Roman" w:hAnsi="Times New Roman" w:cs="Times New Roman"/>
          <w:sz w:val="24"/>
          <w:szCs w:val="24"/>
        </w:rPr>
        <w:t xml:space="preserve"> of the</w:t>
      </w:r>
      <w:r w:rsidR="00C93DF6" w:rsidRPr="007B0913">
        <w:rPr>
          <w:rFonts w:ascii="Times New Roman" w:hAnsi="Times New Roman" w:cs="Times New Roman"/>
          <w:sz w:val="24"/>
          <w:szCs w:val="24"/>
        </w:rPr>
        <w:t xml:space="preserve"> criminal </w:t>
      </w:r>
      <w:r w:rsidR="006F37C7" w:rsidRPr="007B0913">
        <w:rPr>
          <w:rFonts w:ascii="Times New Roman" w:hAnsi="Times New Roman" w:cs="Times New Roman"/>
          <w:sz w:val="24"/>
          <w:szCs w:val="24"/>
        </w:rPr>
        <w:t xml:space="preserve">justice system </w:t>
      </w:r>
      <w:r w:rsidR="00F96F10" w:rsidRPr="007B0913">
        <w:rPr>
          <w:rFonts w:ascii="Times New Roman" w:hAnsi="Times New Roman" w:cs="Times New Roman"/>
          <w:sz w:val="24"/>
          <w:szCs w:val="24"/>
        </w:rPr>
        <w:t>is in the fie</w:t>
      </w:r>
      <w:r w:rsidR="009401C3" w:rsidRPr="007B0913">
        <w:rPr>
          <w:rFonts w:ascii="Times New Roman" w:hAnsi="Times New Roman" w:cs="Times New Roman"/>
          <w:sz w:val="24"/>
          <w:szCs w:val="24"/>
        </w:rPr>
        <w:t>ld</w:t>
      </w:r>
      <w:r w:rsidR="004B5910" w:rsidRPr="007B0913">
        <w:rPr>
          <w:rFonts w:ascii="Times New Roman" w:hAnsi="Times New Roman" w:cs="Times New Roman"/>
          <w:sz w:val="24"/>
          <w:szCs w:val="24"/>
        </w:rPr>
        <w:t xml:space="preserve"> of statutory interpretation.  </w:t>
      </w:r>
    </w:p>
    <w:p w14:paraId="163CD403" w14:textId="333E655C" w:rsidR="00641109" w:rsidRPr="007B0913" w:rsidRDefault="005373A1"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The</w:t>
      </w:r>
      <w:r w:rsidR="009401C3" w:rsidRPr="007B0913">
        <w:rPr>
          <w:rFonts w:ascii="Times New Roman" w:hAnsi="Times New Roman" w:cs="Times New Roman"/>
          <w:sz w:val="24"/>
          <w:szCs w:val="24"/>
        </w:rPr>
        <w:t xml:space="preserve"> key provision in this regard is s 32</w:t>
      </w:r>
      <w:r w:rsidRPr="007B0913">
        <w:rPr>
          <w:rFonts w:ascii="Times New Roman" w:hAnsi="Times New Roman" w:cs="Times New Roman"/>
          <w:sz w:val="24"/>
          <w:szCs w:val="24"/>
        </w:rPr>
        <w:t xml:space="preserve">.  </w:t>
      </w:r>
      <w:r w:rsidR="004E6FB3" w:rsidRPr="007B0913">
        <w:rPr>
          <w:rFonts w:ascii="Times New Roman" w:hAnsi="Times New Roman" w:cs="Times New Roman"/>
          <w:sz w:val="24"/>
          <w:szCs w:val="24"/>
        </w:rPr>
        <w:t>That</w:t>
      </w:r>
      <w:r w:rsidR="009401C3" w:rsidRPr="007B0913">
        <w:rPr>
          <w:rFonts w:ascii="Times New Roman" w:hAnsi="Times New Roman" w:cs="Times New Roman"/>
          <w:sz w:val="24"/>
          <w:szCs w:val="24"/>
        </w:rPr>
        <w:t xml:space="preserve"> section reads as follows:</w:t>
      </w:r>
    </w:p>
    <w:p w14:paraId="522C661E" w14:textId="61938F56" w:rsidR="004E005C" w:rsidRPr="007B0913" w:rsidRDefault="004E005C" w:rsidP="006B2E41">
      <w:pPr>
        <w:pStyle w:val="DraftHeading1"/>
        <w:ind w:left="1440" w:hanging="720"/>
        <w:jc w:val="both"/>
        <w:rPr>
          <w:sz w:val="22"/>
          <w:szCs w:val="22"/>
          <w:lang w:eastAsia="en-AU"/>
        </w:rPr>
      </w:pPr>
      <w:bookmarkStart w:id="0" w:name="_Toc133906368"/>
      <w:r w:rsidRPr="007B0913">
        <w:rPr>
          <w:sz w:val="22"/>
          <w:szCs w:val="22"/>
        </w:rPr>
        <w:t>32.</w:t>
      </w:r>
      <w:r w:rsidRPr="007B0913">
        <w:rPr>
          <w:sz w:val="22"/>
          <w:szCs w:val="22"/>
        </w:rPr>
        <w:tab/>
      </w:r>
      <w:r w:rsidRPr="007B0913">
        <w:rPr>
          <w:sz w:val="22"/>
          <w:szCs w:val="22"/>
          <w:lang w:eastAsia="en-AU"/>
        </w:rPr>
        <w:t>Interpretation</w:t>
      </w:r>
      <w:bookmarkEnd w:id="0"/>
    </w:p>
    <w:p w14:paraId="6903BA17" w14:textId="55AD0412" w:rsidR="004E005C" w:rsidRPr="007B0913" w:rsidRDefault="004E005C" w:rsidP="006B2E41">
      <w:pPr>
        <w:pStyle w:val="DraftHeading2"/>
        <w:tabs>
          <w:tab w:val="left" w:pos="1440"/>
          <w:tab w:val="left" w:pos="2160"/>
        </w:tabs>
        <w:ind w:left="2160" w:hanging="720"/>
        <w:jc w:val="both"/>
        <w:rPr>
          <w:sz w:val="22"/>
          <w:szCs w:val="22"/>
          <w:lang w:eastAsia="en-AU"/>
        </w:rPr>
      </w:pPr>
      <w:r w:rsidRPr="007B0913">
        <w:rPr>
          <w:sz w:val="22"/>
          <w:szCs w:val="22"/>
          <w:lang w:eastAsia="en-AU"/>
        </w:rPr>
        <w:t>(1)</w:t>
      </w:r>
      <w:r w:rsidRPr="007B0913">
        <w:rPr>
          <w:sz w:val="22"/>
          <w:szCs w:val="22"/>
          <w:lang w:eastAsia="en-AU"/>
        </w:rPr>
        <w:tab/>
        <w:t>So far as it is possible to do so consistently with their purpose, all statutory provisions must be interpreted in a way that is compatible with human rights.</w:t>
      </w:r>
    </w:p>
    <w:p w14:paraId="4F06EED4" w14:textId="11D23D0C" w:rsidR="004E005C" w:rsidRPr="007B0913" w:rsidRDefault="004E005C" w:rsidP="006B2E41">
      <w:pPr>
        <w:pStyle w:val="DraftHeading2"/>
        <w:tabs>
          <w:tab w:val="left" w:pos="1440"/>
          <w:tab w:val="left" w:pos="2160"/>
        </w:tabs>
        <w:ind w:left="2160" w:hanging="720"/>
        <w:jc w:val="both"/>
        <w:rPr>
          <w:sz w:val="22"/>
          <w:szCs w:val="22"/>
          <w:lang w:eastAsia="en-AU"/>
        </w:rPr>
      </w:pPr>
      <w:r w:rsidRPr="007B0913">
        <w:rPr>
          <w:sz w:val="22"/>
          <w:szCs w:val="22"/>
          <w:lang w:eastAsia="en-AU"/>
        </w:rPr>
        <w:t>(2)</w:t>
      </w:r>
      <w:r w:rsidRPr="007B0913">
        <w:rPr>
          <w:sz w:val="22"/>
          <w:szCs w:val="22"/>
          <w:lang w:eastAsia="en-AU"/>
        </w:rPr>
        <w:tab/>
        <w:t>International law and the judgments of domestic, foreign and international courts and tribunals relevant to a human right may be considered in interpreting a statutory provision.</w:t>
      </w:r>
    </w:p>
    <w:p w14:paraId="58051920" w14:textId="497CBD5D" w:rsidR="004E005C" w:rsidRPr="007B0913" w:rsidRDefault="004E005C" w:rsidP="006B2E41">
      <w:pPr>
        <w:pStyle w:val="DraftHeading2"/>
        <w:tabs>
          <w:tab w:val="left" w:pos="1440"/>
          <w:tab w:val="left" w:pos="2160"/>
        </w:tabs>
        <w:ind w:left="2160" w:hanging="720"/>
        <w:jc w:val="both"/>
        <w:rPr>
          <w:sz w:val="22"/>
          <w:szCs w:val="22"/>
          <w:lang w:eastAsia="en-AU"/>
        </w:rPr>
      </w:pPr>
      <w:r w:rsidRPr="007B0913">
        <w:rPr>
          <w:sz w:val="22"/>
          <w:szCs w:val="22"/>
          <w:lang w:eastAsia="en-AU"/>
        </w:rPr>
        <w:t>(3)</w:t>
      </w:r>
      <w:r w:rsidRPr="007B0913">
        <w:rPr>
          <w:sz w:val="22"/>
          <w:szCs w:val="22"/>
          <w:lang w:eastAsia="en-AU"/>
        </w:rPr>
        <w:tab/>
        <w:t>This section does not affect the validity of—</w:t>
      </w:r>
    </w:p>
    <w:p w14:paraId="56A1BFDC" w14:textId="20B194DF" w:rsidR="004E005C" w:rsidRPr="007B0913" w:rsidRDefault="004E005C" w:rsidP="006B2E41">
      <w:pPr>
        <w:pStyle w:val="DraftHeading3"/>
        <w:ind w:left="2880" w:hanging="720"/>
        <w:jc w:val="both"/>
        <w:rPr>
          <w:sz w:val="22"/>
          <w:szCs w:val="22"/>
          <w:lang w:eastAsia="en-AU"/>
        </w:rPr>
      </w:pPr>
      <w:r w:rsidRPr="007B0913">
        <w:rPr>
          <w:sz w:val="22"/>
          <w:szCs w:val="22"/>
          <w:lang w:eastAsia="en-AU"/>
        </w:rPr>
        <w:t>(a)</w:t>
      </w:r>
      <w:r w:rsidRPr="007B0913">
        <w:rPr>
          <w:sz w:val="22"/>
          <w:szCs w:val="22"/>
          <w:lang w:eastAsia="en-AU"/>
        </w:rPr>
        <w:tab/>
      </w:r>
      <w:proofErr w:type="gramStart"/>
      <w:r w:rsidRPr="007B0913">
        <w:rPr>
          <w:sz w:val="22"/>
          <w:szCs w:val="22"/>
          <w:lang w:eastAsia="en-AU"/>
        </w:rPr>
        <w:t>an</w:t>
      </w:r>
      <w:proofErr w:type="gramEnd"/>
      <w:r w:rsidRPr="007B0913">
        <w:rPr>
          <w:sz w:val="22"/>
          <w:szCs w:val="22"/>
          <w:lang w:eastAsia="en-AU"/>
        </w:rPr>
        <w:t xml:space="preserve"> Act or provision of an Act that is incompatible with a human right; or</w:t>
      </w:r>
    </w:p>
    <w:p w14:paraId="0EF03915" w14:textId="0DB4E686" w:rsidR="00C744AD" w:rsidRPr="007B0913" w:rsidRDefault="004E005C" w:rsidP="006B2E41">
      <w:pPr>
        <w:pStyle w:val="DraftHeading3"/>
        <w:ind w:left="2880" w:hanging="720"/>
        <w:jc w:val="both"/>
        <w:rPr>
          <w:sz w:val="22"/>
          <w:szCs w:val="22"/>
          <w:lang w:eastAsia="en-AU"/>
        </w:rPr>
      </w:pPr>
      <w:r w:rsidRPr="007B0913">
        <w:rPr>
          <w:sz w:val="22"/>
          <w:szCs w:val="22"/>
          <w:lang w:eastAsia="en-AU"/>
        </w:rPr>
        <w:t>(b)</w:t>
      </w:r>
      <w:r w:rsidRPr="007B0913">
        <w:rPr>
          <w:sz w:val="22"/>
          <w:szCs w:val="22"/>
          <w:lang w:eastAsia="en-AU"/>
        </w:rPr>
        <w:tab/>
      </w:r>
      <w:proofErr w:type="gramStart"/>
      <w:r w:rsidRPr="007B0913">
        <w:rPr>
          <w:sz w:val="22"/>
          <w:szCs w:val="22"/>
          <w:lang w:eastAsia="en-AU"/>
        </w:rPr>
        <w:t>a</w:t>
      </w:r>
      <w:proofErr w:type="gramEnd"/>
      <w:r w:rsidRPr="007B0913">
        <w:rPr>
          <w:sz w:val="22"/>
          <w:szCs w:val="22"/>
          <w:lang w:eastAsia="en-AU"/>
        </w:rPr>
        <w:t xml:space="preserve"> subordinate instrument or provision of a subordinate instrument that is incompatible with a human right and is empowered to be so by </w:t>
      </w:r>
      <w:r w:rsidR="00C744AD" w:rsidRPr="007B0913">
        <w:rPr>
          <w:sz w:val="22"/>
          <w:szCs w:val="22"/>
          <w:lang w:eastAsia="en-AU"/>
        </w:rPr>
        <w:t>the Act under which it is made.</w:t>
      </w:r>
    </w:p>
    <w:p w14:paraId="68DD04E4" w14:textId="77777777" w:rsidR="004B5910" w:rsidRPr="007B0913" w:rsidRDefault="004B5910" w:rsidP="006B2E41">
      <w:pPr>
        <w:ind w:left="2880" w:hanging="720"/>
        <w:jc w:val="both"/>
        <w:rPr>
          <w:rFonts w:ascii="Times New Roman" w:hAnsi="Times New Roman" w:cs="Times New Roman"/>
          <w:sz w:val="24"/>
          <w:szCs w:val="24"/>
          <w:lang w:eastAsia="en-AU"/>
        </w:rPr>
      </w:pPr>
    </w:p>
    <w:p w14:paraId="3AC508FA" w14:textId="3BD19AB3" w:rsidR="00D30B23" w:rsidRPr="007B0913" w:rsidRDefault="000C0274"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P</w:t>
      </w:r>
      <w:r w:rsidR="004B5910" w:rsidRPr="007B0913">
        <w:rPr>
          <w:rFonts w:ascii="Times New Roman" w:hAnsi="Times New Roman" w:cs="Times New Roman"/>
          <w:sz w:val="24"/>
          <w:szCs w:val="24"/>
        </w:rPr>
        <w:t xml:space="preserve">lainly, s 32 </w:t>
      </w:r>
      <w:r w:rsidR="004351E2" w:rsidRPr="007B0913">
        <w:rPr>
          <w:rFonts w:ascii="Times New Roman" w:hAnsi="Times New Roman" w:cs="Times New Roman"/>
          <w:sz w:val="24"/>
          <w:szCs w:val="24"/>
        </w:rPr>
        <w:t xml:space="preserve">itself </w:t>
      </w:r>
      <w:r w:rsidRPr="007B0913">
        <w:rPr>
          <w:rFonts w:ascii="Times New Roman" w:hAnsi="Times New Roman" w:cs="Times New Roman"/>
          <w:sz w:val="24"/>
          <w:szCs w:val="24"/>
        </w:rPr>
        <w:t xml:space="preserve">admits of </w:t>
      </w:r>
      <w:r w:rsidR="00CF62DC" w:rsidRPr="007B0913">
        <w:rPr>
          <w:rFonts w:ascii="Times New Roman" w:hAnsi="Times New Roman" w:cs="Times New Roman"/>
          <w:sz w:val="24"/>
          <w:szCs w:val="24"/>
        </w:rPr>
        <w:t>a number of</w:t>
      </w:r>
      <w:r w:rsidRPr="007B0913">
        <w:rPr>
          <w:rFonts w:ascii="Times New Roman" w:hAnsi="Times New Roman" w:cs="Times New Roman"/>
          <w:sz w:val="24"/>
          <w:szCs w:val="24"/>
        </w:rPr>
        <w:t xml:space="preserve"> possible interpretations.  </w:t>
      </w:r>
      <w:r w:rsidR="004351E2" w:rsidRPr="007B0913">
        <w:rPr>
          <w:rFonts w:ascii="Times New Roman" w:hAnsi="Times New Roman" w:cs="Times New Roman"/>
          <w:sz w:val="24"/>
          <w:szCs w:val="24"/>
        </w:rPr>
        <w:t xml:space="preserve">The section is closely modelled upon </w:t>
      </w:r>
      <w:r w:rsidR="0003149F" w:rsidRPr="007B0913">
        <w:rPr>
          <w:rFonts w:ascii="Times New Roman" w:hAnsi="Times New Roman" w:cs="Times New Roman"/>
          <w:sz w:val="24"/>
          <w:szCs w:val="24"/>
        </w:rPr>
        <w:t xml:space="preserve">s 3(1) of the UK Act </w:t>
      </w:r>
      <w:r w:rsidR="004351E2" w:rsidRPr="007B0913">
        <w:rPr>
          <w:rFonts w:ascii="Times New Roman" w:hAnsi="Times New Roman" w:cs="Times New Roman"/>
          <w:sz w:val="24"/>
          <w:szCs w:val="24"/>
        </w:rPr>
        <w:t>which reads as follows:</w:t>
      </w:r>
    </w:p>
    <w:p w14:paraId="33F630B8" w14:textId="77777777" w:rsidR="00D30B23" w:rsidRPr="007B0913" w:rsidRDefault="00D30B23" w:rsidP="006B2E41">
      <w:pPr>
        <w:ind w:left="720"/>
        <w:jc w:val="both"/>
        <w:rPr>
          <w:rFonts w:ascii="Times New Roman" w:hAnsi="Times New Roman" w:cs="Times New Roman"/>
          <w:sz w:val="24"/>
          <w:szCs w:val="24"/>
        </w:rPr>
      </w:pPr>
      <w:r w:rsidRPr="007B0913">
        <w:rPr>
          <w:rFonts w:ascii="Times New Roman" w:hAnsi="Times New Roman" w:cs="Times New Roman"/>
        </w:rPr>
        <w:t>So far as it is possible to do so, primary legislation and subordinate legislation must be read and given effect in a way which is compatible with the [European] Convention rights</w:t>
      </w:r>
      <w:r w:rsidRPr="007B0913">
        <w:rPr>
          <w:rFonts w:ascii="Times New Roman" w:hAnsi="Times New Roman" w:cs="Times New Roman"/>
          <w:sz w:val="24"/>
          <w:szCs w:val="24"/>
        </w:rPr>
        <w:t xml:space="preserve">.  </w:t>
      </w:r>
    </w:p>
    <w:p w14:paraId="5675210C" w14:textId="15C10175" w:rsidR="00836819" w:rsidRPr="007B0913" w:rsidRDefault="002D1CC2"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lastRenderedPageBreak/>
        <w:t>As will be seen, s</w:t>
      </w:r>
      <w:r w:rsidR="00D30B23" w:rsidRPr="007B0913">
        <w:rPr>
          <w:rFonts w:ascii="Times New Roman" w:hAnsi="Times New Roman" w:cs="Times New Roman"/>
          <w:sz w:val="24"/>
          <w:szCs w:val="24"/>
        </w:rPr>
        <w:t xml:space="preserve"> 3(1) has been </w:t>
      </w:r>
      <w:r w:rsidR="00CF62DC" w:rsidRPr="007B0913">
        <w:rPr>
          <w:rFonts w:ascii="Times New Roman" w:hAnsi="Times New Roman" w:cs="Times New Roman"/>
          <w:sz w:val="24"/>
          <w:szCs w:val="24"/>
        </w:rPr>
        <w:t xml:space="preserve">the subject of </w:t>
      </w:r>
      <w:r w:rsidR="004351E2" w:rsidRPr="007B0913">
        <w:rPr>
          <w:rFonts w:ascii="Times New Roman" w:hAnsi="Times New Roman" w:cs="Times New Roman"/>
          <w:sz w:val="24"/>
          <w:szCs w:val="24"/>
        </w:rPr>
        <w:t xml:space="preserve">conflicting </w:t>
      </w:r>
      <w:r w:rsidR="00F94638" w:rsidRPr="007B0913">
        <w:rPr>
          <w:rFonts w:ascii="Times New Roman" w:hAnsi="Times New Roman" w:cs="Times New Roman"/>
          <w:sz w:val="24"/>
          <w:szCs w:val="24"/>
        </w:rPr>
        <w:t>interpretations,</w:t>
      </w:r>
      <w:r w:rsidR="004351E2" w:rsidRPr="007B0913">
        <w:rPr>
          <w:rFonts w:ascii="Times New Roman" w:hAnsi="Times New Roman" w:cs="Times New Roman"/>
          <w:sz w:val="24"/>
          <w:szCs w:val="24"/>
        </w:rPr>
        <w:t xml:space="preserve"> </w:t>
      </w:r>
      <w:r w:rsidR="00F94638" w:rsidRPr="007B0913">
        <w:rPr>
          <w:rFonts w:ascii="Times New Roman" w:hAnsi="Times New Roman" w:cs="Times New Roman"/>
          <w:sz w:val="24"/>
          <w:szCs w:val="24"/>
        </w:rPr>
        <w:t xml:space="preserve">and, as currently understood in the United Kingdom, has a </w:t>
      </w:r>
      <w:r w:rsidRPr="007B0913">
        <w:rPr>
          <w:rFonts w:ascii="Times New Roman" w:hAnsi="Times New Roman" w:cs="Times New Roman"/>
          <w:sz w:val="24"/>
          <w:szCs w:val="24"/>
        </w:rPr>
        <w:t>far</w:t>
      </w:r>
      <w:r w:rsidR="0047310F" w:rsidRPr="007B0913">
        <w:rPr>
          <w:rFonts w:ascii="Times New Roman" w:hAnsi="Times New Roman" w:cs="Times New Roman"/>
          <w:sz w:val="24"/>
          <w:szCs w:val="24"/>
        </w:rPr>
        <w:t>-</w:t>
      </w:r>
      <w:r w:rsidRPr="007B0913">
        <w:rPr>
          <w:rFonts w:ascii="Times New Roman" w:hAnsi="Times New Roman" w:cs="Times New Roman"/>
          <w:sz w:val="24"/>
          <w:szCs w:val="24"/>
        </w:rPr>
        <w:t>reaching</w:t>
      </w:r>
      <w:r w:rsidR="00F94638" w:rsidRPr="007B0913">
        <w:rPr>
          <w:rFonts w:ascii="Times New Roman" w:hAnsi="Times New Roman" w:cs="Times New Roman"/>
          <w:sz w:val="24"/>
          <w:szCs w:val="24"/>
        </w:rPr>
        <w:t xml:space="preserve"> effect</w:t>
      </w:r>
      <w:r w:rsidRPr="007B0913">
        <w:rPr>
          <w:rFonts w:ascii="Times New Roman" w:hAnsi="Times New Roman" w:cs="Times New Roman"/>
          <w:sz w:val="24"/>
          <w:szCs w:val="24"/>
        </w:rPr>
        <w:t xml:space="preserve">.  </w:t>
      </w:r>
    </w:p>
    <w:p w14:paraId="6B677AEF" w14:textId="2F1C52C0" w:rsidR="006C0016" w:rsidRPr="007B0913" w:rsidRDefault="002C34D0"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The Victorian provision, though similar in terms to s 3(1), is </w:t>
      </w:r>
      <w:r w:rsidR="00836819" w:rsidRPr="007B0913">
        <w:rPr>
          <w:rFonts w:ascii="Times New Roman" w:hAnsi="Times New Roman" w:cs="Times New Roman"/>
          <w:sz w:val="24"/>
          <w:szCs w:val="24"/>
        </w:rPr>
        <w:t>worded</w:t>
      </w:r>
      <w:r w:rsidR="006A73C9" w:rsidRPr="007B0913">
        <w:rPr>
          <w:rFonts w:ascii="Times New Roman" w:hAnsi="Times New Roman" w:cs="Times New Roman"/>
          <w:sz w:val="24"/>
          <w:szCs w:val="24"/>
        </w:rPr>
        <w:t xml:space="preserve"> somewhat</w:t>
      </w:r>
      <w:r w:rsidR="00836819" w:rsidRPr="007B0913">
        <w:rPr>
          <w:rFonts w:ascii="Times New Roman" w:hAnsi="Times New Roman" w:cs="Times New Roman"/>
          <w:sz w:val="24"/>
          <w:szCs w:val="24"/>
        </w:rPr>
        <w:t xml:space="preserve"> differently</w:t>
      </w:r>
      <w:r w:rsidRPr="007B0913">
        <w:rPr>
          <w:rFonts w:ascii="Times New Roman" w:hAnsi="Times New Roman" w:cs="Times New Roman"/>
          <w:sz w:val="24"/>
          <w:szCs w:val="24"/>
        </w:rPr>
        <w:t xml:space="preserve">.  </w:t>
      </w:r>
      <w:r w:rsidR="00836819" w:rsidRPr="007B0913">
        <w:rPr>
          <w:rFonts w:ascii="Times New Roman" w:hAnsi="Times New Roman" w:cs="Times New Roman"/>
          <w:sz w:val="24"/>
          <w:szCs w:val="24"/>
        </w:rPr>
        <w:t xml:space="preserve">As previously indicated, </w:t>
      </w:r>
      <w:r w:rsidR="004907A3" w:rsidRPr="007B0913">
        <w:rPr>
          <w:rFonts w:ascii="Times New Roman" w:hAnsi="Times New Roman" w:cs="Times New Roman"/>
          <w:sz w:val="24"/>
          <w:szCs w:val="24"/>
        </w:rPr>
        <w:t xml:space="preserve">s 32(1) of the Charter </w:t>
      </w:r>
      <w:r w:rsidR="000133D0" w:rsidRPr="007B0913">
        <w:rPr>
          <w:rFonts w:ascii="Times New Roman" w:hAnsi="Times New Roman" w:cs="Times New Roman"/>
          <w:sz w:val="24"/>
          <w:szCs w:val="24"/>
        </w:rPr>
        <w:t xml:space="preserve">requires that, so far as it is possible to do so </w:t>
      </w:r>
      <w:r w:rsidR="000133D0" w:rsidRPr="007B0913">
        <w:rPr>
          <w:rFonts w:ascii="Times New Roman" w:hAnsi="Times New Roman" w:cs="Times New Roman"/>
          <w:i/>
          <w:sz w:val="24"/>
          <w:szCs w:val="24"/>
        </w:rPr>
        <w:t>consistently with their purpose</w:t>
      </w:r>
      <w:r w:rsidR="000133D0" w:rsidRPr="007B0913">
        <w:rPr>
          <w:rFonts w:ascii="Times New Roman" w:hAnsi="Times New Roman" w:cs="Times New Roman"/>
          <w:sz w:val="24"/>
          <w:szCs w:val="24"/>
        </w:rPr>
        <w:t xml:space="preserve">, all statutory provisions must be interpreted in a way that </w:t>
      </w:r>
      <w:r w:rsidR="0071003D" w:rsidRPr="007B0913">
        <w:rPr>
          <w:rFonts w:ascii="Times New Roman" w:hAnsi="Times New Roman" w:cs="Times New Roman"/>
          <w:sz w:val="24"/>
          <w:szCs w:val="24"/>
        </w:rPr>
        <w:t xml:space="preserve">is compatible with human rights.  </w:t>
      </w:r>
      <w:r w:rsidR="00836819" w:rsidRPr="007B0913">
        <w:rPr>
          <w:rFonts w:ascii="Times New Roman" w:hAnsi="Times New Roman" w:cs="Times New Roman"/>
          <w:sz w:val="24"/>
          <w:szCs w:val="24"/>
        </w:rPr>
        <w:t xml:space="preserve">The requirement that </w:t>
      </w:r>
      <w:r w:rsidR="006C0016" w:rsidRPr="007B0913">
        <w:rPr>
          <w:rFonts w:ascii="Times New Roman" w:hAnsi="Times New Roman" w:cs="Times New Roman"/>
          <w:sz w:val="24"/>
          <w:szCs w:val="24"/>
        </w:rPr>
        <w:t xml:space="preserve">a given provision be construed consistently with its purpose is notably lacking in s 3(1) of the UK Act. </w:t>
      </w:r>
    </w:p>
    <w:p w14:paraId="5B2605BB" w14:textId="7F12B144" w:rsidR="000133D0" w:rsidRPr="007B0913" w:rsidRDefault="0050788E"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The</w:t>
      </w:r>
      <w:r w:rsidR="00F50B93" w:rsidRPr="007B0913">
        <w:rPr>
          <w:rFonts w:ascii="Times New Roman" w:hAnsi="Times New Roman" w:cs="Times New Roman"/>
          <w:sz w:val="24"/>
          <w:szCs w:val="24"/>
        </w:rPr>
        <w:t xml:space="preserve"> courts </w:t>
      </w:r>
      <w:r w:rsidR="00906393" w:rsidRPr="007B0913">
        <w:rPr>
          <w:rFonts w:ascii="Times New Roman" w:hAnsi="Times New Roman" w:cs="Times New Roman"/>
          <w:sz w:val="24"/>
          <w:szCs w:val="24"/>
        </w:rPr>
        <w:t xml:space="preserve">in </w:t>
      </w:r>
      <w:r w:rsidR="00306673" w:rsidRPr="007B0913">
        <w:rPr>
          <w:rFonts w:ascii="Times New Roman" w:hAnsi="Times New Roman" w:cs="Times New Roman"/>
          <w:sz w:val="24"/>
          <w:szCs w:val="24"/>
        </w:rPr>
        <w:t>the United Kingdom</w:t>
      </w:r>
      <w:r w:rsidR="00906393" w:rsidRPr="007B0913">
        <w:rPr>
          <w:rFonts w:ascii="Times New Roman" w:hAnsi="Times New Roman" w:cs="Times New Roman"/>
          <w:sz w:val="24"/>
          <w:szCs w:val="24"/>
        </w:rPr>
        <w:t xml:space="preserve"> </w:t>
      </w:r>
      <w:r w:rsidR="000A5307" w:rsidRPr="007B0913">
        <w:rPr>
          <w:rFonts w:ascii="Times New Roman" w:hAnsi="Times New Roman" w:cs="Times New Roman"/>
          <w:sz w:val="24"/>
          <w:szCs w:val="24"/>
        </w:rPr>
        <w:t xml:space="preserve">have </w:t>
      </w:r>
      <w:r w:rsidRPr="007B0913">
        <w:rPr>
          <w:rFonts w:ascii="Times New Roman" w:hAnsi="Times New Roman" w:cs="Times New Roman"/>
          <w:sz w:val="24"/>
          <w:szCs w:val="24"/>
        </w:rPr>
        <w:t>concluded</w:t>
      </w:r>
      <w:r w:rsidR="000A5307" w:rsidRPr="007B0913">
        <w:rPr>
          <w:rFonts w:ascii="Times New Roman" w:hAnsi="Times New Roman" w:cs="Times New Roman"/>
          <w:sz w:val="24"/>
          <w:szCs w:val="24"/>
        </w:rPr>
        <w:t xml:space="preserve"> that</w:t>
      </w:r>
      <w:r w:rsidRPr="007B0913">
        <w:rPr>
          <w:rFonts w:ascii="Times New Roman" w:hAnsi="Times New Roman" w:cs="Times New Roman"/>
          <w:sz w:val="24"/>
          <w:szCs w:val="24"/>
        </w:rPr>
        <w:t xml:space="preserve"> the effect of s 3(1) of the UK Act is to require legislative provisions to</w:t>
      </w:r>
      <w:r w:rsidR="000A5307" w:rsidRPr="007B0913">
        <w:rPr>
          <w:rFonts w:ascii="Times New Roman" w:hAnsi="Times New Roman" w:cs="Times New Roman"/>
          <w:sz w:val="24"/>
          <w:szCs w:val="24"/>
        </w:rPr>
        <w:t xml:space="preserve"> be </w:t>
      </w:r>
      <w:r w:rsidR="00306673" w:rsidRPr="007B0913">
        <w:rPr>
          <w:rFonts w:ascii="Times New Roman" w:hAnsi="Times New Roman" w:cs="Times New Roman"/>
          <w:sz w:val="24"/>
          <w:szCs w:val="24"/>
        </w:rPr>
        <w:t xml:space="preserve">construed in such a way, </w:t>
      </w:r>
      <w:r w:rsidR="00941052" w:rsidRPr="007B0913">
        <w:rPr>
          <w:rFonts w:ascii="Times New Roman" w:hAnsi="Times New Roman" w:cs="Times New Roman"/>
          <w:sz w:val="24"/>
          <w:szCs w:val="24"/>
        </w:rPr>
        <w:t xml:space="preserve">if possible, </w:t>
      </w:r>
      <w:r w:rsidR="00804836" w:rsidRPr="007B0913">
        <w:rPr>
          <w:rFonts w:ascii="Times New Roman" w:hAnsi="Times New Roman" w:cs="Times New Roman"/>
          <w:sz w:val="24"/>
          <w:szCs w:val="24"/>
        </w:rPr>
        <w:t xml:space="preserve">as to find an interpretation compatible with </w:t>
      </w:r>
      <w:r w:rsidR="00941052" w:rsidRPr="007B0913">
        <w:rPr>
          <w:rFonts w:ascii="Times New Roman" w:hAnsi="Times New Roman" w:cs="Times New Roman"/>
          <w:sz w:val="24"/>
          <w:szCs w:val="24"/>
        </w:rPr>
        <w:t xml:space="preserve">the </w:t>
      </w:r>
      <w:r w:rsidR="00941052" w:rsidRPr="007B0913">
        <w:rPr>
          <w:rFonts w:ascii="Times New Roman" w:hAnsi="Times New Roman" w:cs="Times New Roman"/>
          <w:i/>
          <w:sz w:val="24"/>
          <w:szCs w:val="24"/>
        </w:rPr>
        <w:t>European Convention on Human Rights</w:t>
      </w:r>
      <w:r w:rsidR="00941052" w:rsidRPr="007B0913">
        <w:rPr>
          <w:rFonts w:ascii="Times New Roman" w:hAnsi="Times New Roman" w:cs="Times New Roman"/>
          <w:sz w:val="24"/>
          <w:szCs w:val="24"/>
        </w:rPr>
        <w:t xml:space="preserve"> (‘</w:t>
      </w:r>
      <w:r w:rsidRPr="007B0913">
        <w:rPr>
          <w:rFonts w:ascii="Times New Roman" w:hAnsi="Times New Roman" w:cs="Times New Roman"/>
          <w:sz w:val="24"/>
          <w:szCs w:val="24"/>
        </w:rPr>
        <w:t xml:space="preserve">the </w:t>
      </w:r>
      <w:r w:rsidR="00941052" w:rsidRPr="007B0913">
        <w:rPr>
          <w:rFonts w:ascii="Times New Roman" w:hAnsi="Times New Roman" w:cs="Times New Roman"/>
          <w:sz w:val="24"/>
          <w:szCs w:val="24"/>
        </w:rPr>
        <w:t xml:space="preserve">Convention’).  The Convention is, of course, an instrument binding upon the United Kingdom.  </w:t>
      </w:r>
      <w:r w:rsidR="00CD6A5D" w:rsidRPr="007B0913">
        <w:rPr>
          <w:rFonts w:ascii="Times New Roman" w:hAnsi="Times New Roman" w:cs="Times New Roman"/>
          <w:sz w:val="24"/>
          <w:szCs w:val="24"/>
        </w:rPr>
        <w:t>It has been held</w:t>
      </w:r>
      <w:r w:rsidR="00804836" w:rsidRPr="007B0913">
        <w:rPr>
          <w:rFonts w:ascii="Times New Roman" w:hAnsi="Times New Roman" w:cs="Times New Roman"/>
          <w:sz w:val="24"/>
          <w:szCs w:val="24"/>
        </w:rPr>
        <w:t xml:space="preserve"> that it will sometimes be necessary to adopt an interpretation </w:t>
      </w:r>
      <w:r w:rsidR="00DC0910" w:rsidRPr="007B0913">
        <w:rPr>
          <w:rFonts w:ascii="Times New Roman" w:hAnsi="Times New Roman" w:cs="Times New Roman"/>
          <w:sz w:val="24"/>
          <w:szCs w:val="24"/>
        </w:rPr>
        <w:t>‘</w:t>
      </w:r>
      <w:r w:rsidR="00804836" w:rsidRPr="007B0913">
        <w:rPr>
          <w:rFonts w:ascii="Times New Roman" w:hAnsi="Times New Roman" w:cs="Times New Roman"/>
          <w:sz w:val="24"/>
          <w:szCs w:val="24"/>
        </w:rPr>
        <w:t>which linguistically may appear strained</w:t>
      </w:r>
      <w:r w:rsidR="00DC0910" w:rsidRPr="007B0913">
        <w:rPr>
          <w:rFonts w:ascii="Times New Roman" w:hAnsi="Times New Roman" w:cs="Times New Roman"/>
          <w:sz w:val="24"/>
          <w:szCs w:val="24"/>
        </w:rPr>
        <w:t>’</w:t>
      </w:r>
      <w:r w:rsidR="00CD6A5D" w:rsidRPr="007B0913">
        <w:rPr>
          <w:rFonts w:ascii="Times New Roman" w:hAnsi="Times New Roman" w:cs="Times New Roman"/>
          <w:sz w:val="24"/>
          <w:szCs w:val="24"/>
        </w:rPr>
        <w:t>,</w:t>
      </w:r>
      <w:r w:rsidR="00855251" w:rsidRPr="007B0913">
        <w:rPr>
          <w:rStyle w:val="FootnoteReference"/>
          <w:rFonts w:ascii="Times New Roman" w:hAnsi="Times New Roman" w:cs="Times New Roman"/>
          <w:sz w:val="24"/>
          <w:szCs w:val="24"/>
        </w:rPr>
        <w:footnoteReference w:id="28"/>
      </w:r>
      <w:r w:rsidR="00CD6A5D" w:rsidRPr="007B0913">
        <w:rPr>
          <w:rFonts w:ascii="Times New Roman" w:hAnsi="Times New Roman" w:cs="Times New Roman"/>
          <w:sz w:val="24"/>
          <w:szCs w:val="24"/>
        </w:rPr>
        <w:t xml:space="preserve"> and which does not </w:t>
      </w:r>
      <w:r w:rsidR="00306673" w:rsidRPr="007B0913">
        <w:rPr>
          <w:rFonts w:ascii="Times New Roman" w:hAnsi="Times New Roman" w:cs="Times New Roman"/>
          <w:sz w:val="24"/>
          <w:szCs w:val="24"/>
        </w:rPr>
        <w:t xml:space="preserve">in fact </w:t>
      </w:r>
      <w:r w:rsidR="00CD6A5D" w:rsidRPr="007B0913">
        <w:rPr>
          <w:rFonts w:ascii="Times New Roman" w:hAnsi="Times New Roman" w:cs="Times New Roman"/>
          <w:sz w:val="24"/>
          <w:szCs w:val="24"/>
        </w:rPr>
        <w:t xml:space="preserve">reflect the meaning of the language as enacted by the Parliament.  </w:t>
      </w:r>
    </w:p>
    <w:p w14:paraId="5CB6CFA4" w14:textId="16918CF7" w:rsidR="00855251" w:rsidRPr="007B0913" w:rsidRDefault="00906393"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Accordingly, </w:t>
      </w:r>
      <w:r w:rsidR="00CD6A5D" w:rsidRPr="007B0913">
        <w:rPr>
          <w:rFonts w:ascii="Times New Roman" w:hAnsi="Times New Roman" w:cs="Times New Roman"/>
          <w:sz w:val="24"/>
          <w:szCs w:val="24"/>
        </w:rPr>
        <w:t>the</w:t>
      </w:r>
      <w:r w:rsidR="008D3BE3" w:rsidRPr="007B0913">
        <w:rPr>
          <w:rFonts w:ascii="Times New Roman" w:hAnsi="Times New Roman" w:cs="Times New Roman"/>
          <w:sz w:val="24"/>
          <w:szCs w:val="24"/>
        </w:rPr>
        <w:t xml:space="preserve"> United Kingdom </w:t>
      </w:r>
      <w:r w:rsidR="00CD6A5D" w:rsidRPr="007B0913">
        <w:rPr>
          <w:rFonts w:ascii="Times New Roman" w:hAnsi="Times New Roman" w:cs="Times New Roman"/>
          <w:sz w:val="24"/>
          <w:szCs w:val="24"/>
        </w:rPr>
        <w:t xml:space="preserve">courts </w:t>
      </w:r>
      <w:r w:rsidR="008D3BE3" w:rsidRPr="007B0913">
        <w:rPr>
          <w:rFonts w:ascii="Times New Roman" w:hAnsi="Times New Roman" w:cs="Times New Roman"/>
          <w:sz w:val="24"/>
          <w:szCs w:val="24"/>
        </w:rPr>
        <w:t xml:space="preserve">have adopted an approach to the interpretation of </w:t>
      </w:r>
      <w:r w:rsidR="00DC0910" w:rsidRPr="007B0913">
        <w:rPr>
          <w:rFonts w:ascii="Times New Roman" w:hAnsi="Times New Roman" w:cs="Times New Roman"/>
          <w:sz w:val="24"/>
          <w:szCs w:val="24"/>
        </w:rPr>
        <w:t xml:space="preserve">s </w:t>
      </w:r>
      <w:r w:rsidR="008D3BE3" w:rsidRPr="007B0913">
        <w:rPr>
          <w:rFonts w:ascii="Times New Roman" w:hAnsi="Times New Roman" w:cs="Times New Roman"/>
          <w:sz w:val="24"/>
          <w:szCs w:val="24"/>
        </w:rPr>
        <w:t>3</w:t>
      </w:r>
      <w:r w:rsidR="00661BBF" w:rsidRPr="007B0913">
        <w:rPr>
          <w:rFonts w:ascii="Times New Roman" w:hAnsi="Times New Roman" w:cs="Times New Roman"/>
          <w:sz w:val="24"/>
          <w:szCs w:val="24"/>
        </w:rPr>
        <w:t>(1)</w:t>
      </w:r>
      <w:r w:rsidR="008D3BE3" w:rsidRPr="007B0913">
        <w:rPr>
          <w:rFonts w:ascii="Times New Roman" w:hAnsi="Times New Roman" w:cs="Times New Roman"/>
          <w:sz w:val="24"/>
          <w:szCs w:val="24"/>
        </w:rPr>
        <w:t xml:space="preserve"> which</w:t>
      </w:r>
      <w:r w:rsidR="00A27AF2" w:rsidRPr="007B0913">
        <w:rPr>
          <w:rFonts w:ascii="Times New Roman" w:hAnsi="Times New Roman" w:cs="Times New Roman"/>
          <w:sz w:val="24"/>
          <w:szCs w:val="24"/>
        </w:rPr>
        <w:t xml:space="preserve"> </w:t>
      </w:r>
      <w:r w:rsidR="00CD6A5D" w:rsidRPr="007B0913">
        <w:rPr>
          <w:rFonts w:ascii="Times New Roman" w:hAnsi="Times New Roman" w:cs="Times New Roman"/>
          <w:sz w:val="24"/>
          <w:szCs w:val="24"/>
        </w:rPr>
        <w:t xml:space="preserve">can involve what </w:t>
      </w:r>
      <w:r w:rsidR="00526EFD" w:rsidRPr="007B0913">
        <w:rPr>
          <w:rFonts w:ascii="Times New Roman" w:hAnsi="Times New Roman" w:cs="Times New Roman"/>
          <w:sz w:val="24"/>
          <w:szCs w:val="24"/>
        </w:rPr>
        <w:t>some would</w:t>
      </w:r>
      <w:r w:rsidR="00CD6A5D" w:rsidRPr="007B0913">
        <w:rPr>
          <w:rFonts w:ascii="Times New Roman" w:hAnsi="Times New Roman" w:cs="Times New Roman"/>
          <w:sz w:val="24"/>
          <w:szCs w:val="24"/>
        </w:rPr>
        <w:t xml:space="preserve"> describe as re-writing the statute.  </w:t>
      </w:r>
      <w:r w:rsidR="00526EFD" w:rsidRPr="007B0913">
        <w:rPr>
          <w:rFonts w:ascii="Times New Roman" w:hAnsi="Times New Roman" w:cs="Times New Roman"/>
          <w:sz w:val="24"/>
          <w:szCs w:val="24"/>
        </w:rPr>
        <w:t>In addition,</w:t>
      </w:r>
      <w:r w:rsidR="00CD6A5D" w:rsidRPr="007B0913">
        <w:rPr>
          <w:rFonts w:ascii="Times New Roman" w:hAnsi="Times New Roman" w:cs="Times New Roman"/>
          <w:sz w:val="24"/>
          <w:szCs w:val="24"/>
        </w:rPr>
        <w:t xml:space="preserve"> that</w:t>
      </w:r>
      <w:r w:rsidR="00526EFD" w:rsidRPr="007B0913">
        <w:rPr>
          <w:rFonts w:ascii="Times New Roman" w:hAnsi="Times New Roman" w:cs="Times New Roman"/>
          <w:sz w:val="24"/>
          <w:szCs w:val="24"/>
        </w:rPr>
        <w:t xml:space="preserve"> re-writing process</w:t>
      </w:r>
      <w:r w:rsidR="00CD6A5D" w:rsidRPr="007B0913">
        <w:rPr>
          <w:rFonts w:ascii="Times New Roman" w:hAnsi="Times New Roman" w:cs="Times New Roman"/>
          <w:sz w:val="24"/>
          <w:szCs w:val="24"/>
        </w:rPr>
        <w:t xml:space="preserve"> may have to</w:t>
      </w:r>
      <w:r w:rsidR="00A27AF2" w:rsidRPr="007B0913">
        <w:rPr>
          <w:rFonts w:ascii="Times New Roman" w:hAnsi="Times New Roman" w:cs="Times New Roman"/>
          <w:sz w:val="24"/>
          <w:szCs w:val="24"/>
        </w:rPr>
        <w:t xml:space="preserve"> be carried out irrespective of whether there is any ambiguity or absurdity in the text</w:t>
      </w:r>
      <w:r w:rsidR="00526EFD" w:rsidRPr="007B0913">
        <w:rPr>
          <w:rFonts w:ascii="Times New Roman" w:hAnsi="Times New Roman" w:cs="Times New Roman"/>
          <w:sz w:val="24"/>
          <w:szCs w:val="24"/>
        </w:rPr>
        <w:t>, and sometimes in the face of the language of the text</w:t>
      </w:r>
      <w:r w:rsidR="00A27AF2" w:rsidRPr="007B0913">
        <w:rPr>
          <w:rFonts w:ascii="Times New Roman" w:hAnsi="Times New Roman" w:cs="Times New Roman"/>
          <w:sz w:val="24"/>
          <w:szCs w:val="24"/>
        </w:rPr>
        <w:t>.</w:t>
      </w:r>
      <w:r w:rsidR="00CD6A5D" w:rsidRPr="007B0913">
        <w:rPr>
          <w:rStyle w:val="FootnoteReference"/>
          <w:rFonts w:ascii="Times New Roman" w:hAnsi="Times New Roman" w:cs="Times New Roman"/>
          <w:sz w:val="24"/>
          <w:szCs w:val="24"/>
        </w:rPr>
        <w:footnoteReference w:id="29"/>
      </w:r>
      <w:r w:rsidR="00A27AF2" w:rsidRPr="007B0913">
        <w:rPr>
          <w:rFonts w:ascii="Times New Roman" w:hAnsi="Times New Roman" w:cs="Times New Roman"/>
          <w:sz w:val="24"/>
          <w:szCs w:val="24"/>
        </w:rPr>
        <w:t xml:space="preserve">  </w:t>
      </w:r>
    </w:p>
    <w:p w14:paraId="220BA276" w14:textId="200719E0" w:rsidR="00C766C3" w:rsidRPr="007B0913" w:rsidRDefault="00CF0FBD"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The </w:t>
      </w:r>
      <w:r w:rsidR="005C2654" w:rsidRPr="007B0913">
        <w:rPr>
          <w:rFonts w:ascii="Times New Roman" w:hAnsi="Times New Roman" w:cs="Times New Roman"/>
          <w:sz w:val="24"/>
          <w:szCs w:val="24"/>
        </w:rPr>
        <w:t>leading case on the construction of s 3(1)</w:t>
      </w:r>
      <w:r w:rsidR="005C7F70" w:rsidRPr="007B0913">
        <w:rPr>
          <w:rFonts w:ascii="Times New Roman" w:hAnsi="Times New Roman" w:cs="Times New Roman"/>
          <w:sz w:val="24"/>
          <w:szCs w:val="24"/>
        </w:rPr>
        <w:t xml:space="preserve"> is the decision of the House of Lords in </w:t>
      </w:r>
      <w:proofErr w:type="spellStart"/>
      <w:r w:rsidR="005C7F70" w:rsidRPr="007B0913">
        <w:rPr>
          <w:rFonts w:ascii="Times New Roman" w:hAnsi="Times New Roman" w:cs="Times New Roman"/>
          <w:i/>
          <w:sz w:val="24"/>
          <w:szCs w:val="24"/>
        </w:rPr>
        <w:t>Ghaidan</w:t>
      </w:r>
      <w:proofErr w:type="spellEnd"/>
      <w:r w:rsidR="005C7F70" w:rsidRPr="007B0913">
        <w:rPr>
          <w:rFonts w:ascii="Times New Roman" w:hAnsi="Times New Roman" w:cs="Times New Roman"/>
          <w:i/>
          <w:sz w:val="24"/>
          <w:szCs w:val="24"/>
        </w:rPr>
        <w:t xml:space="preserve"> v Godin-Mendoza.</w:t>
      </w:r>
      <w:r w:rsidR="005C7F70" w:rsidRPr="007B0913">
        <w:rPr>
          <w:rStyle w:val="FootnoteReference"/>
          <w:rFonts w:ascii="Times New Roman" w:hAnsi="Times New Roman" w:cs="Times New Roman"/>
          <w:sz w:val="24"/>
          <w:szCs w:val="24"/>
        </w:rPr>
        <w:footnoteReference w:id="30"/>
      </w:r>
      <w:r w:rsidR="005C7F70" w:rsidRPr="007B0913">
        <w:rPr>
          <w:rFonts w:ascii="Times New Roman" w:hAnsi="Times New Roman" w:cs="Times New Roman"/>
          <w:i/>
          <w:sz w:val="24"/>
          <w:szCs w:val="24"/>
        </w:rPr>
        <w:t xml:space="preserve">  </w:t>
      </w:r>
      <w:r w:rsidR="00935EA6" w:rsidRPr="007B0913">
        <w:rPr>
          <w:rFonts w:ascii="Times New Roman" w:hAnsi="Times New Roman" w:cs="Times New Roman"/>
          <w:sz w:val="24"/>
          <w:szCs w:val="24"/>
        </w:rPr>
        <w:t xml:space="preserve">Under the </w:t>
      </w:r>
      <w:r w:rsidR="00935EA6" w:rsidRPr="007B0913">
        <w:rPr>
          <w:rFonts w:ascii="Times New Roman" w:hAnsi="Times New Roman" w:cs="Times New Roman"/>
          <w:i/>
          <w:sz w:val="24"/>
          <w:szCs w:val="24"/>
        </w:rPr>
        <w:t xml:space="preserve">Rent Act 1977 </w:t>
      </w:r>
      <w:r w:rsidR="00935EA6" w:rsidRPr="007B0913">
        <w:rPr>
          <w:rFonts w:ascii="Times New Roman" w:hAnsi="Times New Roman" w:cs="Times New Roman"/>
          <w:sz w:val="24"/>
          <w:szCs w:val="24"/>
        </w:rPr>
        <w:t>(UK)</w:t>
      </w:r>
      <w:r w:rsidR="00935EA6" w:rsidRPr="007B0913">
        <w:rPr>
          <w:rFonts w:ascii="Times New Roman" w:hAnsi="Times New Roman" w:cs="Times New Roman"/>
          <w:i/>
          <w:sz w:val="24"/>
          <w:szCs w:val="24"/>
        </w:rPr>
        <w:t xml:space="preserve">, </w:t>
      </w:r>
      <w:r w:rsidR="00935EA6" w:rsidRPr="007B0913">
        <w:rPr>
          <w:rFonts w:ascii="Times New Roman" w:hAnsi="Times New Roman" w:cs="Times New Roman"/>
          <w:sz w:val="24"/>
          <w:szCs w:val="24"/>
        </w:rPr>
        <w:t>a surviving spouse of a tenant was</w:t>
      </w:r>
      <w:r w:rsidR="00935EA6" w:rsidRPr="007B0913">
        <w:rPr>
          <w:rFonts w:ascii="Times New Roman" w:hAnsi="Times New Roman" w:cs="Times New Roman"/>
          <w:i/>
          <w:sz w:val="24"/>
          <w:szCs w:val="24"/>
        </w:rPr>
        <w:t xml:space="preserve"> </w:t>
      </w:r>
      <w:r w:rsidR="001D04C6" w:rsidRPr="007B0913">
        <w:rPr>
          <w:rFonts w:ascii="Times New Roman" w:hAnsi="Times New Roman" w:cs="Times New Roman"/>
          <w:sz w:val="24"/>
          <w:szCs w:val="24"/>
        </w:rPr>
        <w:t>entitled to a statutory tenancy of the premises.</w:t>
      </w:r>
      <w:r w:rsidR="008D3BE3" w:rsidRPr="007B0913">
        <w:rPr>
          <w:rFonts w:ascii="Times New Roman" w:hAnsi="Times New Roman" w:cs="Times New Roman"/>
          <w:sz w:val="24"/>
          <w:szCs w:val="24"/>
        </w:rPr>
        <w:t xml:space="preserve">  By an amendment to that Act, ‘</w:t>
      </w:r>
      <w:r w:rsidR="001D04C6" w:rsidRPr="007B0913">
        <w:rPr>
          <w:rFonts w:ascii="Times New Roman" w:hAnsi="Times New Roman" w:cs="Times New Roman"/>
          <w:sz w:val="24"/>
          <w:szCs w:val="24"/>
        </w:rPr>
        <w:t>a person who was living with the original tenan</w:t>
      </w:r>
      <w:r w:rsidR="008D3BE3" w:rsidRPr="007B0913">
        <w:rPr>
          <w:rFonts w:ascii="Times New Roman" w:hAnsi="Times New Roman" w:cs="Times New Roman"/>
          <w:sz w:val="24"/>
          <w:szCs w:val="24"/>
        </w:rPr>
        <w:t>t as his or her wife or husband’</w:t>
      </w:r>
      <w:r w:rsidR="001D04C6" w:rsidRPr="007B0913">
        <w:rPr>
          <w:rFonts w:ascii="Times New Roman" w:hAnsi="Times New Roman" w:cs="Times New Roman"/>
          <w:sz w:val="24"/>
          <w:szCs w:val="24"/>
        </w:rPr>
        <w:t xml:space="preserve"> was to be treated as a spouse.  Prior to the enactment of the </w:t>
      </w:r>
      <w:r w:rsidR="00DC0910" w:rsidRPr="007B0913">
        <w:rPr>
          <w:rFonts w:ascii="Times New Roman" w:hAnsi="Times New Roman" w:cs="Times New Roman"/>
          <w:sz w:val="24"/>
          <w:szCs w:val="24"/>
        </w:rPr>
        <w:t>UK Act,</w:t>
      </w:r>
      <w:r w:rsidR="001D04C6" w:rsidRPr="007B0913">
        <w:rPr>
          <w:rFonts w:ascii="Times New Roman" w:hAnsi="Times New Roman" w:cs="Times New Roman"/>
          <w:sz w:val="24"/>
          <w:szCs w:val="24"/>
        </w:rPr>
        <w:t xml:space="preserve"> the House of Lords had held that the amendme</w:t>
      </w:r>
      <w:r w:rsidR="002E5E93" w:rsidRPr="007B0913">
        <w:rPr>
          <w:rFonts w:ascii="Times New Roman" w:hAnsi="Times New Roman" w:cs="Times New Roman"/>
          <w:sz w:val="24"/>
          <w:szCs w:val="24"/>
        </w:rPr>
        <w:t xml:space="preserve">nt did not cover a </w:t>
      </w:r>
      <w:r w:rsidR="00D21870" w:rsidRPr="007B0913">
        <w:rPr>
          <w:rFonts w:ascii="Times New Roman" w:hAnsi="Times New Roman" w:cs="Times New Roman"/>
          <w:sz w:val="24"/>
          <w:szCs w:val="24"/>
        </w:rPr>
        <w:t>same-</w:t>
      </w:r>
      <w:r w:rsidR="00715489" w:rsidRPr="007B0913">
        <w:rPr>
          <w:rFonts w:ascii="Times New Roman" w:hAnsi="Times New Roman" w:cs="Times New Roman"/>
          <w:sz w:val="24"/>
          <w:szCs w:val="24"/>
        </w:rPr>
        <w:t>sex</w:t>
      </w:r>
      <w:r w:rsidR="002E5E93" w:rsidRPr="007B0913">
        <w:rPr>
          <w:rFonts w:ascii="Times New Roman" w:hAnsi="Times New Roman" w:cs="Times New Roman"/>
          <w:sz w:val="24"/>
          <w:szCs w:val="24"/>
        </w:rPr>
        <w:t xml:space="preserve"> couple.  In </w:t>
      </w:r>
      <w:proofErr w:type="spellStart"/>
      <w:r w:rsidR="00ED538B" w:rsidRPr="007B0913">
        <w:rPr>
          <w:rFonts w:ascii="Times New Roman" w:hAnsi="Times New Roman" w:cs="Times New Roman"/>
          <w:i/>
          <w:sz w:val="24"/>
          <w:szCs w:val="24"/>
        </w:rPr>
        <w:t>Ghaidan</w:t>
      </w:r>
      <w:proofErr w:type="spellEnd"/>
      <w:r w:rsidR="002E5E93" w:rsidRPr="007B0913">
        <w:rPr>
          <w:rFonts w:ascii="Times New Roman" w:hAnsi="Times New Roman" w:cs="Times New Roman"/>
          <w:sz w:val="24"/>
          <w:szCs w:val="24"/>
        </w:rPr>
        <w:t xml:space="preserve">, </w:t>
      </w:r>
      <w:r w:rsidR="0050788E" w:rsidRPr="007B0913">
        <w:rPr>
          <w:rFonts w:ascii="Times New Roman" w:hAnsi="Times New Roman" w:cs="Times New Roman"/>
          <w:sz w:val="24"/>
          <w:szCs w:val="24"/>
        </w:rPr>
        <w:t xml:space="preserve">a majority of their Lordships, in reliance upon s 3(1), rejected that view. </w:t>
      </w:r>
    </w:p>
    <w:p w14:paraId="683D3FA8" w14:textId="250B0D97" w:rsidR="00295C97" w:rsidRPr="007B0913" w:rsidRDefault="009F3E11"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lastRenderedPageBreak/>
        <w:t>Lord Nicholls, who was in the majority</w:t>
      </w:r>
      <w:r w:rsidR="00E27053" w:rsidRPr="007B0913">
        <w:rPr>
          <w:rFonts w:ascii="Times New Roman" w:hAnsi="Times New Roman" w:cs="Times New Roman"/>
          <w:sz w:val="24"/>
          <w:szCs w:val="24"/>
        </w:rPr>
        <w:t>,</w:t>
      </w:r>
      <w:r w:rsidR="00E27053" w:rsidRPr="007B0913">
        <w:rPr>
          <w:rStyle w:val="FootnoteReference"/>
          <w:rFonts w:ascii="Times New Roman" w:hAnsi="Times New Roman" w:cs="Times New Roman"/>
          <w:sz w:val="24"/>
          <w:szCs w:val="24"/>
        </w:rPr>
        <w:footnoteReference w:id="31"/>
      </w:r>
      <w:r w:rsidR="00E27053" w:rsidRPr="007B0913">
        <w:rPr>
          <w:rFonts w:ascii="Times New Roman" w:hAnsi="Times New Roman" w:cs="Times New Roman"/>
          <w:sz w:val="24"/>
          <w:szCs w:val="24"/>
        </w:rPr>
        <w:t xml:space="preserve"> </w:t>
      </w:r>
      <w:r w:rsidR="003A10A0" w:rsidRPr="007B0913">
        <w:rPr>
          <w:rFonts w:ascii="Times New Roman" w:hAnsi="Times New Roman" w:cs="Times New Roman"/>
          <w:sz w:val="24"/>
          <w:szCs w:val="24"/>
        </w:rPr>
        <w:t>asked two questions.  First, whether the amendment had drawn a distinction on the grounds of sexual orientation so as to infringe the applicant’s Convention rig</w:t>
      </w:r>
      <w:r w:rsidR="00E9688F" w:rsidRPr="007B0913">
        <w:rPr>
          <w:rFonts w:ascii="Times New Roman" w:hAnsi="Times New Roman" w:cs="Times New Roman"/>
          <w:sz w:val="24"/>
          <w:szCs w:val="24"/>
        </w:rPr>
        <w:t xml:space="preserve">hts.  Secondly, whether, if so and pursuant to s 3(1), </w:t>
      </w:r>
      <w:r w:rsidR="003A10A0" w:rsidRPr="007B0913">
        <w:rPr>
          <w:rFonts w:ascii="Times New Roman" w:hAnsi="Times New Roman" w:cs="Times New Roman"/>
          <w:sz w:val="24"/>
          <w:szCs w:val="24"/>
        </w:rPr>
        <w:t xml:space="preserve">the amendment could be </w:t>
      </w:r>
      <w:r w:rsidR="00C766C3" w:rsidRPr="007B0913">
        <w:rPr>
          <w:rFonts w:ascii="Times New Roman" w:hAnsi="Times New Roman" w:cs="Times New Roman"/>
          <w:sz w:val="24"/>
          <w:szCs w:val="24"/>
        </w:rPr>
        <w:t>‘</w:t>
      </w:r>
      <w:r w:rsidR="003A10A0" w:rsidRPr="007B0913">
        <w:rPr>
          <w:rFonts w:ascii="Times New Roman" w:hAnsi="Times New Roman" w:cs="Times New Roman"/>
          <w:sz w:val="24"/>
          <w:szCs w:val="24"/>
        </w:rPr>
        <w:t>read and given effect</w:t>
      </w:r>
      <w:r w:rsidR="00C766C3" w:rsidRPr="007B0913">
        <w:rPr>
          <w:rFonts w:ascii="Times New Roman" w:hAnsi="Times New Roman" w:cs="Times New Roman"/>
          <w:sz w:val="24"/>
          <w:szCs w:val="24"/>
        </w:rPr>
        <w:t xml:space="preserve"> to’</w:t>
      </w:r>
      <w:r w:rsidR="003A10A0" w:rsidRPr="007B0913">
        <w:rPr>
          <w:rFonts w:ascii="Times New Roman" w:hAnsi="Times New Roman" w:cs="Times New Roman"/>
          <w:sz w:val="24"/>
          <w:szCs w:val="24"/>
        </w:rPr>
        <w:t xml:space="preserve"> so as to comply with the Convention</w:t>
      </w:r>
      <w:r w:rsidR="00E9688F" w:rsidRPr="007B0913">
        <w:rPr>
          <w:rFonts w:ascii="Times New Roman" w:hAnsi="Times New Roman" w:cs="Times New Roman"/>
          <w:sz w:val="24"/>
          <w:szCs w:val="24"/>
        </w:rPr>
        <w:t>.</w:t>
      </w:r>
    </w:p>
    <w:p w14:paraId="5505EA2C" w14:textId="06D3A904" w:rsidR="00D771C4" w:rsidRPr="007B0913" w:rsidRDefault="004D11BF" w:rsidP="00D771C4">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Lord Nicholls</w:t>
      </w:r>
      <w:r w:rsidR="003A10A0" w:rsidRPr="007B0913">
        <w:rPr>
          <w:rFonts w:ascii="Times New Roman" w:hAnsi="Times New Roman" w:cs="Times New Roman"/>
          <w:sz w:val="24"/>
          <w:szCs w:val="24"/>
        </w:rPr>
        <w:t xml:space="preserve"> </w:t>
      </w:r>
      <w:r w:rsidR="0045735D" w:rsidRPr="007B0913">
        <w:rPr>
          <w:rFonts w:ascii="Times New Roman" w:hAnsi="Times New Roman" w:cs="Times New Roman"/>
          <w:sz w:val="24"/>
          <w:szCs w:val="24"/>
        </w:rPr>
        <w:t>answered both questions</w:t>
      </w:r>
      <w:r w:rsidR="00C766C3" w:rsidRPr="007B0913">
        <w:rPr>
          <w:rFonts w:ascii="Times New Roman" w:hAnsi="Times New Roman" w:cs="Times New Roman"/>
          <w:sz w:val="24"/>
          <w:szCs w:val="24"/>
        </w:rPr>
        <w:t xml:space="preserve"> </w:t>
      </w:r>
      <w:r w:rsidR="00FA518A" w:rsidRPr="007B0913">
        <w:rPr>
          <w:rFonts w:ascii="Times New Roman" w:hAnsi="Times New Roman" w:cs="Times New Roman"/>
          <w:sz w:val="24"/>
          <w:szCs w:val="24"/>
        </w:rPr>
        <w:t>affirmatively</w:t>
      </w:r>
      <w:r w:rsidR="00C766C3" w:rsidRPr="007B0913">
        <w:rPr>
          <w:rFonts w:ascii="Times New Roman" w:hAnsi="Times New Roman" w:cs="Times New Roman"/>
          <w:sz w:val="24"/>
          <w:szCs w:val="24"/>
        </w:rPr>
        <w:t>.</w:t>
      </w:r>
      <w:r w:rsidR="003A10A0" w:rsidRPr="007B0913">
        <w:rPr>
          <w:rFonts w:ascii="Times New Roman" w:hAnsi="Times New Roman" w:cs="Times New Roman"/>
          <w:sz w:val="24"/>
          <w:szCs w:val="24"/>
        </w:rPr>
        <w:t xml:space="preserve">  </w:t>
      </w:r>
      <w:r w:rsidR="0045735D" w:rsidRPr="007B0913">
        <w:rPr>
          <w:rFonts w:ascii="Times New Roman" w:hAnsi="Times New Roman" w:cs="Times New Roman"/>
          <w:sz w:val="24"/>
          <w:szCs w:val="24"/>
        </w:rPr>
        <w:t xml:space="preserve">That was because, as he </w:t>
      </w:r>
      <w:r w:rsidR="002C5822" w:rsidRPr="007B0913">
        <w:rPr>
          <w:rFonts w:ascii="Times New Roman" w:hAnsi="Times New Roman" w:cs="Times New Roman"/>
          <w:sz w:val="24"/>
          <w:szCs w:val="24"/>
        </w:rPr>
        <w:t xml:space="preserve">explained, he could find no justification for the difference in treatment, by the Parliament, of </w:t>
      </w:r>
      <w:r w:rsidR="00E670B5" w:rsidRPr="007B0913">
        <w:rPr>
          <w:rFonts w:ascii="Times New Roman" w:hAnsi="Times New Roman" w:cs="Times New Roman"/>
          <w:sz w:val="24"/>
          <w:szCs w:val="24"/>
        </w:rPr>
        <w:t>same-sex and mixed-</w:t>
      </w:r>
      <w:r w:rsidR="00FA518A" w:rsidRPr="007B0913">
        <w:rPr>
          <w:rFonts w:ascii="Times New Roman" w:hAnsi="Times New Roman" w:cs="Times New Roman"/>
          <w:sz w:val="24"/>
          <w:szCs w:val="24"/>
        </w:rPr>
        <w:t>sex</w:t>
      </w:r>
      <w:r w:rsidR="002C5822" w:rsidRPr="007B0913">
        <w:rPr>
          <w:rFonts w:ascii="Times New Roman" w:hAnsi="Times New Roman" w:cs="Times New Roman"/>
          <w:sz w:val="24"/>
          <w:szCs w:val="24"/>
        </w:rPr>
        <w:t xml:space="preserve"> couples.  </w:t>
      </w:r>
      <w:r w:rsidR="005B290D" w:rsidRPr="007B0913">
        <w:rPr>
          <w:rFonts w:ascii="Times New Roman" w:hAnsi="Times New Roman" w:cs="Times New Roman"/>
          <w:sz w:val="24"/>
          <w:szCs w:val="24"/>
        </w:rPr>
        <w:t>Regarding</w:t>
      </w:r>
      <w:r w:rsidR="00DD64CC" w:rsidRPr="007B0913">
        <w:rPr>
          <w:rFonts w:ascii="Times New Roman" w:hAnsi="Times New Roman" w:cs="Times New Roman"/>
          <w:sz w:val="24"/>
          <w:szCs w:val="24"/>
        </w:rPr>
        <w:t xml:space="preserve"> s 3(1), his Lordship stated that</w:t>
      </w:r>
      <w:r w:rsidR="00DC3112" w:rsidRPr="007B0913">
        <w:rPr>
          <w:rFonts w:ascii="Times New Roman" w:hAnsi="Times New Roman" w:cs="Times New Roman"/>
          <w:sz w:val="24"/>
          <w:szCs w:val="24"/>
        </w:rPr>
        <w:t xml:space="preserve"> it was generally accepted that</w:t>
      </w:r>
      <w:r w:rsidR="00DD64CC" w:rsidRPr="007B0913">
        <w:rPr>
          <w:rFonts w:ascii="Times New Roman" w:hAnsi="Times New Roman" w:cs="Times New Roman"/>
          <w:sz w:val="24"/>
          <w:szCs w:val="24"/>
        </w:rPr>
        <w:t xml:space="preserve"> ‘[t]he application of section 3 does not depend upon the presence of ambiguity in the legislation being interpreted’.</w:t>
      </w:r>
      <w:r w:rsidR="00DD64CC" w:rsidRPr="007B0913">
        <w:rPr>
          <w:rStyle w:val="FootnoteReference"/>
          <w:rFonts w:ascii="Times New Roman" w:hAnsi="Times New Roman" w:cs="Times New Roman"/>
          <w:sz w:val="24"/>
          <w:szCs w:val="24"/>
        </w:rPr>
        <w:footnoteReference w:id="32"/>
      </w:r>
      <w:r w:rsidR="00DD64CC" w:rsidRPr="007B0913">
        <w:rPr>
          <w:rFonts w:ascii="Times New Roman" w:hAnsi="Times New Roman" w:cs="Times New Roman"/>
          <w:sz w:val="24"/>
          <w:szCs w:val="24"/>
        </w:rPr>
        <w:t xml:space="preserve">  </w:t>
      </w:r>
      <w:r w:rsidR="00FB0E29" w:rsidRPr="007B0913">
        <w:rPr>
          <w:rFonts w:ascii="Times New Roman" w:hAnsi="Times New Roman" w:cs="Times New Roman"/>
          <w:sz w:val="24"/>
          <w:szCs w:val="24"/>
        </w:rPr>
        <w:t>In his view, it followed that</w:t>
      </w:r>
      <w:r w:rsidR="00531185" w:rsidRPr="007B0913">
        <w:rPr>
          <w:rFonts w:ascii="Times New Roman" w:hAnsi="Times New Roman" w:cs="Times New Roman"/>
          <w:sz w:val="24"/>
          <w:szCs w:val="24"/>
        </w:rPr>
        <w:t xml:space="preserve"> the Court </w:t>
      </w:r>
      <w:r w:rsidR="00FB0E29" w:rsidRPr="007B0913">
        <w:rPr>
          <w:rFonts w:ascii="Times New Roman" w:hAnsi="Times New Roman" w:cs="Times New Roman"/>
          <w:sz w:val="24"/>
          <w:szCs w:val="24"/>
        </w:rPr>
        <w:t xml:space="preserve">may be required </w:t>
      </w:r>
      <w:r w:rsidR="00531185" w:rsidRPr="007B0913">
        <w:rPr>
          <w:rFonts w:ascii="Times New Roman" w:hAnsi="Times New Roman" w:cs="Times New Roman"/>
          <w:sz w:val="24"/>
          <w:szCs w:val="24"/>
        </w:rPr>
        <w:t xml:space="preserve">to </w:t>
      </w:r>
      <w:r w:rsidR="00FB0E29" w:rsidRPr="007B0913">
        <w:rPr>
          <w:rFonts w:ascii="Times New Roman" w:hAnsi="Times New Roman" w:cs="Times New Roman"/>
          <w:sz w:val="24"/>
          <w:szCs w:val="24"/>
        </w:rPr>
        <w:t xml:space="preserve">depart from the intention of Parliament </w:t>
      </w:r>
      <w:r w:rsidR="008F0DEB" w:rsidRPr="007B0913">
        <w:rPr>
          <w:rFonts w:ascii="Times New Roman" w:hAnsi="Times New Roman" w:cs="Times New Roman"/>
          <w:sz w:val="24"/>
          <w:szCs w:val="24"/>
        </w:rPr>
        <w:t>when interpreting</w:t>
      </w:r>
      <w:r w:rsidR="00FB0E29" w:rsidRPr="007B0913">
        <w:rPr>
          <w:rFonts w:ascii="Times New Roman" w:hAnsi="Times New Roman" w:cs="Times New Roman"/>
          <w:sz w:val="24"/>
          <w:szCs w:val="24"/>
        </w:rPr>
        <w:t xml:space="preserve"> the provision in question</w:t>
      </w:r>
      <w:r w:rsidR="00531185" w:rsidRPr="007B0913">
        <w:rPr>
          <w:rFonts w:ascii="Times New Roman" w:hAnsi="Times New Roman" w:cs="Times New Roman"/>
          <w:sz w:val="24"/>
          <w:szCs w:val="24"/>
        </w:rPr>
        <w:t xml:space="preserve">, </w:t>
      </w:r>
      <w:r w:rsidR="00202A84" w:rsidRPr="007B0913">
        <w:rPr>
          <w:rFonts w:ascii="Times New Roman" w:hAnsi="Times New Roman" w:cs="Times New Roman"/>
          <w:sz w:val="24"/>
          <w:szCs w:val="24"/>
        </w:rPr>
        <w:t xml:space="preserve">irrespective of </w:t>
      </w:r>
      <w:r w:rsidR="00200229" w:rsidRPr="007B0913">
        <w:rPr>
          <w:rFonts w:ascii="Times New Roman" w:hAnsi="Times New Roman" w:cs="Times New Roman"/>
          <w:sz w:val="24"/>
          <w:szCs w:val="24"/>
        </w:rPr>
        <w:t>the</w:t>
      </w:r>
      <w:r w:rsidR="008F0DEB" w:rsidRPr="007B0913">
        <w:rPr>
          <w:rFonts w:ascii="Times New Roman" w:hAnsi="Times New Roman" w:cs="Times New Roman"/>
          <w:sz w:val="24"/>
          <w:szCs w:val="24"/>
        </w:rPr>
        <w:t xml:space="preserve"> legislative</w:t>
      </w:r>
      <w:r w:rsidR="00200229" w:rsidRPr="007B0913">
        <w:rPr>
          <w:rFonts w:ascii="Times New Roman" w:hAnsi="Times New Roman" w:cs="Times New Roman"/>
          <w:sz w:val="24"/>
          <w:szCs w:val="24"/>
        </w:rPr>
        <w:t xml:space="preserve"> language chosen</w:t>
      </w:r>
      <w:r w:rsidR="00FB0E29" w:rsidRPr="007B0913">
        <w:rPr>
          <w:rFonts w:ascii="Times New Roman" w:hAnsi="Times New Roman" w:cs="Times New Roman"/>
          <w:sz w:val="24"/>
          <w:szCs w:val="24"/>
        </w:rPr>
        <w:t xml:space="preserve"> or </w:t>
      </w:r>
      <w:r w:rsidR="0045735D" w:rsidRPr="007B0913">
        <w:rPr>
          <w:rFonts w:ascii="Times New Roman" w:hAnsi="Times New Roman" w:cs="Times New Roman"/>
          <w:sz w:val="24"/>
          <w:szCs w:val="24"/>
        </w:rPr>
        <w:t>how clearl</w:t>
      </w:r>
      <w:r w:rsidR="0020461C" w:rsidRPr="007B0913">
        <w:rPr>
          <w:rFonts w:ascii="Times New Roman" w:hAnsi="Times New Roman" w:cs="Times New Roman"/>
          <w:sz w:val="24"/>
          <w:szCs w:val="24"/>
        </w:rPr>
        <w:t xml:space="preserve">y </w:t>
      </w:r>
      <w:r w:rsidR="008F0DEB" w:rsidRPr="007B0913">
        <w:rPr>
          <w:rFonts w:ascii="Times New Roman" w:hAnsi="Times New Roman" w:cs="Times New Roman"/>
          <w:sz w:val="24"/>
          <w:szCs w:val="24"/>
        </w:rPr>
        <w:t>Parliament’s</w:t>
      </w:r>
      <w:r w:rsidR="0020461C" w:rsidRPr="007B0913">
        <w:rPr>
          <w:rFonts w:ascii="Times New Roman" w:hAnsi="Times New Roman" w:cs="Times New Roman"/>
          <w:sz w:val="24"/>
          <w:szCs w:val="24"/>
        </w:rPr>
        <w:t xml:space="preserve"> intent had been expressed</w:t>
      </w:r>
      <w:r w:rsidR="00202A84" w:rsidRPr="007B0913">
        <w:rPr>
          <w:rFonts w:ascii="Times New Roman" w:hAnsi="Times New Roman" w:cs="Times New Roman"/>
          <w:sz w:val="24"/>
          <w:szCs w:val="24"/>
        </w:rPr>
        <w:t>.</w:t>
      </w:r>
      <w:r w:rsidR="006E2DE9" w:rsidRPr="007B0913">
        <w:rPr>
          <w:rStyle w:val="FootnoteReference"/>
          <w:rFonts w:ascii="Times New Roman" w:hAnsi="Times New Roman" w:cs="Times New Roman"/>
          <w:sz w:val="24"/>
          <w:szCs w:val="24"/>
        </w:rPr>
        <w:footnoteReference w:id="33"/>
      </w:r>
      <w:r w:rsidR="00202A84" w:rsidRPr="007B0913">
        <w:rPr>
          <w:rFonts w:ascii="Times New Roman" w:hAnsi="Times New Roman" w:cs="Times New Roman"/>
          <w:sz w:val="24"/>
          <w:szCs w:val="24"/>
        </w:rPr>
        <w:t xml:space="preserve">  </w:t>
      </w:r>
    </w:p>
    <w:p w14:paraId="1F53A0A4" w14:textId="06A697B3" w:rsidR="00D771C4" w:rsidRPr="007B0913" w:rsidRDefault="00DF7857" w:rsidP="00DF7857">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Lord Nicholls </w:t>
      </w:r>
      <w:r w:rsidR="0003441C" w:rsidRPr="007B0913">
        <w:rPr>
          <w:rFonts w:ascii="Times New Roman" w:hAnsi="Times New Roman" w:cs="Times New Roman"/>
          <w:sz w:val="24"/>
          <w:szCs w:val="24"/>
        </w:rPr>
        <w:t>then</w:t>
      </w:r>
      <w:r w:rsidR="00EC6D61" w:rsidRPr="007B0913">
        <w:rPr>
          <w:rFonts w:ascii="Times New Roman" w:hAnsi="Times New Roman" w:cs="Times New Roman"/>
          <w:sz w:val="24"/>
          <w:szCs w:val="24"/>
        </w:rPr>
        <w:t xml:space="preserve"> stated</w:t>
      </w:r>
      <w:r w:rsidRPr="007B0913">
        <w:rPr>
          <w:rFonts w:ascii="Times New Roman" w:hAnsi="Times New Roman" w:cs="Times New Roman"/>
          <w:sz w:val="24"/>
          <w:szCs w:val="24"/>
        </w:rPr>
        <w:t xml:space="preserve"> that </w:t>
      </w:r>
      <w:r w:rsidR="00D771C4" w:rsidRPr="007B0913">
        <w:rPr>
          <w:rFonts w:ascii="Times New Roman" w:hAnsi="Times New Roman" w:cs="Times New Roman"/>
          <w:sz w:val="24"/>
          <w:szCs w:val="24"/>
        </w:rPr>
        <w:t>the difficulty</w:t>
      </w:r>
      <w:r w:rsidRPr="007B0913">
        <w:rPr>
          <w:rFonts w:ascii="Times New Roman" w:hAnsi="Times New Roman" w:cs="Times New Roman"/>
          <w:sz w:val="24"/>
          <w:szCs w:val="24"/>
        </w:rPr>
        <w:t xml:space="preserve"> </w:t>
      </w:r>
      <w:r w:rsidR="00D771C4" w:rsidRPr="007B0913">
        <w:rPr>
          <w:rFonts w:ascii="Times New Roman" w:hAnsi="Times New Roman" w:cs="Times New Roman"/>
          <w:sz w:val="24"/>
          <w:szCs w:val="24"/>
        </w:rPr>
        <w:t>was how far, and in what circumstances, the Court should depart from Parliament’s intention.</w:t>
      </w:r>
      <w:r w:rsidR="00D771C4" w:rsidRPr="007B0913">
        <w:rPr>
          <w:rStyle w:val="FootnoteReference"/>
          <w:rFonts w:ascii="Times New Roman" w:hAnsi="Times New Roman" w:cs="Times New Roman"/>
          <w:sz w:val="24"/>
          <w:szCs w:val="24"/>
        </w:rPr>
        <w:footnoteReference w:id="34"/>
      </w:r>
      <w:r w:rsidR="00D771C4" w:rsidRPr="007B0913">
        <w:rPr>
          <w:rFonts w:ascii="Times New Roman" w:hAnsi="Times New Roman" w:cs="Times New Roman"/>
          <w:sz w:val="24"/>
          <w:szCs w:val="24"/>
        </w:rPr>
        <w:t xml:space="preserve"> </w:t>
      </w:r>
      <w:r w:rsidRPr="007B0913">
        <w:rPr>
          <w:rFonts w:ascii="Times New Roman" w:hAnsi="Times New Roman" w:cs="Times New Roman"/>
          <w:sz w:val="24"/>
          <w:szCs w:val="24"/>
        </w:rPr>
        <w:t xml:space="preserve">Ultimately, </w:t>
      </w:r>
      <w:r w:rsidR="0003441C" w:rsidRPr="007B0913">
        <w:rPr>
          <w:rFonts w:ascii="Times New Roman" w:hAnsi="Times New Roman" w:cs="Times New Roman"/>
          <w:sz w:val="24"/>
          <w:szCs w:val="24"/>
        </w:rPr>
        <w:t xml:space="preserve">having regard to ‘social policy’, </w:t>
      </w:r>
      <w:r w:rsidR="00232AE6" w:rsidRPr="007B0913">
        <w:rPr>
          <w:rFonts w:ascii="Times New Roman" w:hAnsi="Times New Roman" w:cs="Times New Roman"/>
          <w:sz w:val="24"/>
          <w:szCs w:val="24"/>
        </w:rPr>
        <w:t xml:space="preserve">and to eliminate the discriminatory effect of the relevant provision, </w:t>
      </w:r>
      <w:r w:rsidR="00D771C4" w:rsidRPr="007B0913">
        <w:rPr>
          <w:rFonts w:ascii="Times New Roman" w:hAnsi="Times New Roman" w:cs="Times New Roman"/>
          <w:sz w:val="24"/>
          <w:szCs w:val="24"/>
        </w:rPr>
        <w:t>Lord Nicholls came to the view that ‘</w:t>
      </w:r>
      <w:r w:rsidR="00611B0A" w:rsidRPr="007B0913">
        <w:rPr>
          <w:rFonts w:ascii="Times New Roman" w:hAnsi="Times New Roman" w:cs="Times New Roman"/>
          <w:sz w:val="24"/>
          <w:szCs w:val="24"/>
        </w:rPr>
        <w:t>[t]</w:t>
      </w:r>
      <w:r w:rsidR="00D771C4" w:rsidRPr="007B0913">
        <w:rPr>
          <w:rFonts w:ascii="Times New Roman" w:hAnsi="Times New Roman" w:cs="Times New Roman"/>
          <w:sz w:val="24"/>
          <w:szCs w:val="24"/>
        </w:rPr>
        <w:t>he precise form of words read in for this purpose is of no significance.  It is their substantive effect which matters.’</w:t>
      </w:r>
      <w:r w:rsidR="00D771C4" w:rsidRPr="007B0913">
        <w:rPr>
          <w:rStyle w:val="FootnoteReference"/>
          <w:rFonts w:ascii="Times New Roman" w:hAnsi="Times New Roman" w:cs="Times New Roman"/>
          <w:sz w:val="24"/>
          <w:szCs w:val="24"/>
        </w:rPr>
        <w:footnoteReference w:id="35"/>
      </w:r>
      <w:r w:rsidR="0003441C" w:rsidRPr="007B0913">
        <w:rPr>
          <w:rFonts w:ascii="Times New Roman" w:hAnsi="Times New Roman" w:cs="Times New Roman"/>
          <w:sz w:val="24"/>
          <w:szCs w:val="24"/>
        </w:rPr>
        <w:t xml:space="preserve">  Accordingly, his Lordship </w:t>
      </w:r>
      <w:r w:rsidR="00232AE6" w:rsidRPr="007B0913">
        <w:rPr>
          <w:rFonts w:ascii="Times New Roman" w:hAnsi="Times New Roman" w:cs="Times New Roman"/>
          <w:sz w:val="24"/>
          <w:szCs w:val="24"/>
        </w:rPr>
        <w:t>considered</w:t>
      </w:r>
      <w:r w:rsidR="0003441C" w:rsidRPr="007B0913">
        <w:rPr>
          <w:rFonts w:ascii="Times New Roman" w:hAnsi="Times New Roman" w:cs="Times New Roman"/>
          <w:sz w:val="24"/>
          <w:szCs w:val="24"/>
        </w:rPr>
        <w:t xml:space="preserve"> that the appeal should be dismissed. </w:t>
      </w:r>
    </w:p>
    <w:p w14:paraId="3CD3F14A" w14:textId="4F286B05" w:rsidR="00531185" w:rsidRPr="007B0913" w:rsidRDefault="0036356B"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Lord Millett, in dis</w:t>
      </w:r>
      <w:r w:rsidR="00467D41" w:rsidRPr="007B0913">
        <w:rPr>
          <w:rFonts w:ascii="Times New Roman" w:hAnsi="Times New Roman" w:cs="Times New Roman"/>
          <w:sz w:val="24"/>
          <w:szCs w:val="24"/>
        </w:rPr>
        <w:t>sent, construed the expression ‘</w:t>
      </w:r>
      <w:r w:rsidRPr="007B0913">
        <w:rPr>
          <w:rFonts w:ascii="Times New Roman" w:hAnsi="Times New Roman" w:cs="Times New Roman"/>
          <w:sz w:val="24"/>
          <w:szCs w:val="24"/>
        </w:rPr>
        <w:t>r</w:t>
      </w:r>
      <w:r w:rsidR="00E82A60" w:rsidRPr="007B0913">
        <w:rPr>
          <w:rFonts w:ascii="Times New Roman" w:hAnsi="Times New Roman" w:cs="Times New Roman"/>
          <w:sz w:val="24"/>
          <w:szCs w:val="24"/>
        </w:rPr>
        <w:t>e</w:t>
      </w:r>
      <w:r w:rsidRPr="007B0913">
        <w:rPr>
          <w:rFonts w:ascii="Times New Roman" w:hAnsi="Times New Roman" w:cs="Times New Roman"/>
          <w:sz w:val="24"/>
          <w:szCs w:val="24"/>
        </w:rPr>
        <w:t>ad and g</w:t>
      </w:r>
      <w:r w:rsidR="00467D41" w:rsidRPr="007B0913">
        <w:rPr>
          <w:rFonts w:ascii="Times New Roman" w:hAnsi="Times New Roman" w:cs="Times New Roman"/>
          <w:sz w:val="24"/>
          <w:szCs w:val="24"/>
        </w:rPr>
        <w:t>iven effect to’</w:t>
      </w:r>
      <w:r w:rsidRPr="007B0913">
        <w:rPr>
          <w:rFonts w:ascii="Times New Roman" w:hAnsi="Times New Roman" w:cs="Times New Roman"/>
          <w:sz w:val="24"/>
          <w:szCs w:val="24"/>
        </w:rPr>
        <w:t xml:space="preserve"> in </w:t>
      </w:r>
      <w:r w:rsidR="00DC0910" w:rsidRPr="007B0913">
        <w:rPr>
          <w:rFonts w:ascii="Times New Roman" w:hAnsi="Times New Roman" w:cs="Times New Roman"/>
          <w:sz w:val="24"/>
          <w:szCs w:val="24"/>
        </w:rPr>
        <w:t>s 3</w:t>
      </w:r>
      <w:r w:rsidR="0045735D" w:rsidRPr="007B0913">
        <w:rPr>
          <w:rFonts w:ascii="Times New Roman" w:hAnsi="Times New Roman" w:cs="Times New Roman"/>
          <w:sz w:val="24"/>
          <w:szCs w:val="24"/>
        </w:rPr>
        <w:t>(1)</w:t>
      </w:r>
      <w:r w:rsidR="00DC0910" w:rsidRPr="007B0913">
        <w:rPr>
          <w:rFonts w:ascii="Times New Roman" w:hAnsi="Times New Roman" w:cs="Times New Roman"/>
          <w:sz w:val="24"/>
          <w:szCs w:val="24"/>
        </w:rPr>
        <w:t xml:space="preserve"> of the UK Act</w:t>
      </w:r>
      <w:r w:rsidR="00467D41" w:rsidRPr="007B0913">
        <w:rPr>
          <w:rFonts w:ascii="Times New Roman" w:hAnsi="Times New Roman" w:cs="Times New Roman"/>
          <w:sz w:val="24"/>
          <w:szCs w:val="24"/>
        </w:rPr>
        <w:t xml:space="preserve"> </w:t>
      </w:r>
      <w:r w:rsidRPr="007B0913">
        <w:rPr>
          <w:rFonts w:ascii="Times New Roman" w:hAnsi="Times New Roman" w:cs="Times New Roman"/>
          <w:sz w:val="24"/>
          <w:szCs w:val="24"/>
        </w:rPr>
        <w:t xml:space="preserve">as indicating that the Court’s function </w:t>
      </w:r>
      <w:r w:rsidR="0045735D" w:rsidRPr="007B0913">
        <w:rPr>
          <w:rFonts w:ascii="Times New Roman" w:hAnsi="Times New Roman" w:cs="Times New Roman"/>
          <w:sz w:val="24"/>
          <w:szCs w:val="24"/>
        </w:rPr>
        <w:t xml:space="preserve">always </w:t>
      </w:r>
      <w:r w:rsidRPr="007B0913">
        <w:rPr>
          <w:rFonts w:ascii="Times New Roman" w:hAnsi="Times New Roman" w:cs="Times New Roman"/>
          <w:sz w:val="24"/>
          <w:szCs w:val="24"/>
        </w:rPr>
        <w:t>remained one of interpretation, and</w:t>
      </w:r>
      <w:r w:rsidR="00F376A3" w:rsidRPr="007B0913">
        <w:rPr>
          <w:rFonts w:ascii="Times New Roman" w:hAnsi="Times New Roman" w:cs="Times New Roman"/>
          <w:sz w:val="24"/>
          <w:szCs w:val="24"/>
        </w:rPr>
        <w:t xml:space="preserve"> did not extend to</w:t>
      </w:r>
      <w:r w:rsidRPr="007B0913">
        <w:rPr>
          <w:rFonts w:ascii="Times New Roman" w:hAnsi="Times New Roman" w:cs="Times New Roman"/>
          <w:sz w:val="24"/>
          <w:szCs w:val="24"/>
        </w:rPr>
        <w:t xml:space="preserve"> </w:t>
      </w:r>
      <w:r w:rsidR="00F376A3" w:rsidRPr="007B0913">
        <w:rPr>
          <w:rFonts w:ascii="Times New Roman" w:hAnsi="Times New Roman" w:cs="Times New Roman"/>
          <w:sz w:val="24"/>
          <w:szCs w:val="24"/>
        </w:rPr>
        <w:t xml:space="preserve">re-writing the </w:t>
      </w:r>
      <w:r w:rsidR="0045735D" w:rsidRPr="007B0913">
        <w:rPr>
          <w:rFonts w:ascii="Times New Roman" w:hAnsi="Times New Roman" w:cs="Times New Roman"/>
          <w:sz w:val="24"/>
          <w:szCs w:val="24"/>
        </w:rPr>
        <w:t>provisions under consideration</w:t>
      </w:r>
      <w:r w:rsidR="008E5EA4" w:rsidRPr="007B0913">
        <w:rPr>
          <w:rFonts w:ascii="Times New Roman" w:hAnsi="Times New Roman" w:cs="Times New Roman"/>
          <w:sz w:val="24"/>
          <w:szCs w:val="24"/>
        </w:rPr>
        <w:t xml:space="preserve"> in a way that was inconsistent with the legislative scheme</w:t>
      </w:r>
      <w:r w:rsidR="0045735D" w:rsidRPr="007B0913">
        <w:rPr>
          <w:rFonts w:ascii="Times New Roman" w:hAnsi="Times New Roman" w:cs="Times New Roman"/>
          <w:sz w:val="24"/>
          <w:szCs w:val="24"/>
        </w:rPr>
        <w:t>.</w:t>
      </w:r>
      <w:r w:rsidR="008E5EA4" w:rsidRPr="007B0913">
        <w:rPr>
          <w:rStyle w:val="FootnoteReference"/>
          <w:rFonts w:ascii="Times New Roman" w:hAnsi="Times New Roman" w:cs="Times New Roman"/>
          <w:sz w:val="24"/>
          <w:szCs w:val="24"/>
        </w:rPr>
        <w:footnoteReference w:id="36"/>
      </w:r>
      <w:r w:rsidR="00F376A3" w:rsidRPr="007B0913">
        <w:rPr>
          <w:rFonts w:ascii="Times New Roman" w:hAnsi="Times New Roman" w:cs="Times New Roman"/>
          <w:sz w:val="24"/>
          <w:szCs w:val="24"/>
        </w:rPr>
        <w:t xml:space="preserve">  In h</w:t>
      </w:r>
      <w:r w:rsidRPr="007B0913">
        <w:rPr>
          <w:rFonts w:ascii="Times New Roman" w:hAnsi="Times New Roman" w:cs="Times New Roman"/>
          <w:sz w:val="24"/>
          <w:szCs w:val="24"/>
        </w:rPr>
        <w:t>is Lordship’s view, the</w:t>
      </w:r>
      <w:r w:rsidR="0045735D" w:rsidRPr="007B0913">
        <w:rPr>
          <w:rFonts w:ascii="Times New Roman" w:hAnsi="Times New Roman" w:cs="Times New Roman"/>
          <w:sz w:val="24"/>
          <w:szCs w:val="24"/>
        </w:rPr>
        <w:t xml:space="preserve"> interpretive provision in the UK Act</w:t>
      </w:r>
      <w:r w:rsidRPr="007B0913">
        <w:rPr>
          <w:rFonts w:ascii="Times New Roman" w:hAnsi="Times New Roman" w:cs="Times New Roman"/>
          <w:sz w:val="24"/>
          <w:szCs w:val="24"/>
        </w:rPr>
        <w:t xml:space="preserve"> did not permit the courts to ascribe to the legislature </w:t>
      </w:r>
      <w:r w:rsidR="00E82A60" w:rsidRPr="007B0913">
        <w:rPr>
          <w:rFonts w:ascii="Times New Roman" w:hAnsi="Times New Roman" w:cs="Times New Roman"/>
          <w:sz w:val="24"/>
          <w:szCs w:val="24"/>
        </w:rPr>
        <w:t xml:space="preserve">an </w:t>
      </w:r>
      <w:r w:rsidR="00C71122" w:rsidRPr="007B0913">
        <w:rPr>
          <w:rFonts w:ascii="Times New Roman" w:hAnsi="Times New Roman" w:cs="Times New Roman"/>
          <w:sz w:val="24"/>
          <w:szCs w:val="24"/>
        </w:rPr>
        <w:t>‘</w:t>
      </w:r>
      <w:r w:rsidR="00E82A60" w:rsidRPr="007B0913">
        <w:rPr>
          <w:rFonts w:ascii="Times New Roman" w:hAnsi="Times New Roman" w:cs="Times New Roman"/>
          <w:sz w:val="24"/>
          <w:szCs w:val="24"/>
        </w:rPr>
        <w:t>impossible</w:t>
      </w:r>
      <w:r w:rsidR="00C71122" w:rsidRPr="007B0913">
        <w:rPr>
          <w:rFonts w:ascii="Times New Roman" w:hAnsi="Times New Roman" w:cs="Times New Roman"/>
          <w:sz w:val="24"/>
          <w:szCs w:val="24"/>
        </w:rPr>
        <w:t>’</w:t>
      </w:r>
      <w:r w:rsidR="00E82A60" w:rsidRPr="007B0913">
        <w:rPr>
          <w:rFonts w:ascii="Times New Roman" w:hAnsi="Times New Roman" w:cs="Times New Roman"/>
          <w:sz w:val="24"/>
          <w:szCs w:val="24"/>
        </w:rPr>
        <w:t xml:space="preserve"> interpretation,</w:t>
      </w:r>
      <w:r w:rsidR="0009160B" w:rsidRPr="007B0913">
        <w:rPr>
          <w:rStyle w:val="FootnoteReference"/>
          <w:rFonts w:ascii="Times New Roman" w:hAnsi="Times New Roman" w:cs="Times New Roman"/>
          <w:sz w:val="24"/>
          <w:szCs w:val="24"/>
        </w:rPr>
        <w:footnoteReference w:id="37"/>
      </w:r>
      <w:r w:rsidR="00E82A60" w:rsidRPr="007B0913">
        <w:rPr>
          <w:rFonts w:ascii="Times New Roman" w:hAnsi="Times New Roman" w:cs="Times New Roman"/>
          <w:sz w:val="24"/>
          <w:szCs w:val="24"/>
        </w:rPr>
        <w:t xml:space="preserve"> irrespective of how socially desirable </w:t>
      </w:r>
      <w:r w:rsidR="0045735D" w:rsidRPr="007B0913">
        <w:rPr>
          <w:rFonts w:ascii="Times New Roman" w:hAnsi="Times New Roman" w:cs="Times New Roman"/>
          <w:sz w:val="24"/>
          <w:szCs w:val="24"/>
        </w:rPr>
        <w:t xml:space="preserve">any such </w:t>
      </w:r>
      <w:r w:rsidR="00E82A60" w:rsidRPr="007B0913">
        <w:rPr>
          <w:rFonts w:ascii="Times New Roman" w:hAnsi="Times New Roman" w:cs="Times New Roman"/>
          <w:sz w:val="24"/>
          <w:szCs w:val="24"/>
        </w:rPr>
        <w:t xml:space="preserve">interpretation might be.  </w:t>
      </w:r>
    </w:p>
    <w:p w14:paraId="69093073" w14:textId="77777777" w:rsidR="0045735D" w:rsidRPr="007B0913" w:rsidRDefault="002E6DCE"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lastRenderedPageBreak/>
        <w:t xml:space="preserve">The question of how </w:t>
      </w:r>
      <w:r w:rsidR="006D2ACD" w:rsidRPr="007B0913">
        <w:rPr>
          <w:rFonts w:ascii="Times New Roman" w:hAnsi="Times New Roman" w:cs="Times New Roman"/>
          <w:sz w:val="24"/>
          <w:szCs w:val="24"/>
        </w:rPr>
        <w:t xml:space="preserve">s 32(1) </w:t>
      </w:r>
      <w:r w:rsidRPr="007B0913">
        <w:rPr>
          <w:rFonts w:ascii="Times New Roman" w:hAnsi="Times New Roman" w:cs="Times New Roman"/>
          <w:sz w:val="24"/>
          <w:szCs w:val="24"/>
        </w:rPr>
        <w:t xml:space="preserve">of the Charter </w:t>
      </w:r>
      <w:r w:rsidR="006D2ACD" w:rsidRPr="007B0913">
        <w:rPr>
          <w:rFonts w:ascii="Times New Roman" w:hAnsi="Times New Roman" w:cs="Times New Roman"/>
          <w:sz w:val="24"/>
          <w:szCs w:val="24"/>
        </w:rPr>
        <w:t>should be construed</w:t>
      </w:r>
      <w:r w:rsidRPr="007B0913">
        <w:rPr>
          <w:rFonts w:ascii="Times New Roman" w:hAnsi="Times New Roman" w:cs="Times New Roman"/>
          <w:sz w:val="24"/>
          <w:szCs w:val="24"/>
        </w:rPr>
        <w:t xml:space="preserve"> arose for determination in </w:t>
      </w:r>
      <w:proofErr w:type="spellStart"/>
      <w:r w:rsidR="00757360" w:rsidRPr="007B0913">
        <w:rPr>
          <w:rFonts w:ascii="Times New Roman" w:hAnsi="Times New Roman" w:cs="Times New Roman"/>
          <w:i/>
          <w:sz w:val="24"/>
          <w:szCs w:val="24"/>
        </w:rPr>
        <w:t>Momcilovic</w:t>
      </w:r>
      <w:proofErr w:type="spellEnd"/>
      <w:r w:rsidR="00757360" w:rsidRPr="007B0913">
        <w:rPr>
          <w:rFonts w:ascii="Times New Roman" w:hAnsi="Times New Roman" w:cs="Times New Roman"/>
          <w:i/>
          <w:sz w:val="24"/>
          <w:szCs w:val="24"/>
        </w:rPr>
        <w:t xml:space="preserve"> v The Queen</w:t>
      </w:r>
      <w:r w:rsidRPr="007B0913">
        <w:rPr>
          <w:rFonts w:ascii="Times New Roman" w:hAnsi="Times New Roman" w:cs="Times New Roman"/>
          <w:sz w:val="24"/>
          <w:szCs w:val="24"/>
        </w:rPr>
        <w:t>.</w:t>
      </w:r>
      <w:r w:rsidR="00757360" w:rsidRPr="007B0913">
        <w:rPr>
          <w:rStyle w:val="FootnoteReference"/>
          <w:rFonts w:ascii="Times New Roman" w:hAnsi="Times New Roman" w:cs="Times New Roman"/>
          <w:sz w:val="24"/>
          <w:szCs w:val="24"/>
        </w:rPr>
        <w:footnoteReference w:id="38"/>
      </w:r>
      <w:r w:rsidR="00757360" w:rsidRPr="007B0913">
        <w:rPr>
          <w:rFonts w:ascii="Times New Roman" w:hAnsi="Times New Roman" w:cs="Times New Roman"/>
          <w:sz w:val="24"/>
          <w:szCs w:val="24"/>
        </w:rPr>
        <w:t xml:space="preserve"> </w:t>
      </w:r>
      <w:r w:rsidRPr="007B0913">
        <w:rPr>
          <w:rFonts w:ascii="Times New Roman" w:hAnsi="Times New Roman" w:cs="Times New Roman"/>
          <w:sz w:val="24"/>
          <w:szCs w:val="24"/>
        </w:rPr>
        <w:t xml:space="preserve"> There, </w:t>
      </w:r>
      <w:r w:rsidR="00757360" w:rsidRPr="007B0913">
        <w:rPr>
          <w:rFonts w:ascii="Times New Roman" w:hAnsi="Times New Roman" w:cs="Times New Roman"/>
          <w:sz w:val="24"/>
          <w:szCs w:val="24"/>
        </w:rPr>
        <w:t>the High Court</w:t>
      </w:r>
      <w:r w:rsidRPr="007B0913">
        <w:rPr>
          <w:rFonts w:ascii="Times New Roman" w:hAnsi="Times New Roman" w:cs="Times New Roman"/>
          <w:sz w:val="24"/>
          <w:szCs w:val="24"/>
        </w:rPr>
        <w:t xml:space="preserve"> </w:t>
      </w:r>
      <w:r w:rsidR="00F84931" w:rsidRPr="007B0913">
        <w:rPr>
          <w:rFonts w:ascii="Times New Roman" w:hAnsi="Times New Roman" w:cs="Times New Roman"/>
          <w:sz w:val="24"/>
          <w:szCs w:val="24"/>
        </w:rPr>
        <w:t>considered</w:t>
      </w:r>
      <w:r w:rsidRPr="007B0913">
        <w:rPr>
          <w:rFonts w:ascii="Times New Roman" w:hAnsi="Times New Roman" w:cs="Times New Roman"/>
          <w:sz w:val="24"/>
          <w:szCs w:val="24"/>
        </w:rPr>
        <w:t xml:space="preserve"> the applicability or otherwise of the reasoning in </w:t>
      </w:r>
      <w:proofErr w:type="spellStart"/>
      <w:r w:rsidR="00396694" w:rsidRPr="007B0913">
        <w:rPr>
          <w:rFonts w:ascii="Times New Roman" w:hAnsi="Times New Roman" w:cs="Times New Roman"/>
          <w:i/>
          <w:sz w:val="24"/>
          <w:szCs w:val="24"/>
        </w:rPr>
        <w:t>Ghaidan</w:t>
      </w:r>
      <w:proofErr w:type="spellEnd"/>
      <w:r w:rsidR="00396694" w:rsidRPr="007B0913">
        <w:rPr>
          <w:rFonts w:ascii="Times New Roman" w:hAnsi="Times New Roman" w:cs="Times New Roman"/>
          <w:i/>
          <w:sz w:val="24"/>
          <w:szCs w:val="24"/>
        </w:rPr>
        <w:t xml:space="preserve"> </w:t>
      </w:r>
      <w:r w:rsidRPr="007B0913">
        <w:rPr>
          <w:rFonts w:ascii="Times New Roman" w:hAnsi="Times New Roman" w:cs="Times New Roman"/>
          <w:sz w:val="24"/>
          <w:szCs w:val="24"/>
        </w:rPr>
        <w:t>when</w:t>
      </w:r>
      <w:r w:rsidR="00396694" w:rsidRPr="007B0913">
        <w:rPr>
          <w:rFonts w:ascii="Times New Roman" w:hAnsi="Times New Roman" w:cs="Times New Roman"/>
          <w:sz w:val="24"/>
          <w:szCs w:val="24"/>
        </w:rPr>
        <w:t xml:space="preserve"> construing </w:t>
      </w:r>
      <w:r w:rsidRPr="007B0913">
        <w:rPr>
          <w:rFonts w:ascii="Times New Roman" w:hAnsi="Times New Roman" w:cs="Times New Roman"/>
          <w:sz w:val="24"/>
          <w:szCs w:val="24"/>
        </w:rPr>
        <w:t>the Victorian provision</w:t>
      </w:r>
      <w:r w:rsidR="00757360" w:rsidRPr="007B0913">
        <w:rPr>
          <w:rFonts w:ascii="Times New Roman" w:hAnsi="Times New Roman" w:cs="Times New Roman"/>
          <w:sz w:val="24"/>
          <w:szCs w:val="24"/>
        </w:rPr>
        <w:t xml:space="preserve">.  </w:t>
      </w:r>
    </w:p>
    <w:p w14:paraId="29DC7315" w14:textId="700E488D" w:rsidR="006D3F3D" w:rsidRPr="007B0913" w:rsidRDefault="0057315F"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The issue arose in this way.  </w:t>
      </w:r>
      <w:r w:rsidR="00396694" w:rsidRPr="007B0913">
        <w:rPr>
          <w:rFonts w:ascii="Times New Roman" w:hAnsi="Times New Roman" w:cs="Times New Roman"/>
          <w:sz w:val="24"/>
          <w:szCs w:val="24"/>
        </w:rPr>
        <w:t xml:space="preserve">Section 71AC of the </w:t>
      </w:r>
      <w:r w:rsidR="00396694" w:rsidRPr="007B0913">
        <w:rPr>
          <w:rFonts w:ascii="Times New Roman" w:hAnsi="Times New Roman" w:cs="Times New Roman"/>
          <w:i/>
          <w:sz w:val="24"/>
          <w:szCs w:val="24"/>
        </w:rPr>
        <w:t xml:space="preserve">Drugs, Poisons and Controlled Substances Act 1981 </w:t>
      </w:r>
      <w:r w:rsidR="00396694" w:rsidRPr="007B0913">
        <w:rPr>
          <w:rFonts w:ascii="Times New Roman" w:hAnsi="Times New Roman" w:cs="Times New Roman"/>
          <w:sz w:val="24"/>
          <w:szCs w:val="24"/>
        </w:rPr>
        <w:t>(Vic)</w:t>
      </w:r>
      <w:r w:rsidR="00611B0A" w:rsidRPr="007B0913">
        <w:rPr>
          <w:rFonts w:ascii="Times New Roman" w:hAnsi="Times New Roman" w:cs="Times New Roman"/>
          <w:sz w:val="24"/>
          <w:szCs w:val="24"/>
        </w:rPr>
        <w:t xml:space="preserve"> (‘DPCS Act’)</w:t>
      </w:r>
      <w:r w:rsidR="00396694" w:rsidRPr="007B0913">
        <w:rPr>
          <w:rFonts w:ascii="Times New Roman" w:hAnsi="Times New Roman" w:cs="Times New Roman"/>
          <w:sz w:val="24"/>
          <w:szCs w:val="24"/>
        </w:rPr>
        <w:t xml:space="preserve"> created the offence of trafficking in a drug of dependence.  </w:t>
      </w:r>
      <w:r w:rsidR="00F600C5" w:rsidRPr="007B0913">
        <w:rPr>
          <w:rFonts w:ascii="Times New Roman" w:hAnsi="Times New Roman" w:cs="Times New Roman"/>
          <w:sz w:val="24"/>
          <w:szCs w:val="24"/>
        </w:rPr>
        <w:t>Pursuant to s 70(1), t</w:t>
      </w:r>
      <w:r w:rsidR="00396694" w:rsidRPr="007B0913">
        <w:rPr>
          <w:rFonts w:ascii="Times New Roman" w:hAnsi="Times New Roman" w:cs="Times New Roman"/>
          <w:sz w:val="24"/>
          <w:szCs w:val="24"/>
        </w:rPr>
        <w:t xml:space="preserve">he term </w:t>
      </w:r>
      <w:r w:rsidR="006619B1" w:rsidRPr="007B0913">
        <w:rPr>
          <w:rFonts w:ascii="Times New Roman" w:hAnsi="Times New Roman" w:cs="Times New Roman"/>
          <w:sz w:val="24"/>
          <w:szCs w:val="24"/>
        </w:rPr>
        <w:t>‘</w:t>
      </w:r>
      <w:proofErr w:type="spellStart"/>
      <w:r w:rsidR="00396694" w:rsidRPr="007B0913">
        <w:rPr>
          <w:rFonts w:ascii="Times New Roman" w:hAnsi="Times New Roman" w:cs="Times New Roman"/>
          <w:sz w:val="24"/>
          <w:szCs w:val="24"/>
        </w:rPr>
        <w:t>traffick</w:t>
      </w:r>
      <w:proofErr w:type="spellEnd"/>
      <w:r w:rsidR="006619B1" w:rsidRPr="007B0913">
        <w:rPr>
          <w:rFonts w:ascii="Times New Roman" w:hAnsi="Times New Roman" w:cs="Times New Roman"/>
          <w:sz w:val="24"/>
          <w:szCs w:val="24"/>
        </w:rPr>
        <w:t>’ included ‘have in possession for sale’</w:t>
      </w:r>
      <w:r w:rsidR="00396694" w:rsidRPr="007B0913">
        <w:rPr>
          <w:rFonts w:ascii="Times New Roman" w:hAnsi="Times New Roman" w:cs="Times New Roman"/>
          <w:sz w:val="24"/>
          <w:szCs w:val="24"/>
        </w:rPr>
        <w:t xml:space="preserve">.  Section 5 deemed a person to be in possession of a substance if the substance was found upon any land or premises </w:t>
      </w:r>
      <w:r w:rsidR="00566233" w:rsidRPr="007B0913">
        <w:rPr>
          <w:rFonts w:ascii="Times New Roman" w:hAnsi="Times New Roman" w:cs="Times New Roman"/>
          <w:sz w:val="24"/>
          <w:szCs w:val="24"/>
        </w:rPr>
        <w:t xml:space="preserve">occupied by the person, </w:t>
      </w:r>
      <w:r w:rsidR="00911FFC" w:rsidRPr="007B0913">
        <w:rPr>
          <w:rFonts w:ascii="Times New Roman" w:hAnsi="Times New Roman" w:cs="Times New Roman"/>
          <w:sz w:val="24"/>
          <w:szCs w:val="24"/>
        </w:rPr>
        <w:t xml:space="preserve">unless that person </w:t>
      </w:r>
      <w:r w:rsidR="008116F1" w:rsidRPr="007B0913">
        <w:rPr>
          <w:rFonts w:ascii="Times New Roman" w:hAnsi="Times New Roman" w:cs="Times New Roman"/>
          <w:sz w:val="24"/>
          <w:szCs w:val="24"/>
        </w:rPr>
        <w:t>‘</w:t>
      </w:r>
      <w:proofErr w:type="spellStart"/>
      <w:r w:rsidR="00911FFC" w:rsidRPr="007B0913">
        <w:rPr>
          <w:rFonts w:ascii="Times New Roman" w:hAnsi="Times New Roman" w:cs="Times New Roman"/>
          <w:sz w:val="24"/>
          <w:szCs w:val="24"/>
        </w:rPr>
        <w:t>satisfie</w:t>
      </w:r>
      <w:proofErr w:type="spellEnd"/>
      <w:r w:rsidR="008A51AD" w:rsidRPr="007B0913">
        <w:rPr>
          <w:rFonts w:ascii="Times New Roman" w:hAnsi="Times New Roman" w:cs="Times New Roman"/>
          <w:sz w:val="24"/>
          <w:szCs w:val="24"/>
        </w:rPr>
        <w:t>[</w:t>
      </w:r>
      <w:r w:rsidR="00911FFC" w:rsidRPr="007B0913">
        <w:rPr>
          <w:rFonts w:ascii="Times New Roman" w:hAnsi="Times New Roman" w:cs="Times New Roman"/>
          <w:sz w:val="24"/>
          <w:szCs w:val="24"/>
        </w:rPr>
        <w:t>d</w:t>
      </w:r>
      <w:r w:rsidR="008A51AD" w:rsidRPr="007B0913">
        <w:rPr>
          <w:rFonts w:ascii="Times New Roman" w:hAnsi="Times New Roman" w:cs="Times New Roman"/>
          <w:sz w:val="24"/>
          <w:szCs w:val="24"/>
        </w:rPr>
        <w:t>]</w:t>
      </w:r>
      <w:r w:rsidR="00911FFC" w:rsidRPr="007B0913">
        <w:rPr>
          <w:rFonts w:ascii="Times New Roman" w:hAnsi="Times New Roman" w:cs="Times New Roman"/>
          <w:sz w:val="24"/>
          <w:szCs w:val="24"/>
        </w:rPr>
        <w:t xml:space="preserve"> the court to the contrary</w:t>
      </w:r>
      <w:r w:rsidR="008116F1" w:rsidRPr="007B0913">
        <w:rPr>
          <w:rFonts w:ascii="Times New Roman" w:hAnsi="Times New Roman" w:cs="Times New Roman"/>
          <w:sz w:val="24"/>
          <w:szCs w:val="24"/>
        </w:rPr>
        <w:t>’</w:t>
      </w:r>
      <w:r w:rsidR="00911FFC" w:rsidRPr="007B0913">
        <w:rPr>
          <w:rFonts w:ascii="Times New Roman" w:hAnsi="Times New Roman" w:cs="Times New Roman"/>
          <w:sz w:val="24"/>
          <w:szCs w:val="24"/>
        </w:rPr>
        <w:t xml:space="preserve">.  </w:t>
      </w:r>
    </w:p>
    <w:p w14:paraId="726B759D" w14:textId="59EC9FDA" w:rsidR="0045735D" w:rsidRPr="007B0913" w:rsidRDefault="0045735D"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The appellant </w:t>
      </w:r>
      <w:proofErr w:type="spellStart"/>
      <w:r w:rsidRPr="007B0913">
        <w:rPr>
          <w:rFonts w:ascii="Times New Roman" w:hAnsi="Times New Roman" w:cs="Times New Roman"/>
          <w:sz w:val="24"/>
          <w:szCs w:val="24"/>
        </w:rPr>
        <w:t>Momcilovic</w:t>
      </w:r>
      <w:proofErr w:type="spellEnd"/>
      <w:r w:rsidRPr="007B0913">
        <w:rPr>
          <w:rFonts w:ascii="Times New Roman" w:hAnsi="Times New Roman" w:cs="Times New Roman"/>
          <w:sz w:val="24"/>
          <w:szCs w:val="24"/>
        </w:rPr>
        <w:t xml:space="preserve"> </w:t>
      </w:r>
      <w:r w:rsidR="00295C03" w:rsidRPr="007B0913">
        <w:rPr>
          <w:rFonts w:ascii="Times New Roman" w:hAnsi="Times New Roman" w:cs="Times New Roman"/>
          <w:sz w:val="24"/>
          <w:szCs w:val="24"/>
        </w:rPr>
        <w:t>o</w:t>
      </w:r>
      <w:r w:rsidR="001E17E0" w:rsidRPr="007B0913">
        <w:rPr>
          <w:rFonts w:ascii="Times New Roman" w:hAnsi="Times New Roman" w:cs="Times New Roman"/>
          <w:sz w:val="24"/>
          <w:szCs w:val="24"/>
        </w:rPr>
        <w:t xml:space="preserve">wned and </w:t>
      </w:r>
      <w:r w:rsidRPr="007B0913">
        <w:rPr>
          <w:rFonts w:ascii="Times New Roman" w:hAnsi="Times New Roman" w:cs="Times New Roman"/>
          <w:sz w:val="24"/>
          <w:szCs w:val="24"/>
        </w:rPr>
        <w:t>occupied an apartment in which a substantial quantity of drugs were found</w:t>
      </w:r>
      <w:r w:rsidR="000658EC" w:rsidRPr="007B0913">
        <w:rPr>
          <w:rFonts w:ascii="Times New Roman" w:hAnsi="Times New Roman" w:cs="Times New Roman"/>
          <w:sz w:val="24"/>
          <w:szCs w:val="24"/>
        </w:rPr>
        <w:t xml:space="preserve">, </w:t>
      </w:r>
      <w:r w:rsidR="00D34751" w:rsidRPr="007B0913">
        <w:rPr>
          <w:rFonts w:ascii="Times New Roman" w:hAnsi="Times New Roman" w:cs="Times New Roman"/>
          <w:sz w:val="24"/>
          <w:szCs w:val="24"/>
        </w:rPr>
        <w:t>al</w:t>
      </w:r>
      <w:r w:rsidR="000658EC" w:rsidRPr="007B0913">
        <w:rPr>
          <w:rFonts w:ascii="Times New Roman" w:hAnsi="Times New Roman" w:cs="Times New Roman"/>
          <w:sz w:val="24"/>
          <w:szCs w:val="24"/>
        </w:rPr>
        <w:t xml:space="preserve">though </w:t>
      </w:r>
      <w:proofErr w:type="gramStart"/>
      <w:r w:rsidR="000658EC" w:rsidRPr="007B0913">
        <w:rPr>
          <w:rFonts w:ascii="Times New Roman" w:hAnsi="Times New Roman" w:cs="Times New Roman"/>
          <w:sz w:val="24"/>
          <w:szCs w:val="24"/>
        </w:rPr>
        <w:t>she</w:t>
      </w:r>
      <w:r w:rsidR="001E17E0" w:rsidRPr="007B0913">
        <w:rPr>
          <w:rFonts w:ascii="Times New Roman" w:hAnsi="Times New Roman" w:cs="Times New Roman"/>
          <w:sz w:val="24"/>
          <w:szCs w:val="24"/>
        </w:rPr>
        <w:t xml:space="preserve">  denied</w:t>
      </w:r>
      <w:proofErr w:type="gramEnd"/>
      <w:r w:rsidR="001E17E0" w:rsidRPr="007B0913">
        <w:rPr>
          <w:rFonts w:ascii="Times New Roman" w:hAnsi="Times New Roman" w:cs="Times New Roman"/>
          <w:sz w:val="24"/>
          <w:szCs w:val="24"/>
        </w:rPr>
        <w:t xml:space="preserve"> any knowledge of the drugs.  </w:t>
      </w:r>
      <w:r w:rsidRPr="007B0913">
        <w:rPr>
          <w:rFonts w:ascii="Times New Roman" w:hAnsi="Times New Roman" w:cs="Times New Roman"/>
          <w:sz w:val="24"/>
          <w:szCs w:val="24"/>
        </w:rPr>
        <w:t xml:space="preserve">She was charged with trafficking, and convicted of that offence.  The trial judge </w:t>
      </w:r>
      <w:r w:rsidR="000658EC" w:rsidRPr="007B0913">
        <w:rPr>
          <w:rFonts w:ascii="Times New Roman" w:hAnsi="Times New Roman" w:cs="Times New Roman"/>
          <w:sz w:val="24"/>
          <w:szCs w:val="24"/>
        </w:rPr>
        <w:t xml:space="preserve">had </w:t>
      </w:r>
      <w:r w:rsidRPr="007B0913">
        <w:rPr>
          <w:rFonts w:ascii="Times New Roman" w:hAnsi="Times New Roman" w:cs="Times New Roman"/>
          <w:sz w:val="24"/>
          <w:szCs w:val="24"/>
        </w:rPr>
        <w:t xml:space="preserve">directed the jury, in accordance with s 5, that the onus rested upon her to satisfy them that she was not in possession of the drugs which had been found in her apartment.  </w:t>
      </w:r>
    </w:p>
    <w:p w14:paraId="0937C63F" w14:textId="1C5FDE20" w:rsidR="00E14787" w:rsidRPr="007B0913" w:rsidRDefault="00744A67"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The </w:t>
      </w:r>
      <w:r w:rsidR="0057315F" w:rsidRPr="007B0913">
        <w:rPr>
          <w:rFonts w:ascii="Times New Roman" w:hAnsi="Times New Roman" w:cs="Times New Roman"/>
          <w:sz w:val="24"/>
          <w:szCs w:val="24"/>
        </w:rPr>
        <w:t xml:space="preserve">first question to be resolved in </w:t>
      </w:r>
      <w:proofErr w:type="spellStart"/>
      <w:r w:rsidR="0057315F" w:rsidRPr="007B0913">
        <w:rPr>
          <w:rFonts w:ascii="Times New Roman" w:hAnsi="Times New Roman" w:cs="Times New Roman"/>
          <w:i/>
          <w:sz w:val="24"/>
          <w:szCs w:val="24"/>
        </w:rPr>
        <w:t>Momcilovic</w:t>
      </w:r>
      <w:proofErr w:type="spellEnd"/>
      <w:r w:rsidR="0057315F" w:rsidRPr="007B0913">
        <w:rPr>
          <w:rFonts w:ascii="Times New Roman" w:hAnsi="Times New Roman" w:cs="Times New Roman"/>
          <w:sz w:val="24"/>
          <w:szCs w:val="24"/>
        </w:rPr>
        <w:t xml:space="preserve"> was whether the trial judge </w:t>
      </w:r>
      <w:r w:rsidR="00197231" w:rsidRPr="007B0913">
        <w:rPr>
          <w:rFonts w:ascii="Times New Roman" w:hAnsi="Times New Roman" w:cs="Times New Roman"/>
          <w:sz w:val="24"/>
          <w:szCs w:val="24"/>
        </w:rPr>
        <w:t xml:space="preserve">had erred in directing the jury in that way.  In particular, ought the </w:t>
      </w:r>
      <w:proofErr w:type="gramStart"/>
      <w:r w:rsidR="00197231" w:rsidRPr="007B0913">
        <w:rPr>
          <w:rFonts w:ascii="Times New Roman" w:hAnsi="Times New Roman" w:cs="Times New Roman"/>
          <w:sz w:val="24"/>
          <w:szCs w:val="24"/>
        </w:rPr>
        <w:t>jury</w:t>
      </w:r>
      <w:proofErr w:type="gramEnd"/>
      <w:r w:rsidR="00197231" w:rsidRPr="007B0913">
        <w:rPr>
          <w:rFonts w:ascii="Times New Roman" w:hAnsi="Times New Roman" w:cs="Times New Roman"/>
          <w:sz w:val="24"/>
          <w:szCs w:val="24"/>
        </w:rPr>
        <w:t xml:space="preserve"> have been told that it was incumbent upon the Crown to establish, beyond reasonable doubt, that </w:t>
      </w:r>
      <w:proofErr w:type="spellStart"/>
      <w:r w:rsidR="00197231" w:rsidRPr="007B0913">
        <w:rPr>
          <w:rFonts w:ascii="Times New Roman" w:hAnsi="Times New Roman" w:cs="Times New Roman"/>
          <w:sz w:val="24"/>
          <w:szCs w:val="24"/>
        </w:rPr>
        <w:t>Momcilovic</w:t>
      </w:r>
      <w:proofErr w:type="spellEnd"/>
      <w:r w:rsidR="00197231" w:rsidRPr="007B0913">
        <w:rPr>
          <w:rFonts w:ascii="Times New Roman" w:hAnsi="Times New Roman" w:cs="Times New Roman"/>
          <w:sz w:val="24"/>
          <w:szCs w:val="24"/>
        </w:rPr>
        <w:t xml:space="preserve"> was aware of the presence of </w:t>
      </w:r>
      <w:r w:rsidR="00674C9E" w:rsidRPr="007B0913">
        <w:rPr>
          <w:rFonts w:ascii="Times New Roman" w:hAnsi="Times New Roman" w:cs="Times New Roman"/>
          <w:sz w:val="24"/>
          <w:szCs w:val="24"/>
        </w:rPr>
        <w:t>drugs at her premises</w:t>
      </w:r>
      <w:r w:rsidR="00197231" w:rsidRPr="007B0913">
        <w:rPr>
          <w:rFonts w:ascii="Times New Roman" w:hAnsi="Times New Roman" w:cs="Times New Roman"/>
          <w:sz w:val="24"/>
          <w:szCs w:val="24"/>
        </w:rPr>
        <w:t>?</w:t>
      </w:r>
    </w:p>
    <w:p w14:paraId="3BBD1BA7" w14:textId="64D05AB6" w:rsidR="00D64562" w:rsidRPr="007B0913" w:rsidRDefault="00D64562"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Five members of the </w:t>
      </w:r>
      <w:r w:rsidR="00197231" w:rsidRPr="007B0913">
        <w:rPr>
          <w:rFonts w:ascii="Times New Roman" w:hAnsi="Times New Roman" w:cs="Times New Roman"/>
          <w:sz w:val="24"/>
          <w:szCs w:val="24"/>
        </w:rPr>
        <w:t xml:space="preserve">High </w:t>
      </w:r>
      <w:r w:rsidRPr="007B0913">
        <w:rPr>
          <w:rFonts w:ascii="Times New Roman" w:hAnsi="Times New Roman" w:cs="Times New Roman"/>
          <w:sz w:val="24"/>
          <w:szCs w:val="24"/>
        </w:rPr>
        <w:t>Court</w:t>
      </w:r>
      <w:r w:rsidRPr="007B0913">
        <w:rPr>
          <w:rStyle w:val="FootnoteReference"/>
          <w:rFonts w:ascii="Times New Roman" w:hAnsi="Times New Roman" w:cs="Times New Roman"/>
          <w:sz w:val="24"/>
          <w:szCs w:val="24"/>
        </w:rPr>
        <w:footnoteReference w:id="39"/>
      </w:r>
      <w:r w:rsidRPr="007B0913">
        <w:rPr>
          <w:rFonts w:ascii="Times New Roman" w:hAnsi="Times New Roman" w:cs="Times New Roman"/>
          <w:sz w:val="24"/>
          <w:szCs w:val="24"/>
        </w:rPr>
        <w:t xml:space="preserve"> </w:t>
      </w:r>
      <w:r w:rsidR="0057315F" w:rsidRPr="007B0913">
        <w:rPr>
          <w:rFonts w:ascii="Times New Roman" w:hAnsi="Times New Roman" w:cs="Times New Roman"/>
          <w:sz w:val="24"/>
          <w:szCs w:val="24"/>
        </w:rPr>
        <w:t xml:space="preserve">held that, as a matter of ordinary construction, </w:t>
      </w:r>
      <w:r w:rsidR="00704F9C" w:rsidRPr="007B0913">
        <w:rPr>
          <w:rFonts w:ascii="Times New Roman" w:hAnsi="Times New Roman" w:cs="Times New Roman"/>
          <w:sz w:val="24"/>
          <w:szCs w:val="24"/>
        </w:rPr>
        <w:t xml:space="preserve">the extended definition of ‘possession’ </w:t>
      </w:r>
      <w:r w:rsidR="00F27A36" w:rsidRPr="007B0913">
        <w:rPr>
          <w:rFonts w:ascii="Times New Roman" w:hAnsi="Times New Roman" w:cs="Times New Roman"/>
          <w:sz w:val="24"/>
          <w:szCs w:val="24"/>
        </w:rPr>
        <w:t xml:space="preserve">in </w:t>
      </w:r>
      <w:r w:rsidR="0058690D" w:rsidRPr="007B0913">
        <w:rPr>
          <w:rFonts w:ascii="Times New Roman" w:hAnsi="Times New Roman" w:cs="Times New Roman"/>
          <w:sz w:val="24"/>
          <w:szCs w:val="24"/>
        </w:rPr>
        <w:t>s</w:t>
      </w:r>
      <w:r w:rsidR="00704F9C" w:rsidRPr="007B0913">
        <w:rPr>
          <w:rFonts w:ascii="Times New Roman" w:hAnsi="Times New Roman" w:cs="Times New Roman"/>
          <w:sz w:val="24"/>
          <w:szCs w:val="24"/>
        </w:rPr>
        <w:t xml:space="preserve"> 5 </w:t>
      </w:r>
      <w:r w:rsidR="00197231" w:rsidRPr="007B0913">
        <w:rPr>
          <w:rFonts w:ascii="Times New Roman" w:hAnsi="Times New Roman" w:cs="Times New Roman"/>
          <w:sz w:val="24"/>
          <w:szCs w:val="24"/>
        </w:rPr>
        <w:t xml:space="preserve">applied only to that offence and </w:t>
      </w:r>
      <w:r w:rsidR="0057315F" w:rsidRPr="007B0913">
        <w:rPr>
          <w:rFonts w:ascii="Times New Roman" w:hAnsi="Times New Roman" w:cs="Times New Roman"/>
          <w:sz w:val="24"/>
          <w:szCs w:val="24"/>
        </w:rPr>
        <w:t>had no application</w:t>
      </w:r>
      <w:r w:rsidR="008640B6" w:rsidRPr="007B0913">
        <w:rPr>
          <w:rFonts w:ascii="Times New Roman" w:hAnsi="Times New Roman" w:cs="Times New Roman"/>
          <w:sz w:val="24"/>
          <w:szCs w:val="24"/>
        </w:rPr>
        <w:t xml:space="preserve"> </w:t>
      </w:r>
      <w:r w:rsidR="005530BD" w:rsidRPr="007B0913">
        <w:rPr>
          <w:rFonts w:ascii="Times New Roman" w:hAnsi="Times New Roman" w:cs="Times New Roman"/>
          <w:sz w:val="24"/>
          <w:szCs w:val="24"/>
        </w:rPr>
        <w:t>to the phrase ‘</w:t>
      </w:r>
      <w:r w:rsidR="0058690D" w:rsidRPr="007B0913">
        <w:rPr>
          <w:rFonts w:ascii="Times New Roman" w:hAnsi="Times New Roman" w:cs="Times New Roman"/>
          <w:sz w:val="24"/>
          <w:szCs w:val="24"/>
        </w:rPr>
        <w:t>posse</w:t>
      </w:r>
      <w:r w:rsidR="005530BD" w:rsidRPr="007B0913">
        <w:rPr>
          <w:rFonts w:ascii="Times New Roman" w:hAnsi="Times New Roman" w:cs="Times New Roman"/>
          <w:sz w:val="24"/>
          <w:szCs w:val="24"/>
        </w:rPr>
        <w:t>ssion for sale’</w:t>
      </w:r>
      <w:r w:rsidR="00F27A36" w:rsidRPr="007B0913">
        <w:rPr>
          <w:rFonts w:ascii="Times New Roman" w:hAnsi="Times New Roman" w:cs="Times New Roman"/>
          <w:sz w:val="24"/>
          <w:szCs w:val="24"/>
        </w:rPr>
        <w:t xml:space="preserve"> </w:t>
      </w:r>
      <w:r w:rsidR="006B7078" w:rsidRPr="007B0913">
        <w:rPr>
          <w:rFonts w:ascii="Times New Roman" w:hAnsi="Times New Roman" w:cs="Times New Roman"/>
          <w:sz w:val="24"/>
          <w:szCs w:val="24"/>
        </w:rPr>
        <w:t>within</w:t>
      </w:r>
      <w:r w:rsidR="00F27A36" w:rsidRPr="007B0913">
        <w:rPr>
          <w:rFonts w:ascii="Times New Roman" w:hAnsi="Times New Roman" w:cs="Times New Roman"/>
          <w:sz w:val="24"/>
          <w:szCs w:val="24"/>
        </w:rPr>
        <w:t xml:space="preserve"> the </w:t>
      </w:r>
      <w:r w:rsidR="00D34751" w:rsidRPr="007B0913">
        <w:rPr>
          <w:rFonts w:ascii="Times New Roman" w:hAnsi="Times New Roman" w:cs="Times New Roman"/>
          <w:sz w:val="24"/>
          <w:szCs w:val="24"/>
        </w:rPr>
        <w:t>definition of ‘</w:t>
      </w:r>
      <w:proofErr w:type="spellStart"/>
      <w:r w:rsidR="00D34751" w:rsidRPr="007B0913">
        <w:rPr>
          <w:rFonts w:ascii="Times New Roman" w:hAnsi="Times New Roman" w:cs="Times New Roman"/>
          <w:sz w:val="24"/>
          <w:szCs w:val="24"/>
        </w:rPr>
        <w:t>traffick</w:t>
      </w:r>
      <w:proofErr w:type="spellEnd"/>
      <w:r w:rsidR="00D34751" w:rsidRPr="007B0913">
        <w:rPr>
          <w:rFonts w:ascii="Times New Roman" w:hAnsi="Times New Roman" w:cs="Times New Roman"/>
          <w:sz w:val="24"/>
          <w:szCs w:val="24"/>
        </w:rPr>
        <w:t>’</w:t>
      </w:r>
      <w:r w:rsidR="00AB4004" w:rsidRPr="007B0913">
        <w:rPr>
          <w:rFonts w:ascii="Times New Roman" w:hAnsi="Times New Roman" w:cs="Times New Roman"/>
          <w:sz w:val="24"/>
          <w:szCs w:val="24"/>
        </w:rPr>
        <w:t xml:space="preserve"> in</w:t>
      </w:r>
      <w:r w:rsidR="00F27A36" w:rsidRPr="007B0913">
        <w:rPr>
          <w:rFonts w:ascii="Times New Roman" w:hAnsi="Times New Roman" w:cs="Times New Roman"/>
          <w:sz w:val="24"/>
          <w:szCs w:val="24"/>
        </w:rPr>
        <w:t xml:space="preserve"> </w:t>
      </w:r>
      <w:r w:rsidR="00C13AA8" w:rsidRPr="007B0913">
        <w:rPr>
          <w:rFonts w:ascii="Times New Roman" w:hAnsi="Times New Roman" w:cs="Times New Roman"/>
          <w:sz w:val="24"/>
          <w:szCs w:val="24"/>
        </w:rPr>
        <w:t>s</w:t>
      </w:r>
      <w:r w:rsidR="005E0CED" w:rsidRPr="007B0913">
        <w:rPr>
          <w:rFonts w:ascii="Times New Roman" w:hAnsi="Times New Roman" w:cs="Times New Roman"/>
          <w:sz w:val="24"/>
          <w:szCs w:val="24"/>
        </w:rPr>
        <w:t xml:space="preserve"> 70(1)</w:t>
      </w:r>
      <w:r w:rsidR="006A5F95" w:rsidRPr="007B0913">
        <w:rPr>
          <w:rFonts w:ascii="Times New Roman" w:hAnsi="Times New Roman" w:cs="Times New Roman"/>
          <w:sz w:val="24"/>
          <w:szCs w:val="24"/>
        </w:rPr>
        <w:t>.</w:t>
      </w:r>
      <w:r w:rsidR="008640B6" w:rsidRPr="007B0913">
        <w:rPr>
          <w:rFonts w:ascii="Times New Roman" w:hAnsi="Times New Roman" w:cs="Times New Roman"/>
          <w:sz w:val="24"/>
          <w:szCs w:val="24"/>
        </w:rPr>
        <w:t xml:space="preserve">  T</w:t>
      </w:r>
      <w:r w:rsidR="00D77206" w:rsidRPr="007B0913">
        <w:rPr>
          <w:rFonts w:ascii="Times New Roman" w:hAnsi="Times New Roman" w:cs="Times New Roman"/>
          <w:sz w:val="24"/>
          <w:szCs w:val="24"/>
        </w:rPr>
        <w:t>he trial judge having wrongly directed the jury that the</w:t>
      </w:r>
      <w:r w:rsidR="00197231" w:rsidRPr="007B0913">
        <w:rPr>
          <w:rFonts w:ascii="Times New Roman" w:hAnsi="Times New Roman" w:cs="Times New Roman"/>
          <w:sz w:val="24"/>
          <w:szCs w:val="24"/>
        </w:rPr>
        <w:t xml:space="preserve"> onus rested upon the</w:t>
      </w:r>
      <w:r w:rsidR="00D77206" w:rsidRPr="007B0913">
        <w:rPr>
          <w:rFonts w:ascii="Times New Roman" w:hAnsi="Times New Roman" w:cs="Times New Roman"/>
          <w:sz w:val="24"/>
          <w:szCs w:val="24"/>
        </w:rPr>
        <w:t xml:space="preserve"> accused </w:t>
      </w:r>
      <w:r w:rsidR="00197231" w:rsidRPr="007B0913">
        <w:rPr>
          <w:rFonts w:ascii="Times New Roman" w:hAnsi="Times New Roman" w:cs="Times New Roman"/>
          <w:sz w:val="24"/>
          <w:szCs w:val="24"/>
        </w:rPr>
        <w:t xml:space="preserve">to establish lack of knowledge of the </w:t>
      </w:r>
      <w:r w:rsidR="00D77206" w:rsidRPr="007B0913">
        <w:rPr>
          <w:rFonts w:ascii="Times New Roman" w:hAnsi="Times New Roman" w:cs="Times New Roman"/>
          <w:sz w:val="24"/>
          <w:szCs w:val="24"/>
        </w:rPr>
        <w:t>presence of the drug,</w:t>
      </w:r>
      <w:r w:rsidR="007E297C" w:rsidRPr="007B0913">
        <w:rPr>
          <w:rFonts w:ascii="Times New Roman" w:hAnsi="Times New Roman" w:cs="Times New Roman"/>
          <w:sz w:val="24"/>
          <w:szCs w:val="24"/>
        </w:rPr>
        <w:t xml:space="preserve"> </w:t>
      </w:r>
      <w:r w:rsidR="008640B6" w:rsidRPr="007B0913">
        <w:rPr>
          <w:rFonts w:ascii="Times New Roman" w:hAnsi="Times New Roman" w:cs="Times New Roman"/>
          <w:sz w:val="24"/>
          <w:szCs w:val="24"/>
        </w:rPr>
        <w:t xml:space="preserve">it followed that </w:t>
      </w:r>
      <w:r w:rsidR="005E0CED" w:rsidRPr="007B0913">
        <w:rPr>
          <w:rFonts w:ascii="Times New Roman" w:hAnsi="Times New Roman" w:cs="Times New Roman"/>
          <w:sz w:val="24"/>
          <w:szCs w:val="24"/>
        </w:rPr>
        <w:t xml:space="preserve">the conviction </w:t>
      </w:r>
      <w:r w:rsidR="007E297C" w:rsidRPr="007B0913">
        <w:rPr>
          <w:rFonts w:ascii="Times New Roman" w:hAnsi="Times New Roman" w:cs="Times New Roman"/>
          <w:sz w:val="24"/>
          <w:szCs w:val="24"/>
        </w:rPr>
        <w:t>could not stand.</w:t>
      </w:r>
      <w:r w:rsidR="005E0CED" w:rsidRPr="007B0913">
        <w:rPr>
          <w:rFonts w:ascii="Times New Roman" w:hAnsi="Times New Roman" w:cs="Times New Roman"/>
          <w:sz w:val="24"/>
          <w:szCs w:val="24"/>
        </w:rPr>
        <w:t xml:space="preserve">  </w:t>
      </w:r>
      <w:r w:rsidR="00DC0910" w:rsidRPr="007B0913">
        <w:rPr>
          <w:rFonts w:ascii="Times New Roman" w:hAnsi="Times New Roman" w:cs="Times New Roman"/>
          <w:sz w:val="24"/>
          <w:szCs w:val="24"/>
        </w:rPr>
        <w:t xml:space="preserve">Justice </w:t>
      </w:r>
      <w:r w:rsidR="005E0CED" w:rsidRPr="007B0913">
        <w:rPr>
          <w:rFonts w:ascii="Times New Roman" w:hAnsi="Times New Roman" w:cs="Times New Roman"/>
          <w:sz w:val="24"/>
          <w:szCs w:val="24"/>
        </w:rPr>
        <w:t xml:space="preserve">Bell </w:t>
      </w:r>
      <w:r w:rsidR="003B68D2" w:rsidRPr="007B0913">
        <w:rPr>
          <w:rFonts w:ascii="Times New Roman" w:hAnsi="Times New Roman" w:cs="Times New Roman"/>
          <w:sz w:val="24"/>
          <w:szCs w:val="24"/>
        </w:rPr>
        <w:t xml:space="preserve">agreed, but </w:t>
      </w:r>
      <w:r w:rsidR="00197231" w:rsidRPr="007B0913">
        <w:rPr>
          <w:rFonts w:ascii="Times New Roman" w:hAnsi="Times New Roman" w:cs="Times New Roman"/>
          <w:sz w:val="24"/>
          <w:szCs w:val="24"/>
        </w:rPr>
        <w:t xml:space="preserve">seemingly </w:t>
      </w:r>
      <w:r w:rsidR="003B68D2" w:rsidRPr="007B0913">
        <w:rPr>
          <w:rFonts w:ascii="Times New Roman" w:hAnsi="Times New Roman" w:cs="Times New Roman"/>
          <w:sz w:val="24"/>
          <w:szCs w:val="24"/>
        </w:rPr>
        <w:t>went a ste</w:t>
      </w:r>
      <w:r w:rsidR="00BD77D9" w:rsidRPr="007B0913">
        <w:rPr>
          <w:rFonts w:ascii="Times New Roman" w:hAnsi="Times New Roman" w:cs="Times New Roman"/>
          <w:sz w:val="24"/>
          <w:szCs w:val="24"/>
        </w:rPr>
        <w:t xml:space="preserve">p </w:t>
      </w:r>
      <w:r w:rsidR="003B68D2" w:rsidRPr="007B0913">
        <w:rPr>
          <w:rFonts w:ascii="Times New Roman" w:hAnsi="Times New Roman" w:cs="Times New Roman"/>
          <w:sz w:val="24"/>
          <w:szCs w:val="24"/>
        </w:rPr>
        <w:t xml:space="preserve">further.  Her Honour </w:t>
      </w:r>
      <w:r w:rsidR="005E0CED" w:rsidRPr="007B0913">
        <w:rPr>
          <w:rFonts w:ascii="Times New Roman" w:hAnsi="Times New Roman" w:cs="Times New Roman"/>
          <w:sz w:val="24"/>
          <w:szCs w:val="24"/>
        </w:rPr>
        <w:t>held that</w:t>
      </w:r>
      <w:r w:rsidR="00BD77D9" w:rsidRPr="007B0913">
        <w:rPr>
          <w:rFonts w:ascii="Times New Roman" w:hAnsi="Times New Roman" w:cs="Times New Roman"/>
          <w:sz w:val="24"/>
          <w:szCs w:val="24"/>
        </w:rPr>
        <w:t>, as a matter of ordinary construction,</w:t>
      </w:r>
      <w:r w:rsidR="005E0CED" w:rsidRPr="007B0913">
        <w:rPr>
          <w:rFonts w:ascii="Times New Roman" w:hAnsi="Times New Roman" w:cs="Times New Roman"/>
          <w:sz w:val="24"/>
          <w:szCs w:val="24"/>
        </w:rPr>
        <w:t xml:space="preserve"> knowledge was a necessary component of </w:t>
      </w:r>
      <w:r w:rsidR="003B68D2" w:rsidRPr="007B0913">
        <w:rPr>
          <w:rFonts w:ascii="Times New Roman" w:hAnsi="Times New Roman" w:cs="Times New Roman"/>
          <w:sz w:val="24"/>
          <w:szCs w:val="24"/>
        </w:rPr>
        <w:t xml:space="preserve">any offence of </w:t>
      </w:r>
      <w:r w:rsidR="005E0CED" w:rsidRPr="007B0913">
        <w:rPr>
          <w:rFonts w:ascii="Times New Roman" w:hAnsi="Times New Roman" w:cs="Times New Roman"/>
          <w:sz w:val="24"/>
          <w:szCs w:val="24"/>
        </w:rPr>
        <w:t>trafficking</w:t>
      </w:r>
      <w:r w:rsidR="003B68D2" w:rsidRPr="007B0913">
        <w:rPr>
          <w:rFonts w:ascii="Times New Roman" w:hAnsi="Times New Roman" w:cs="Times New Roman"/>
          <w:sz w:val="24"/>
          <w:szCs w:val="24"/>
        </w:rPr>
        <w:t xml:space="preserve">. </w:t>
      </w:r>
      <w:r w:rsidR="00E017FD" w:rsidRPr="007B0913">
        <w:rPr>
          <w:rFonts w:ascii="Times New Roman" w:hAnsi="Times New Roman" w:cs="Times New Roman"/>
          <w:sz w:val="24"/>
          <w:szCs w:val="24"/>
        </w:rPr>
        <w:t xml:space="preserve">  </w:t>
      </w:r>
    </w:p>
    <w:p w14:paraId="60DABB6B" w14:textId="6A4398A6" w:rsidR="00817BE4" w:rsidRPr="007B0913" w:rsidRDefault="00817BE4"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In the course of the </w:t>
      </w:r>
      <w:r w:rsidR="00F962EE" w:rsidRPr="007B0913">
        <w:rPr>
          <w:rFonts w:ascii="Times New Roman" w:hAnsi="Times New Roman" w:cs="Times New Roman"/>
          <w:sz w:val="24"/>
          <w:szCs w:val="24"/>
        </w:rPr>
        <w:t xml:space="preserve">six </w:t>
      </w:r>
      <w:r w:rsidR="00D71FDA" w:rsidRPr="007B0913">
        <w:rPr>
          <w:rFonts w:ascii="Times New Roman" w:hAnsi="Times New Roman" w:cs="Times New Roman"/>
          <w:sz w:val="24"/>
          <w:szCs w:val="24"/>
        </w:rPr>
        <w:t>separate</w:t>
      </w:r>
      <w:r w:rsidRPr="007B0913">
        <w:rPr>
          <w:rFonts w:ascii="Times New Roman" w:hAnsi="Times New Roman" w:cs="Times New Roman"/>
          <w:sz w:val="24"/>
          <w:szCs w:val="24"/>
        </w:rPr>
        <w:t xml:space="preserve"> judgments delivered by the High Court</w:t>
      </w:r>
      <w:r w:rsidR="00D71FDA" w:rsidRPr="007B0913">
        <w:rPr>
          <w:rFonts w:ascii="Times New Roman" w:hAnsi="Times New Roman" w:cs="Times New Roman"/>
          <w:sz w:val="24"/>
          <w:szCs w:val="24"/>
        </w:rPr>
        <w:t xml:space="preserve"> in </w:t>
      </w:r>
      <w:proofErr w:type="spellStart"/>
      <w:r w:rsidR="00D71FDA" w:rsidRPr="007B0913">
        <w:rPr>
          <w:rFonts w:ascii="Times New Roman" w:hAnsi="Times New Roman" w:cs="Times New Roman"/>
          <w:i/>
          <w:sz w:val="24"/>
          <w:szCs w:val="24"/>
        </w:rPr>
        <w:t>Momcilovic</w:t>
      </w:r>
      <w:proofErr w:type="spellEnd"/>
      <w:r w:rsidRPr="007B0913">
        <w:rPr>
          <w:rFonts w:ascii="Times New Roman" w:hAnsi="Times New Roman" w:cs="Times New Roman"/>
          <w:sz w:val="24"/>
          <w:szCs w:val="24"/>
        </w:rPr>
        <w:t xml:space="preserve">, one issue </w:t>
      </w:r>
      <w:r w:rsidR="00D71FDA" w:rsidRPr="007B0913">
        <w:rPr>
          <w:rFonts w:ascii="Times New Roman" w:hAnsi="Times New Roman" w:cs="Times New Roman"/>
          <w:sz w:val="24"/>
          <w:szCs w:val="24"/>
        </w:rPr>
        <w:t xml:space="preserve">addressed </w:t>
      </w:r>
      <w:r w:rsidR="001B6B16" w:rsidRPr="007B0913">
        <w:rPr>
          <w:rFonts w:ascii="Times New Roman" w:hAnsi="Times New Roman" w:cs="Times New Roman"/>
          <w:sz w:val="24"/>
          <w:szCs w:val="24"/>
        </w:rPr>
        <w:t xml:space="preserve">by all members of the Court </w:t>
      </w:r>
      <w:r w:rsidR="00C374D9" w:rsidRPr="007B0913">
        <w:rPr>
          <w:rFonts w:ascii="Times New Roman" w:hAnsi="Times New Roman" w:cs="Times New Roman"/>
          <w:sz w:val="24"/>
          <w:szCs w:val="24"/>
        </w:rPr>
        <w:t>related to</w:t>
      </w:r>
      <w:r w:rsidR="00197231" w:rsidRPr="007B0913">
        <w:rPr>
          <w:rFonts w:ascii="Times New Roman" w:hAnsi="Times New Roman" w:cs="Times New Roman"/>
          <w:sz w:val="24"/>
          <w:szCs w:val="24"/>
        </w:rPr>
        <w:t xml:space="preserve"> the interpretation of</w:t>
      </w:r>
      <w:r w:rsidR="00C374D9" w:rsidRPr="007B0913">
        <w:rPr>
          <w:rFonts w:ascii="Times New Roman" w:hAnsi="Times New Roman" w:cs="Times New Roman"/>
          <w:sz w:val="24"/>
          <w:szCs w:val="24"/>
        </w:rPr>
        <w:t xml:space="preserve"> </w:t>
      </w:r>
      <w:r w:rsidR="00D71FDA" w:rsidRPr="007B0913">
        <w:rPr>
          <w:rFonts w:ascii="Times New Roman" w:hAnsi="Times New Roman" w:cs="Times New Roman"/>
          <w:sz w:val="24"/>
          <w:szCs w:val="24"/>
        </w:rPr>
        <w:t>s 32(1) of the Charter</w:t>
      </w:r>
      <w:r w:rsidR="00C374D9" w:rsidRPr="007B0913">
        <w:rPr>
          <w:rFonts w:ascii="Times New Roman" w:hAnsi="Times New Roman" w:cs="Times New Roman"/>
          <w:sz w:val="24"/>
          <w:szCs w:val="24"/>
        </w:rPr>
        <w:t xml:space="preserve">.  The issue to be resolved was whether that </w:t>
      </w:r>
      <w:r w:rsidR="00197231" w:rsidRPr="007B0913">
        <w:rPr>
          <w:rFonts w:ascii="Times New Roman" w:hAnsi="Times New Roman" w:cs="Times New Roman"/>
          <w:sz w:val="24"/>
          <w:szCs w:val="24"/>
        </w:rPr>
        <w:t xml:space="preserve">section, </w:t>
      </w:r>
      <w:r w:rsidR="00CF10AC" w:rsidRPr="007B0913">
        <w:rPr>
          <w:rFonts w:ascii="Times New Roman" w:hAnsi="Times New Roman" w:cs="Times New Roman"/>
          <w:sz w:val="24"/>
          <w:szCs w:val="24"/>
        </w:rPr>
        <w:t xml:space="preserve">on its proper interpretation, and </w:t>
      </w:r>
      <w:r w:rsidR="00197231" w:rsidRPr="007B0913">
        <w:rPr>
          <w:rFonts w:ascii="Times New Roman" w:hAnsi="Times New Roman" w:cs="Times New Roman"/>
          <w:sz w:val="24"/>
          <w:szCs w:val="24"/>
        </w:rPr>
        <w:t xml:space="preserve">as </w:t>
      </w:r>
      <w:r w:rsidR="00AD67C6" w:rsidRPr="007B0913">
        <w:rPr>
          <w:rFonts w:ascii="Times New Roman" w:hAnsi="Times New Roman" w:cs="Times New Roman"/>
          <w:sz w:val="24"/>
          <w:szCs w:val="24"/>
        </w:rPr>
        <w:t xml:space="preserve">it </w:t>
      </w:r>
      <w:r w:rsidR="00197231" w:rsidRPr="007B0913">
        <w:rPr>
          <w:rFonts w:ascii="Times New Roman" w:hAnsi="Times New Roman" w:cs="Times New Roman"/>
          <w:sz w:val="24"/>
          <w:szCs w:val="24"/>
        </w:rPr>
        <w:t xml:space="preserve">applied to s 5 of the </w:t>
      </w:r>
      <w:r w:rsidR="00611B0A" w:rsidRPr="007B0913">
        <w:rPr>
          <w:rFonts w:ascii="Times New Roman" w:hAnsi="Times New Roman" w:cs="Times New Roman"/>
          <w:sz w:val="24"/>
          <w:szCs w:val="24"/>
        </w:rPr>
        <w:t>DPCS Act</w:t>
      </w:r>
      <w:r w:rsidR="00CF10AC" w:rsidRPr="007B0913">
        <w:rPr>
          <w:rFonts w:ascii="Times New Roman" w:hAnsi="Times New Roman" w:cs="Times New Roman"/>
          <w:sz w:val="24"/>
          <w:szCs w:val="24"/>
        </w:rPr>
        <w:t xml:space="preserve">, </w:t>
      </w:r>
      <w:r w:rsidR="00C55B4F" w:rsidRPr="007B0913">
        <w:rPr>
          <w:rFonts w:ascii="Times New Roman" w:hAnsi="Times New Roman" w:cs="Times New Roman"/>
          <w:sz w:val="24"/>
          <w:szCs w:val="24"/>
        </w:rPr>
        <w:t>had the effect of converting what</w:t>
      </w:r>
      <w:r w:rsidR="00CF10AC" w:rsidRPr="007B0913">
        <w:rPr>
          <w:rFonts w:ascii="Times New Roman" w:hAnsi="Times New Roman" w:cs="Times New Roman"/>
          <w:sz w:val="24"/>
          <w:szCs w:val="24"/>
        </w:rPr>
        <w:t xml:space="preserve"> was on its face a complete </w:t>
      </w:r>
      <w:r w:rsidR="00CF10AC" w:rsidRPr="007B0913">
        <w:rPr>
          <w:rFonts w:ascii="Times New Roman" w:hAnsi="Times New Roman" w:cs="Times New Roman"/>
          <w:sz w:val="24"/>
          <w:szCs w:val="24"/>
        </w:rPr>
        <w:lastRenderedPageBreak/>
        <w:t xml:space="preserve">reversal of the legal onus of proof into nothing more than a placing of the evidential burden regarding the issue of knowledge onto the accused.  </w:t>
      </w:r>
      <w:r w:rsidR="00DF26DF" w:rsidRPr="007B0913">
        <w:rPr>
          <w:rFonts w:ascii="Times New Roman" w:hAnsi="Times New Roman" w:cs="Times New Roman"/>
          <w:sz w:val="24"/>
          <w:szCs w:val="24"/>
        </w:rPr>
        <w:t>In other words</w:t>
      </w:r>
      <w:r w:rsidR="00311EC5" w:rsidRPr="007B0913">
        <w:rPr>
          <w:rFonts w:ascii="Times New Roman" w:hAnsi="Times New Roman" w:cs="Times New Roman"/>
          <w:sz w:val="24"/>
          <w:szCs w:val="24"/>
        </w:rPr>
        <w:t>,</w:t>
      </w:r>
      <w:r w:rsidR="00DF26DF" w:rsidRPr="007B0913">
        <w:rPr>
          <w:rFonts w:ascii="Times New Roman" w:hAnsi="Times New Roman" w:cs="Times New Roman"/>
          <w:sz w:val="24"/>
          <w:szCs w:val="24"/>
        </w:rPr>
        <w:t xml:space="preserve"> </w:t>
      </w:r>
      <w:r w:rsidR="00C55B4F" w:rsidRPr="007B0913">
        <w:rPr>
          <w:rFonts w:ascii="Times New Roman" w:hAnsi="Times New Roman" w:cs="Times New Roman"/>
          <w:sz w:val="24"/>
          <w:szCs w:val="24"/>
        </w:rPr>
        <w:t>if</w:t>
      </w:r>
      <w:r w:rsidR="00DF26DF" w:rsidRPr="007B0913">
        <w:rPr>
          <w:rFonts w:ascii="Times New Roman" w:hAnsi="Times New Roman" w:cs="Times New Roman"/>
          <w:sz w:val="24"/>
          <w:szCs w:val="24"/>
        </w:rPr>
        <w:t xml:space="preserve">, contrary to the primary conclusion </w:t>
      </w:r>
      <w:r w:rsidR="00CF10AC" w:rsidRPr="007B0913">
        <w:rPr>
          <w:rFonts w:ascii="Times New Roman" w:hAnsi="Times New Roman" w:cs="Times New Roman"/>
          <w:sz w:val="24"/>
          <w:szCs w:val="24"/>
        </w:rPr>
        <w:t>of</w:t>
      </w:r>
      <w:r w:rsidR="00225871" w:rsidRPr="007B0913">
        <w:rPr>
          <w:rFonts w:ascii="Times New Roman" w:hAnsi="Times New Roman" w:cs="Times New Roman"/>
          <w:sz w:val="24"/>
          <w:szCs w:val="24"/>
        </w:rPr>
        <w:t xml:space="preserve"> </w:t>
      </w:r>
      <w:r w:rsidR="005101ED" w:rsidRPr="007B0913">
        <w:rPr>
          <w:rFonts w:ascii="Times New Roman" w:hAnsi="Times New Roman" w:cs="Times New Roman"/>
          <w:sz w:val="24"/>
          <w:szCs w:val="24"/>
        </w:rPr>
        <w:t>the Court</w:t>
      </w:r>
      <w:r w:rsidR="00DF26DF" w:rsidRPr="007B0913">
        <w:rPr>
          <w:rFonts w:ascii="Times New Roman" w:hAnsi="Times New Roman" w:cs="Times New Roman"/>
          <w:sz w:val="24"/>
          <w:szCs w:val="24"/>
        </w:rPr>
        <w:t>,</w:t>
      </w:r>
      <w:r w:rsidR="00C55B4F" w:rsidRPr="007B0913">
        <w:rPr>
          <w:rFonts w:ascii="Times New Roman" w:hAnsi="Times New Roman" w:cs="Times New Roman"/>
          <w:sz w:val="24"/>
          <w:szCs w:val="24"/>
        </w:rPr>
        <w:t xml:space="preserve"> </w:t>
      </w:r>
      <w:r w:rsidR="00DF26DF" w:rsidRPr="007B0913">
        <w:rPr>
          <w:rFonts w:ascii="Times New Roman" w:hAnsi="Times New Roman" w:cs="Times New Roman"/>
          <w:sz w:val="24"/>
          <w:szCs w:val="24"/>
        </w:rPr>
        <w:t xml:space="preserve">s 5 was </w:t>
      </w:r>
      <w:r w:rsidR="00CF10AC" w:rsidRPr="007B0913">
        <w:rPr>
          <w:rFonts w:ascii="Times New Roman" w:hAnsi="Times New Roman" w:cs="Times New Roman"/>
          <w:sz w:val="24"/>
          <w:szCs w:val="24"/>
        </w:rPr>
        <w:t xml:space="preserve">in fact </w:t>
      </w:r>
      <w:r w:rsidR="00DF26DF" w:rsidRPr="007B0913">
        <w:rPr>
          <w:rFonts w:ascii="Times New Roman" w:hAnsi="Times New Roman" w:cs="Times New Roman"/>
          <w:sz w:val="24"/>
          <w:szCs w:val="24"/>
        </w:rPr>
        <w:t>applicable to the of</w:t>
      </w:r>
      <w:r w:rsidR="00CF10AC" w:rsidRPr="007B0913">
        <w:rPr>
          <w:rFonts w:ascii="Times New Roman" w:hAnsi="Times New Roman" w:cs="Times New Roman"/>
          <w:sz w:val="24"/>
          <w:szCs w:val="24"/>
        </w:rPr>
        <w:t>fence of trafficking, should that</w:t>
      </w:r>
      <w:r w:rsidR="00DF26DF" w:rsidRPr="007B0913">
        <w:rPr>
          <w:rFonts w:ascii="Times New Roman" w:hAnsi="Times New Roman" w:cs="Times New Roman"/>
          <w:sz w:val="24"/>
          <w:szCs w:val="24"/>
        </w:rPr>
        <w:t xml:space="preserve"> section be </w:t>
      </w:r>
      <w:r w:rsidR="00D71FDA" w:rsidRPr="007B0913">
        <w:rPr>
          <w:rFonts w:ascii="Times New Roman" w:hAnsi="Times New Roman" w:cs="Times New Roman"/>
          <w:sz w:val="24"/>
          <w:szCs w:val="24"/>
        </w:rPr>
        <w:t>‘</w:t>
      </w:r>
      <w:r w:rsidR="00DF26DF" w:rsidRPr="007B0913">
        <w:rPr>
          <w:rFonts w:ascii="Times New Roman" w:hAnsi="Times New Roman" w:cs="Times New Roman"/>
          <w:sz w:val="24"/>
          <w:szCs w:val="24"/>
        </w:rPr>
        <w:t>read down</w:t>
      </w:r>
      <w:r w:rsidR="00D71FDA" w:rsidRPr="007B0913">
        <w:rPr>
          <w:rFonts w:ascii="Times New Roman" w:hAnsi="Times New Roman" w:cs="Times New Roman"/>
          <w:sz w:val="24"/>
          <w:szCs w:val="24"/>
        </w:rPr>
        <w:t xml:space="preserve">’ (or </w:t>
      </w:r>
      <w:r w:rsidR="00DE3E45" w:rsidRPr="007B0913">
        <w:rPr>
          <w:rFonts w:ascii="Times New Roman" w:hAnsi="Times New Roman" w:cs="Times New Roman"/>
          <w:sz w:val="24"/>
          <w:szCs w:val="24"/>
        </w:rPr>
        <w:t xml:space="preserve">as some would have it, be </w:t>
      </w:r>
      <w:r w:rsidR="00D71FDA" w:rsidRPr="007B0913">
        <w:rPr>
          <w:rFonts w:ascii="Times New Roman" w:hAnsi="Times New Roman" w:cs="Times New Roman"/>
          <w:sz w:val="24"/>
          <w:szCs w:val="24"/>
        </w:rPr>
        <w:t>re-written)</w:t>
      </w:r>
      <w:r w:rsidR="00DF26DF" w:rsidRPr="007B0913">
        <w:rPr>
          <w:rFonts w:ascii="Times New Roman" w:hAnsi="Times New Roman" w:cs="Times New Roman"/>
          <w:sz w:val="24"/>
          <w:szCs w:val="24"/>
        </w:rPr>
        <w:t xml:space="preserve"> pursuant to s 32</w:t>
      </w:r>
      <w:r w:rsidR="00CF10AC" w:rsidRPr="007B0913">
        <w:rPr>
          <w:rFonts w:ascii="Times New Roman" w:hAnsi="Times New Roman" w:cs="Times New Roman"/>
          <w:sz w:val="24"/>
          <w:szCs w:val="24"/>
        </w:rPr>
        <w:t>, as the a</w:t>
      </w:r>
      <w:r w:rsidR="00D71FDA" w:rsidRPr="007B0913">
        <w:rPr>
          <w:rFonts w:ascii="Times New Roman" w:hAnsi="Times New Roman" w:cs="Times New Roman"/>
          <w:sz w:val="24"/>
          <w:szCs w:val="24"/>
        </w:rPr>
        <w:t>ppellant contended?</w:t>
      </w:r>
    </w:p>
    <w:p w14:paraId="4254EB56" w14:textId="027B2687" w:rsidR="00DF26DF" w:rsidRPr="007B0913" w:rsidRDefault="00D71FDA"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All</w:t>
      </w:r>
      <w:r w:rsidR="00306096" w:rsidRPr="007B0913">
        <w:rPr>
          <w:rFonts w:ascii="Times New Roman" w:hAnsi="Times New Roman" w:cs="Times New Roman"/>
          <w:sz w:val="24"/>
          <w:szCs w:val="24"/>
        </w:rPr>
        <w:t xml:space="preserve"> members of the Court </w:t>
      </w:r>
      <w:r w:rsidR="00607816" w:rsidRPr="007B0913">
        <w:rPr>
          <w:rFonts w:ascii="Times New Roman" w:hAnsi="Times New Roman" w:cs="Times New Roman"/>
          <w:sz w:val="24"/>
          <w:szCs w:val="24"/>
        </w:rPr>
        <w:t>(</w:t>
      </w:r>
      <w:r w:rsidR="00516FF0" w:rsidRPr="007B0913">
        <w:rPr>
          <w:rFonts w:ascii="Times New Roman" w:hAnsi="Times New Roman" w:cs="Times New Roman"/>
          <w:sz w:val="24"/>
          <w:szCs w:val="24"/>
        </w:rPr>
        <w:t xml:space="preserve">with the </w:t>
      </w:r>
      <w:r w:rsidR="00DD5096" w:rsidRPr="007B0913">
        <w:rPr>
          <w:rFonts w:ascii="Times New Roman" w:hAnsi="Times New Roman" w:cs="Times New Roman"/>
          <w:sz w:val="24"/>
          <w:szCs w:val="24"/>
        </w:rPr>
        <w:t xml:space="preserve">solitary </w:t>
      </w:r>
      <w:r w:rsidR="00516FF0" w:rsidRPr="007B0913">
        <w:rPr>
          <w:rFonts w:ascii="Times New Roman" w:hAnsi="Times New Roman" w:cs="Times New Roman"/>
          <w:sz w:val="24"/>
          <w:szCs w:val="24"/>
        </w:rPr>
        <w:t xml:space="preserve">exception of </w:t>
      </w:r>
      <w:proofErr w:type="spellStart"/>
      <w:r w:rsidR="00306096" w:rsidRPr="007B0913">
        <w:rPr>
          <w:rFonts w:ascii="Times New Roman" w:hAnsi="Times New Roman" w:cs="Times New Roman"/>
          <w:sz w:val="24"/>
          <w:szCs w:val="24"/>
        </w:rPr>
        <w:t>Heydon</w:t>
      </w:r>
      <w:proofErr w:type="spellEnd"/>
      <w:r w:rsidR="00306096" w:rsidRPr="007B0913">
        <w:rPr>
          <w:rFonts w:ascii="Times New Roman" w:hAnsi="Times New Roman" w:cs="Times New Roman"/>
          <w:sz w:val="24"/>
          <w:szCs w:val="24"/>
        </w:rPr>
        <w:t xml:space="preserve"> J</w:t>
      </w:r>
      <w:r w:rsidR="00607816" w:rsidRPr="007B0913">
        <w:rPr>
          <w:rFonts w:ascii="Times New Roman" w:hAnsi="Times New Roman" w:cs="Times New Roman"/>
          <w:sz w:val="24"/>
          <w:szCs w:val="24"/>
        </w:rPr>
        <w:t>) rejected a submission to the effect that</w:t>
      </w:r>
      <w:r w:rsidR="00306096" w:rsidRPr="007B0913">
        <w:rPr>
          <w:rFonts w:ascii="Times New Roman" w:hAnsi="Times New Roman" w:cs="Times New Roman"/>
          <w:sz w:val="24"/>
          <w:szCs w:val="24"/>
        </w:rPr>
        <w:t xml:space="preserve"> </w:t>
      </w:r>
      <w:r w:rsidR="0072136C" w:rsidRPr="007B0913">
        <w:rPr>
          <w:rFonts w:ascii="Times New Roman" w:hAnsi="Times New Roman" w:cs="Times New Roman"/>
          <w:sz w:val="24"/>
          <w:szCs w:val="24"/>
        </w:rPr>
        <w:t>s</w:t>
      </w:r>
      <w:r w:rsidRPr="007B0913">
        <w:rPr>
          <w:rFonts w:ascii="Times New Roman" w:hAnsi="Times New Roman" w:cs="Times New Roman"/>
          <w:sz w:val="24"/>
          <w:szCs w:val="24"/>
        </w:rPr>
        <w:t xml:space="preserve"> </w:t>
      </w:r>
      <w:r w:rsidR="0072136C" w:rsidRPr="007B0913">
        <w:rPr>
          <w:rFonts w:ascii="Times New Roman" w:hAnsi="Times New Roman" w:cs="Times New Roman"/>
          <w:sz w:val="24"/>
          <w:szCs w:val="24"/>
        </w:rPr>
        <w:t>32(1) was</w:t>
      </w:r>
      <w:r w:rsidR="00DD5096" w:rsidRPr="007B0913">
        <w:rPr>
          <w:rFonts w:ascii="Times New Roman" w:hAnsi="Times New Roman" w:cs="Times New Roman"/>
          <w:sz w:val="24"/>
          <w:szCs w:val="24"/>
        </w:rPr>
        <w:t xml:space="preserve"> itself unconstitutional.</w:t>
      </w:r>
      <w:r w:rsidRPr="007B0913">
        <w:rPr>
          <w:rFonts w:ascii="Times New Roman" w:hAnsi="Times New Roman" w:cs="Times New Roman"/>
          <w:sz w:val="24"/>
          <w:szCs w:val="24"/>
        </w:rPr>
        <w:t xml:space="preserve">  </w:t>
      </w:r>
      <w:r w:rsidR="00FA3430" w:rsidRPr="007B0913">
        <w:rPr>
          <w:rFonts w:ascii="Times New Roman" w:hAnsi="Times New Roman" w:cs="Times New Roman"/>
          <w:sz w:val="24"/>
          <w:szCs w:val="24"/>
        </w:rPr>
        <w:t>It seems highly likely</w:t>
      </w:r>
      <w:r w:rsidR="00DD5096" w:rsidRPr="007B0913">
        <w:rPr>
          <w:rFonts w:ascii="Times New Roman" w:hAnsi="Times New Roman" w:cs="Times New Roman"/>
          <w:sz w:val="24"/>
          <w:szCs w:val="24"/>
        </w:rPr>
        <w:t xml:space="preserve">, if not certain, that </w:t>
      </w:r>
      <w:r w:rsidR="001A5996" w:rsidRPr="007B0913">
        <w:rPr>
          <w:rFonts w:ascii="Times New Roman" w:hAnsi="Times New Roman" w:cs="Times New Roman"/>
          <w:sz w:val="24"/>
          <w:szCs w:val="24"/>
        </w:rPr>
        <w:t xml:space="preserve">had it been thought that </w:t>
      </w:r>
      <w:r w:rsidR="00DD5096" w:rsidRPr="007B0913">
        <w:rPr>
          <w:rFonts w:ascii="Times New Roman" w:hAnsi="Times New Roman" w:cs="Times New Roman"/>
          <w:sz w:val="24"/>
          <w:szCs w:val="24"/>
        </w:rPr>
        <w:t xml:space="preserve">the section should be interpreted as </w:t>
      </w:r>
      <w:proofErr w:type="spellStart"/>
      <w:r w:rsidR="008A51C4" w:rsidRPr="007B0913">
        <w:rPr>
          <w:rFonts w:ascii="Times New Roman" w:hAnsi="Times New Roman" w:cs="Times New Roman"/>
          <w:i/>
          <w:sz w:val="24"/>
          <w:szCs w:val="24"/>
        </w:rPr>
        <w:t>Ghaidan</w:t>
      </w:r>
      <w:proofErr w:type="spellEnd"/>
      <w:r w:rsidR="008A51C4" w:rsidRPr="007B0913">
        <w:rPr>
          <w:rFonts w:ascii="Times New Roman" w:hAnsi="Times New Roman" w:cs="Times New Roman"/>
          <w:i/>
          <w:sz w:val="24"/>
          <w:szCs w:val="24"/>
        </w:rPr>
        <w:t xml:space="preserve"> </w:t>
      </w:r>
      <w:r w:rsidR="00DD5096" w:rsidRPr="007B0913">
        <w:rPr>
          <w:rFonts w:ascii="Times New Roman" w:hAnsi="Times New Roman" w:cs="Times New Roman"/>
          <w:sz w:val="24"/>
          <w:szCs w:val="24"/>
        </w:rPr>
        <w:t>had held in relation to the United Kingdom provision,</w:t>
      </w:r>
      <w:r w:rsidR="008A51C4" w:rsidRPr="007B0913">
        <w:rPr>
          <w:rFonts w:ascii="Times New Roman" w:hAnsi="Times New Roman" w:cs="Times New Roman"/>
          <w:sz w:val="24"/>
          <w:szCs w:val="24"/>
        </w:rPr>
        <w:t xml:space="preserve"> it would have been struck down.</w:t>
      </w:r>
      <w:r w:rsidR="00860CDC" w:rsidRPr="007B0913">
        <w:rPr>
          <w:rFonts w:ascii="Times New Roman" w:hAnsi="Times New Roman" w:cs="Times New Roman"/>
          <w:sz w:val="24"/>
          <w:szCs w:val="24"/>
        </w:rPr>
        <w:t xml:space="preserve">  </w:t>
      </w:r>
    </w:p>
    <w:p w14:paraId="75F5AAA0" w14:textId="713992CE" w:rsidR="00BC57FB" w:rsidRPr="007B0913" w:rsidRDefault="00DD5096"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It must be said that the</w:t>
      </w:r>
      <w:r w:rsidR="00AE6522" w:rsidRPr="007B0913">
        <w:rPr>
          <w:rFonts w:ascii="Times New Roman" w:hAnsi="Times New Roman" w:cs="Times New Roman"/>
          <w:sz w:val="24"/>
          <w:szCs w:val="24"/>
        </w:rPr>
        <w:t xml:space="preserve"> reasoning of the </w:t>
      </w:r>
      <w:r w:rsidR="005004C4" w:rsidRPr="007B0913">
        <w:rPr>
          <w:rFonts w:ascii="Times New Roman" w:hAnsi="Times New Roman" w:cs="Times New Roman"/>
          <w:sz w:val="24"/>
          <w:szCs w:val="24"/>
        </w:rPr>
        <w:t xml:space="preserve">High Court regarding </w:t>
      </w:r>
      <w:r w:rsidR="00AE6522" w:rsidRPr="007B0913">
        <w:rPr>
          <w:rFonts w:ascii="Times New Roman" w:hAnsi="Times New Roman" w:cs="Times New Roman"/>
          <w:sz w:val="24"/>
          <w:szCs w:val="24"/>
        </w:rPr>
        <w:t xml:space="preserve">this </w:t>
      </w:r>
      <w:r w:rsidR="009221FE" w:rsidRPr="007B0913">
        <w:rPr>
          <w:rFonts w:ascii="Times New Roman" w:hAnsi="Times New Roman" w:cs="Times New Roman"/>
          <w:sz w:val="24"/>
          <w:szCs w:val="24"/>
        </w:rPr>
        <w:t xml:space="preserve">and several other </w:t>
      </w:r>
      <w:r w:rsidR="00AE6522" w:rsidRPr="007B0913">
        <w:rPr>
          <w:rFonts w:ascii="Times New Roman" w:hAnsi="Times New Roman" w:cs="Times New Roman"/>
          <w:sz w:val="24"/>
          <w:szCs w:val="24"/>
        </w:rPr>
        <w:t>issue</w:t>
      </w:r>
      <w:r w:rsidR="009221FE" w:rsidRPr="007B0913">
        <w:rPr>
          <w:rFonts w:ascii="Times New Roman" w:hAnsi="Times New Roman" w:cs="Times New Roman"/>
          <w:sz w:val="24"/>
          <w:szCs w:val="24"/>
        </w:rPr>
        <w:t>s</w:t>
      </w:r>
      <w:r w:rsidR="00AE6522" w:rsidRPr="007B0913">
        <w:rPr>
          <w:rFonts w:ascii="Times New Roman" w:hAnsi="Times New Roman" w:cs="Times New Roman"/>
          <w:sz w:val="24"/>
          <w:szCs w:val="24"/>
        </w:rPr>
        <w:t xml:space="preserve"> </w:t>
      </w:r>
      <w:r w:rsidRPr="007B0913">
        <w:rPr>
          <w:rFonts w:ascii="Times New Roman" w:hAnsi="Times New Roman" w:cs="Times New Roman"/>
          <w:sz w:val="24"/>
          <w:szCs w:val="24"/>
        </w:rPr>
        <w:t>was extremely co</w:t>
      </w:r>
      <w:r w:rsidR="00B704FD" w:rsidRPr="007B0913">
        <w:rPr>
          <w:rFonts w:ascii="Times New Roman" w:hAnsi="Times New Roman" w:cs="Times New Roman"/>
          <w:sz w:val="24"/>
          <w:szCs w:val="24"/>
        </w:rPr>
        <w:t xml:space="preserve">mplex </w:t>
      </w:r>
      <w:r w:rsidRPr="007B0913">
        <w:rPr>
          <w:rFonts w:ascii="Times New Roman" w:hAnsi="Times New Roman" w:cs="Times New Roman"/>
          <w:sz w:val="24"/>
          <w:szCs w:val="24"/>
        </w:rPr>
        <w:t>and</w:t>
      </w:r>
      <w:r w:rsidR="00B704FD" w:rsidRPr="007B0913">
        <w:rPr>
          <w:rFonts w:ascii="Times New Roman" w:hAnsi="Times New Roman" w:cs="Times New Roman"/>
          <w:sz w:val="24"/>
          <w:szCs w:val="24"/>
        </w:rPr>
        <w:t>, with respect,</w:t>
      </w:r>
      <w:r w:rsidRPr="007B0913">
        <w:rPr>
          <w:rFonts w:ascii="Times New Roman" w:hAnsi="Times New Roman" w:cs="Times New Roman"/>
          <w:sz w:val="24"/>
          <w:szCs w:val="24"/>
        </w:rPr>
        <w:t xml:space="preserve"> difficult to follow.  Indeed,</w:t>
      </w:r>
      <w:r w:rsidR="00AE6522" w:rsidRPr="007B0913">
        <w:rPr>
          <w:rFonts w:ascii="Times New Roman" w:hAnsi="Times New Roman" w:cs="Times New Roman"/>
          <w:sz w:val="24"/>
          <w:szCs w:val="24"/>
        </w:rPr>
        <w:t xml:space="preserve"> </w:t>
      </w:r>
      <w:r w:rsidR="007C370B" w:rsidRPr="007B0913">
        <w:rPr>
          <w:rFonts w:ascii="Times New Roman" w:hAnsi="Times New Roman" w:cs="Times New Roman"/>
          <w:sz w:val="24"/>
          <w:szCs w:val="24"/>
        </w:rPr>
        <w:t>it is</w:t>
      </w:r>
      <w:r w:rsidRPr="007B0913">
        <w:rPr>
          <w:rFonts w:ascii="Times New Roman" w:hAnsi="Times New Roman" w:cs="Times New Roman"/>
          <w:sz w:val="24"/>
          <w:szCs w:val="24"/>
        </w:rPr>
        <w:t xml:space="preserve"> </w:t>
      </w:r>
      <w:r w:rsidR="00B704FD" w:rsidRPr="007B0913">
        <w:rPr>
          <w:rFonts w:ascii="Times New Roman" w:hAnsi="Times New Roman" w:cs="Times New Roman"/>
          <w:sz w:val="24"/>
          <w:szCs w:val="24"/>
        </w:rPr>
        <w:t>hard</w:t>
      </w:r>
      <w:r w:rsidR="007C370B" w:rsidRPr="007B0913">
        <w:rPr>
          <w:rFonts w:ascii="Times New Roman" w:hAnsi="Times New Roman" w:cs="Times New Roman"/>
          <w:sz w:val="24"/>
          <w:szCs w:val="24"/>
        </w:rPr>
        <w:t xml:space="preserve"> to dis</w:t>
      </w:r>
      <w:r w:rsidRPr="007B0913">
        <w:rPr>
          <w:rFonts w:ascii="Times New Roman" w:hAnsi="Times New Roman" w:cs="Times New Roman"/>
          <w:sz w:val="24"/>
          <w:szCs w:val="24"/>
        </w:rPr>
        <w:t>til</w:t>
      </w:r>
      <w:r w:rsidR="007C370B" w:rsidRPr="007B0913">
        <w:rPr>
          <w:rFonts w:ascii="Times New Roman" w:hAnsi="Times New Roman" w:cs="Times New Roman"/>
          <w:sz w:val="24"/>
          <w:szCs w:val="24"/>
        </w:rPr>
        <w:t xml:space="preserve"> a </w:t>
      </w:r>
      <w:r w:rsidR="00AE6522" w:rsidRPr="007B0913">
        <w:rPr>
          <w:rFonts w:ascii="Times New Roman" w:hAnsi="Times New Roman" w:cs="Times New Roman"/>
          <w:sz w:val="24"/>
          <w:szCs w:val="24"/>
        </w:rPr>
        <w:t>majority view</w:t>
      </w:r>
      <w:r w:rsidR="00DF571B" w:rsidRPr="007B0913">
        <w:rPr>
          <w:rFonts w:ascii="Times New Roman" w:hAnsi="Times New Roman" w:cs="Times New Roman"/>
          <w:sz w:val="24"/>
          <w:szCs w:val="24"/>
        </w:rPr>
        <w:t xml:space="preserve"> in favour of a</w:t>
      </w:r>
      <w:r w:rsidR="00B704FD" w:rsidRPr="007B0913">
        <w:rPr>
          <w:rFonts w:ascii="Times New Roman" w:hAnsi="Times New Roman" w:cs="Times New Roman"/>
          <w:sz w:val="24"/>
          <w:szCs w:val="24"/>
        </w:rPr>
        <w:t>ny of a</w:t>
      </w:r>
      <w:r w:rsidR="00DF571B" w:rsidRPr="007B0913">
        <w:rPr>
          <w:rFonts w:ascii="Times New Roman" w:hAnsi="Times New Roman" w:cs="Times New Roman"/>
          <w:sz w:val="24"/>
          <w:szCs w:val="24"/>
        </w:rPr>
        <w:t xml:space="preserve"> number of the matters considered</w:t>
      </w:r>
      <w:r w:rsidR="00AE6522" w:rsidRPr="007B0913">
        <w:rPr>
          <w:rFonts w:ascii="Times New Roman" w:hAnsi="Times New Roman" w:cs="Times New Roman"/>
          <w:sz w:val="24"/>
          <w:szCs w:val="24"/>
        </w:rPr>
        <w:t xml:space="preserve">.  </w:t>
      </w:r>
    </w:p>
    <w:p w14:paraId="575173FB" w14:textId="718DE75A" w:rsidR="00BB4E88" w:rsidRPr="007B0913" w:rsidRDefault="00564D50"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The point can be briefly explained by reference to a debate that</w:t>
      </w:r>
      <w:r w:rsidR="00A35004" w:rsidRPr="007B0913">
        <w:rPr>
          <w:rFonts w:ascii="Times New Roman" w:hAnsi="Times New Roman" w:cs="Times New Roman"/>
          <w:sz w:val="24"/>
          <w:szCs w:val="24"/>
        </w:rPr>
        <w:t>, almost from the time of the enactment of the Charter,</w:t>
      </w:r>
      <w:r w:rsidRPr="007B0913">
        <w:rPr>
          <w:rFonts w:ascii="Times New Roman" w:hAnsi="Times New Roman" w:cs="Times New Roman"/>
          <w:sz w:val="24"/>
          <w:szCs w:val="24"/>
        </w:rPr>
        <w:t xml:space="preserve"> had surrounded the </w:t>
      </w:r>
      <w:r w:rsidR="00F36CDB" w:rsidRPr="007B0913">
        <w:rPr>
          <w:rFonts w:ascii="Times New Roman" w:hAnsi="Times New Roman" w:cs="Times New Roman"/>
          <w:sz w:val="24"/>
          <w:szCs w:val="24"/>
        </w:rPr>
        <w:t>interaction between s 32 as an interpretive provision, and s 7(2) which sets</w:t>
      </w:r>
      <w:r w:rsidR="00133F5A" w:rsidRPr="007B0913">
        <w:rPr>
          <w:rFonts w:ascii="Times New Roman" w:hAnsi="Times New Roman" w:cs="Times New Roman"/>
          <w:sz w:val="24"/>
          <w:szCs w:val="24"/>
        </w:rPr>
        <w:t xml:space="preserve"> out </w:t>
      </w:r>
      <w:r w:rsidR="00A7454B" w:rsidRPr="007B0913">
        <w:rPr>
          <w:rFonts w:ascii="Times New Roman" w:hAnsi="Times New Roman" w:cs="Times New Roman"/>
          <w:sz w:val="24"/>
          <w:szCs w:val="24"/>
        </w:rPr>
        <w:t>‘reasonable</w:t>
      </w:r>
      <w:r w:rsidR="00133F5A" w:rsidRPr="007B0913">
        <w:rPr>
          <w:rFonts w:ascii="Times New Roman" w:hAnsi="Times New Roman" w:cs="Times New Roman"/>
          <w:sz w:val="24"/>
          <w:szCs w:val="24"/>
        </w:rPr>
        <w:t xml:space="preserve"> limits</w:t>
      </w:r>
      <w:r w:rsidR="00A7454B" w:rsidRPr="007B0913">
        <w:rPr>
          <w:rFonts w:ascii="Times New Roman" w:hAnsi="Times New Roman" w:cs="Times New Roman"/>
          <w:sz w:val="24"/>
          <w:szCs w:val="24"/>
        </w:rPr>
        <w:t>’</w:t>
      </w:r>
      <w:r w:rsidR="00133F5A" w:rsidRPr="007B0913">
        <w:rPr>
          <w:rFonts w:ascii="Times New Roman" w:hAnsi="Times New Roman" w:cs="Times New Roman"/>
          <w:sz w:val="24"/>
          <w:szCs w:val="24"/>
        </w:rPr>
        <w:t xml:space="preserve"> upon human rights.  </w:t>
      </w:r>
    </w:p>
    <w:p w14:paraId="53614EBF" w14:textId="4E6A5D96" w:rsidR="00831ECC" w:rsidRPr="007B0913" w:rsidRDefault="00BC57FB"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Section 7(2) </w:t>
      </w:r>
      <w:r w:rsidR="00133F5A" w:rsidRPr="007B0913">
        <w:rPr>
          <w:rFonts w:ascii="Times New Roman" w:hAnsi="Times New Roman" w:cs="Times New Roman"/>
          <w:sz w:val="24"/>
          <w:szCs w:val="24"/>
        </w:rPr>
        <w:t>is</w:t>
      </w:r>
      <w:r w:rsidRPr="007B0913">
        <w:rPr>
          <w:rFonts w:ascii="Times New Roman" w:hAnsi="Times New Roman" w:cs="Times New Roman"/>
          <w:sz w:val="24"/>
          <w:szCs w:val="24"/>
        </w:rPr>
        <w:t xml:space="preserve"> </w:t>
      </w:r>
      <w:r w:rsidR="007A67E6" w:rsidRPr="007B0913">
        <w:rPr>
          <w:rFonts w:ascii="Times New Roman" w:hAnsi="Times New Roman" w:cs="Times New Roman"/>
          <w:sz w:val="24"/>
          <w:szCs w:val="24"/>
        </w:rPr>
        <w:t xml:space="preserve">modelled upon </w:t>
      </w:r>
      <w:r w:rsidR="00A35004" w:rsidRPr="007B0913">
        <w:rPr>
          <w:rFonts w:ascii="Times New Roman" w:hAnsi="Times New Roman" w:cs="Times New Roman"/>
          <w:sz w:val="24"/>
          <w:szCs w:val="24"/>
        </w:rPr>
        <w:t xml:space="preserve">similar </w:t>
      </w:r>
      <w:r w:rsidR="0012348B" w:rsidRPr="007B0913">
        <w:rPr>
          <w:rFonts w:ascii="Times New Roman" w:hAnsi="Times New Roman" w:cs="Times New Roman"/>
          <w:sz w:val="24"/>
          <w:szCs w:val="24"/>
        </w:rPr>
        <w:t xml:space="preserve">provisions contained within </w:t>
      </w:r>
      <w:r w:rsidR="0014175A" w:rsidRPr="007B0913">
        <w:rPr>
          <w:rFonts w:ascii="Times New Roman" w:hAnsi="Times New Roman" w:cs="Times New Roman"/>
          <w:sz w:val="24"/>
          <w:szCs w:val="24"/>
        </w:rPr>
        <w:t>various statutes from other jurisdictions that are intended to protect</w:t>
      </w:r>
      <w:r w:rsidR="0012348B" w:rsidRPr="007B0913">
        <w:rPr>
          <w:rFonts w:ascii="Times New Roman" w:hAnsi="Times New Roman" w:cs="Times New Roman"/>
          <w:sz w:val="24"/>
          <w:szCs w:val="24"/>
        </w:rPr>
        <w:t xml:space="preserve"> human rights.  </w:t>
      </w:r>
      <w:r w:rsidR="00133F5A" w:rsidRPr="007B0913">
        <w:rPr>
          <w:rFonts w:ascii="Times New Roman" w:hAnsi="Times New Roman" w:cs="Times New Roman"/>
          <w:sz w:val="24"/>
          <w:szCs w:val="24"/>
        </w:rPr>
        <w:t>It</w:t>
      </w:r>
      <w:r w:rsidR="008B6D47" w:rsidRPr="007B0913">
        <w:rPr>
          <w:rFonts w:ascii="Times New Roman" w:hAnsi="Times New Roman" w:cs="Times New Roman"/>
          <w:sz w:val="24"/>
          <w:szCs w:val="24"/>
        </w:rPr>
        <w:t xml:space="preserve"> reads as follows:</w:t>
      </w:r>
      <w:bookmarkStart w:id="1" w:name="_Toc133906339"/>
    </w:p>
    <w:bookmarkEnd w:id="1"/>
    <w:p w14:paraId="58D8BE5D" w14:textId="712A1CDA" w:rsidR="00FD5FB3" w:rsidRPr="007B0913" w:rsidRDefault="00FD5FB3" w:rsidP="006B2E41">
      <w:pPr>
        <w:ind w:left="1440" w:hanging="720"/>
        <w:jc w:val="both"/>
        <w:rPr>
          <w:rFonts w:ascii="Times New Roman" w:hAnsi="Times New Roman" w:cs="Times New Roman"/>
          <w:b/>
        </w:rPr>
      </w:pPr>
      <w:r w:rsidRPr="007B0913">
        <w:rPr>
          <w:rStyle w:val="CharSectNo"/>
          <w:rFonts w:ascii="Times New Roman" w:hAnsi="Times New Roman" w:cs="Times New Roman"/>
          <w:b/>
        </w:rPr>
        <w:t>7.</w:t>
      </w:r>
      <w:r w:rsidRPr="007B0913">
        <w:rPr>
          <w:rFonts w:ascii="Times New Roman" w:hAnsi="Times New Roman" w:cs="Times New Roman"/>
          <w:b/>
        </w:rPr>
        <w:tab/>
        <w:t>Human rights—what they are and when they may be limited</w:t>
      </w:r>
    </w:p>
    <w:p w14:paraId="2FBCFB3B" w14:textId="50430113" w:rsidR="00FD5FB3" w:rsidRPr="007B0913" w:rsidRDefault="005156BB" w:rsidP="006B2E41">
      <w:pPr>
        <w:ind w:left="1440" w:hanging="720"/>
        <w:jc w:val="both"/>
        <w:rPr>
          <w:rFonts w:ascii="Times New Roman" w:hAnsi="Times New Roman" w:cs="Times New Roman"/>
        </w:rPr>
      </w:pPr>
      <w:r w:rsidRPr="007B0913">
        <w:rPr>
          <w:rFonts w:ascii="Times New Roman" w:hAnsi="Times New Roman" w:cs="Times New Roman"/>
        </w:rPr>
        <w:t xml:space="preserve"> </w:t>
      </w:r>
      <w:r w:rsidR="00FD5FB3" w:rsidRPr="007B0913">
        <w:rPr>
          <w:rFonts w:ascii="Times New Roman" w:hAnsi="Times New Roman" w:cs="Times New Roman"/>
        </w:rPr>
        <w:t>…</w:t>
      </w:r>
    </w:p>
    <w:p w14:paraId="25C092B5" w14:textId="26BC15E6" w:rsidR="00FD5FB3" w:rsidRPr="007B0913" w:rsidRDefault="00FD5FB3" w:rsidP="006B2E41">
      <w:pPr>
        <w:pStyle w:val="DraftHeading2"/>
        <w:ind w:left="1440" w:hanging="720"/>
        <w:jc w:val="both"/>
        <w:rPr>
          <w:sz w:val="22"/>
          <w:szCs w:val="22"/>
        </w:rPr>
      </w:pPr>
      <w:r w:rsidRPr="007B0913">
        <w:rPr>
          <w:sz w:val="22"/>
          <w:szCs w:val="22"/>
        </w:rPr>
        <w:t>(2)</w:t>
      </w:r>
      <w:r w:rsidR="00367356" w:rsidRPr="007B0913">
        <w:rPr>
          <w:sz w:val="22"/>
          <w:szCs w:val="22"/>
        </w:rPr>
        <w:tab/>
      </w:r>
      <w:r w:rsidRPr="007B0913">
        <w:rPr>
          <w:sz w:val="22"/>
          <w:szCs w:val="22"/>
        </w:rPr>
        <w:t>A human right may be subject under law only to such reasonable limits as can be demonstrably justified in a free and democratic society based on human dignity, equality and freedom, and taking into account all relevant factors including—</w:t>
      </w:r>
    </w:p>
    <w:p w14:paraId="67C8EEC3" w14:textId="4B40D761" w:rsidR="00FD5FB3" w:rsidRPr="007B0913" w:rsidRDefault="00FD5FB3" w:rsidP="006B2E41">
      <w:pPr>
        <w:pStyle w:val="DraftHeading3"/>
        <w:ind w:left="2160" w:hanging="720"/>
        <w:jc w:val="both"/>
        <w:rPr>
          <w:sz w:val="22"/>
          <w:szCs w:val="22"/>
        </w:rPr>
      </w:pPr>
      <w:r w:rsidRPr="007B0913">
        <w:rPr>
          <w:sz w:val="22"/>
          <w:szCs w:val="22"/>
        </w:rPr>
        <w:t>(a)</w:t>
      </w:r>
      <w:r w:rsidRPr="007B0913">
        <w:rPr>
          <w:sz w:val="22"/>
          <w:szCs w:val="22"/>
        </w:rPr>
        <w:tab/>
      </w:r>
      <w:proofErr w:type="gramStart"/>
      <w:r w:rsidRPr="007B0913">
        <w:rPr>
          <w:sz w:val="22"/>
          <w:szCs w:val="22"/>
        </w:rPr>
        <w:t>the</w:t>
      </w:r>
      <w:proofErr w:type="gramEnd"/>
      <w:r w:rsidRPr="007B0913">
        <w:rPr>
          <w:sz w:val="22"/>
          <w:szCs w:val="22"/>
        </w:rPr>
        <w:t xml:space="preserve"> nature of the right; and</w:t>
      </w:r>
    </w:p>
    <w:p w14:paraId="227C93D8" w14:textId="2E215A4B" w:rsidR="00FD5FB3" w:rsidRPr="007B0913" w:rsidRDefault="00FD5FB3" w:rsidP="006B2E41">
      <w:pPr>
        <w:pStyle w:val="DraftHeading3"/>
        <w:ind w:left="2160" w:hanging="720"/>
        <w:jc w:val="both"/>
        <w:rPr>
          <w:sz w:val="22"/>
          <w:szCs w:val="22"/>
        </w:rPr>
      </w:pPr>
      <w:r w:rsidRPr="007B0913">
        <w:rPr>
          <w:sz w:val="22"/>
          <w:szCs w:val="22"/>
        </w:rPr>
        <w:t>(b)</w:t>
      </w:r>
      <w:r w:rsidRPr="007B0913">
        <w:rPr>
          <w:sz w:val="22"/>
          <w:szCs w:val="22"/>
        </w:rPr>
        <w:tab/>
      </w:r>
      <w:proofErr w:type="gramStart"/>
      <w:r w:rsidRPr="007B0913">
        <w:rPr>
          <w:sz w:val="22"/>
          <w:szCs w:val="22"/>
        </w:rPr>
        <w:t>the</w:t>
      </w:r>
      <w:proofErr w:type="gramEnd"/>
      <w:r w:rsidRPr="007B0913">
        <w:rPr>
          <w:sz w:val="22"/>
          <w:szCs w:val="22"/>
        </w:rPr>
        <w:t xml:space="preserve"> importance of the purpose of the limitation; and</w:t>
      </w:r>
    </w:p>
    <w:p w14:paraId="2040999E" w14:textId="0674F87A" w:rsidR="00FD5FB3" w:rsidRPr="007B0913" w:rsidRDefault="00FD5FB3" w:rsidP="006B2E41">
      <w:pPr>
        <w:pStyle w:val="DraftHeading3"/>
        <w:ind w:left="2160" w:hanging="720"/>
        <w:jc w:val="both"/>
        <w:rPr>
          <w:sz w:val="22"/>
          <w:szCs w:val="22"/>
        </w:rPr>
      </w:pPr>
      <w:r w:rsidRPr="007B0913">
        <w:rPr>
          <w:sz w:val="22"/>
          <w:szCs w:val="22"/>
        </w:rPr>
        <w:t>(c)</w:t>
      </w:r>
      <w:r w:rsidRPr="007B0913">
        <w:rPr>
          <w:sz w:val="22"/>
          <w:szCs w:val="22"/>
        </w:rPr>
        <w:tab/>
      </w:r>
      <w:proofErr w:type="gramStart"/>
      <w:r w:rsidRPr="007B0913">
        <w:rPr>
          <w:sz w:val="22"/>
          <w:szCs w:val="22"/>
        </w:rPr>
        <w:t>the</w:t>
      </w:r>
      <w:proofErr w:type="gramEnd"/>
      <w:r w:rsidRPr="007B0913">
        <w:rPr>
          <w:sz w:val="22"/>
          <w:szCs w:val="22"/>
        </w:rPr>
        <w:t xml:space="preserve"> nature and extent of the limitation; and</w:t>
      </w:r>
    </w:p>
    <w:p w14:paraId="6951F533" w14:textId="7F82C3A6" w:rsidR="00FD5FB3" w:rsidRPr="007B0913" w:rsidRDefault="00FD5FB3" w:rsidP="006B2E41">
      <w:pPr>
        <w:pStyle w:val="DraftHeading3"/>
        <w:ind w:left="2160" w:hanging="720"/>
        <w:jc w:val="both"/>
        <w:rPr>
          <w:sz w:val="22"/>
          <w:szCs w:val="22"/>
        </w:rPr>
      </w:pPr>
      <w:r w:rsidRPr="007B0913">
        <w:rPr>
          <w:sz w:val="22"/>
          <w:szCs w:val="22"/>
        </w:rPr>
        <w:t>(d)</w:t>
      </w:r>
      <w:r w:rsidRPr="007B0913">
        <w:rPr>
          <w:sz w:val="22"/>
          <w:szCs w:val="22"/>
        </w:rPr>
        <w:tab/>
      </w:r>
      <w:proofErr w:type="gramStart"/>
      <w:r w:rsidRPr="007B0913">
        <w:rPr>
          <w:sz w:val="22"/>
          <w:szCs w:val="22"/>
        </w:rPr>
        <w:t>the</w:t>
      </w:r>
      <w:proofErr w:type="gramEnd"/>
      <w:r w:rsidRPr="007B0913">
        <w:rPr>
          <w:sz w:val="22"/>
          <w:szCs w:val="22"/>
        </w:rPr>
        <w:t xml:space="preserve"> relationship between the limitation and its purpose; and</w:t>
      </w:r>
    </w:p>
    <w:p w14:paraId="7FDB93C3" w14:textId="08FDB127" w:rsidR="00FD5FB3" w:rsidRPr="007B0913" w:rsidRDefault="00FD5FB3" w:rsidP="006B2E41">
      <w:pPr>
        <w:pStyle w:val="DraftHeading3"/>
        <w:ind w:left="2160" w:hanging="720"/>
        <w:jc w:val="both"/>
        <w:rPr>
          <w:rStyle w:val="CharSectNo"/>
          <w:sz w:val="22"/>
          <w:szCs w:val="22"/>
        </w:rPr>
      </w:pPr>
      <w:r w:rsidRPr="007B0913">
        <w:rPr>
          <w:sz w:val="22"/>
          <w:szCs w:val="22"/>
        </w:rPr>
        <w:t>(e)</w:t>
      </w:r>
      <w:r w:rsidRPr="007B0913">
        <w:rPr>
          <w:sz w:val="22"/>
          <w:szCs w:val="22"/>
        </w:rPr>
        <w:tab/>
      </w:r>
      <w:proofErr w:type="gramStart"/>
      <w:r w:rsidRPr="007B0913">
        <w:rPr>
          <w:sz w:val="22"/>
          <w:szCs w:val="22"/>
        </w:rPr>
        <w:t>any</w:t>
      </w:r>
      <w:proofErr w:type="gramEnd"/>
      <w:r w:rsidRPr="007B0913">
        <w:rPr>
          <w:sz w:val="22"/>
          <w:szCs w:val="22"/>
        </w:rPr>
        <w:t xml:space="preserve"> less restrictive means reasonably available to achieve the purpose that</w:t>
      </w:r>
      <w:r w:rsidR="004D7804" w:rsidRPr="007B0913">
        <w:rPr>
          <w:sz w:val="22"/>
          <w:szCs w:val="22"/>
        </w:rPr>
        <w:t xml:space="preserve"> </w:t>
      </w:r>
      <w:r w:rsidRPr="007B0913">
        <w:rPr>
          <w:sz w:val="22"/>
          <w:szCs w:val="22"/>
        </w:rPr>
        <w:t>the limitation seeks to achieve.</w:t>
      </w:r>
    </w:p>
    <w:p w14:paraId="11E90ED8" w14:textId="77777777" w:rsidR="00FD5FB3" w:rsidRPr="007B0913" w:rsidRDefault="00FD5FB3" w:rsidP="006B2E41">
      <w:pPr>
        <w:ind w:left="2160" w:hanging="720"/>
        <w:jc w:val="both"/>
        <w:rPr>
          <w:rFonts w:ascii="Times New Roman" w:hAnsi="Times New Roman" w:cs="Times New Roman"/>
          <w:sz w:val="24"/>
          <w:szCs w:val="24"/>
        </w:rPr>
      </w:pPr>
    </w:p>
    <w:p w14:paraId="4B90F276" w14:textId="20727EA3" w:rsidR="00A35004" w:rsidRPr="007B0913" w:rsidRDefault="006C57C4"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Prior to</w:t>
      </w:r>
      <w:r w:rsidR="003F2CB9" w:rsidRPr="007B0913">
        <w:rPr>
          <w:rFonts w:ascii="Times New Roman" w:hAnsi="Times New Roman" w:cs="Times New Roman"/>
          <w:sz w:val="24"/>
          <w:szCs w:val="24"/>
        </w:rPr>
        <w:t xml:space="preserve"> the High Court’s decision in</w:t>
      </w:r>
      <w:r w:rsidRPr="007B0913">
        <w:rPr>
          <w:rFonts w:ascii="Times New Roman" w:hAnsi="Times New Roman" w:cs="Times New Roman"/>
          <w:sz w:val="24"/>
          <w:szCs w:val="24"/>
        </w:rPr>
        <w:t xml:space="preserve"> </w:t>
      </w:r>
      <w:proofErr w:type="spellStart"/>
      <w:r w:rsidRPr="007B0913">
        <w:rPr>
          <w:rFonts w:ascii="Times New Roman" w:hAnsi="Times New Roman" w:cs="Times New Roman"/>
          <w:i/>
          <w:sz w:val="24"/>
          <w:szCs w:val="24"/>
        </w:rPr>
        <w:t>Momcilovic</w:t>
      </w:r>
      <w:proofErr w:type="spellEnd"/>
      <w:r w:rsidR="003F2CB9" w:rsidRPr="007B0913">
        <w:rPr>
          <w:rFonts w:ascii="Times New Roman" w:hAnsi="Times New Roman" w:cs="Times New Roman"/>
          <w:sz w:val="24"/>
          <w:szCs w:val="24"/>
        </w:rPr>
        <w:t>,</w:t>
      </w:r>
      <w:r w:rsidR="00A35004" w:rsidRPr="007B0913">
        <w:rPr>
          <w:rFonts w:ascii="Times New Roman" w:hAnsi="Times New Roman" w:cs="Times New Roman"/>
          <w:sz w:val="24"/>
          <w:szCs w:val="24"/>
        </w:rPr>
        <w:t xml:space="preserve"> </w:t>
      </w:r>
      <w:r w:rsidR="00FB7B8E" w:rsidRPr="007B0913">
        <w:rPr>
          <w:rFonts w:ascii="Times New Roman" w:hAnsi="Times New Roman" w:cs="Times New Roman"/>
          <w:sz w:val="24"/>
          <w:szCs w:val="24"/>
        </w:rPr>
        <w:t xml:space="preserve">there had been disagreement among </w:t>
      </w:r>
      <w:r w:rsidR="00AA6B55" w:rsidRPr="007B0913">
        <w:rPr>
          <w:rFonts w:ascii="Times New Roman" w:hAnsi="Times New Roman" w:cs="Times New Roman"/>
          <w:sz w:val="24"/>
          <w:szCs w:val="24"/>
        </w:rPr>
        <w:t xml:space="preserve">both judges and </w:t>
      </w:r>
      <w:r w:rsidR="00FB7B8E" w:rsidRPr="007B0913">
        <w:rPr>
          <w:rFonts w:ascii="Times New Roman" w:hAnsi="Times New Roman" w:cs="Times New Roman"/>
          <w:sz w:val="24"/>
          <w:szCs w:val="24"/>
        </w:rPr>
        <w:t xml:space="preserve">commentators as to whether s 7(2) should be taken into account at the initial </w:t>
      </w:r>
      <w:r w:rsidR="003F2CB9" w:rsidRPr="007B0913">
        <w:rPr>
          <w:rFonts w:ascii="Times New Roman" w:hAnsi="Times New Roman" w:cs="Times New Roman"/>
          <w:sz w:val="24"/>
          <w:szCs w:val="24"/>
        </w:rPr>
        <w:t>interpretation</w:t>
      </w:r>
      <w:r w:rsidR="00FB7B8E" w:rsidRPr="007B0913">
        <w:rPr>
          <w:rFonts w:ascii="Times New Roman" w:hAnsi="Times New Roman" w:cs="Times New Roman"/>
          <w:sz w:val="24"/>
          <w:szCs w:val="24"/>
        </w:rPr>
        <w:t xml:space="preserve"> stage, or whether </w:t>
      </w:r>
      <w:r w:rsidR="00AA6B55" w:rsidRPr="007B0913">
        <w:rPr>
          <w:rFonts w:ascii="Times New Roman" w:hAnsi="Times New Roman" w:cs="Times New Roman"/>
          <w:sz w:val="24"/>
          <w:szCs w:val="24"/>
        </w:rPr>
        <w:t xml:space="preserve">the limitations contained therein </w:t>
      </w:r>
      <w:r w:rsidR="00FB7B8E" w:rsidRPr="007B0913">
        <w:rPr>
          <w:rFonts w:ascii="Times New Roman" w:hAnsi="Times New Roman" w:cs="Times New Roman"/>
          <w:sz w:val="24"/>
          <w:szCs w:val="24"/>
        </w:rPr>
        <w:t xml:space="preserve">only became relevant once the </w:t>
      </w:r>
      <w:r w:rsidRPr="007B0913">
        <w:rPr>
          <w:rFonts w:ascii="Times New Roman" w:hAnsi="Times New Roman" w:cs="Times New Roman"/>
          <w:sz w:val="24"/>
          <w:szCs w:val="24"/>
        </w:rPr>
        <w:t>interpre</w:t>
      </w:r>
      <w:r w:rsidR="00FB7B8E" w:rsidRPr="007B0913">
        <w:rPr>
          <w:rFonts w:ascii="Times New Roman" w:hAnsi="Times New Roman" w:cs="Times New Roman"/>
          <w:sz w:val="24"/>
          <w:szCs w:val="24"/>
        </w:rPr>
        <w:t xml:space="preserve">tive exercise had been </w:t>
      </w:r>
      <w:r w:rsidR="00A35004" w:rsidRPr="007B0913">
        <w:rPr>
          <w:rFonts w:ascii="Times New Roman" w:hAnsi="Times New Roman" w:cs="Times New Roman"/>
          <w:sz w:val="24"/>
          <w:szCs w:val="24"/>
        </w:rPr>
        <w:t>concluded</w:t>
      </w:r>
      <w:r w:rsidR="00FB7B8E" w:rsidRPr="007B0913">
        <w:rPr>
          <w:rFonts w:ascii="Times New Roman" w:hAnsi="Times New Roman" w:cs="Times New Roman"/>
          <w:sz w:val="24"/>
          <w:szCs w:val="24"/>
        </w:rPr>
        <w:t xml:space="preserve">.  </w:t>
      </w:r>
      <w:r w:rsidR="00A35004" w:rsidRPr="007B0913">
        <w:rPr>
          <w:rFonts w:ascii="Times New Roman" w:hAnsi="Times New Roman" w:cs="Times New Roman"/>
          <w:sz w:val="24"/>
          <w:szCs w:val="24"/>
        </w:rPr>
        <w:t>Broadly speaking, t</w:t>
      </w:r>
      <w:r w:rsidR="00BB74A2" w:rsidRPr="007B0913">
        <w:rPr>
          <w:rFonts w:ascii="Times New Roman" w:hAnsi="Times New Roman" w:cs="Times New Roman"/>
          <w:sz w:val="24"/>
          <w:szCs w:val="24"/>
        </w:rPr>
        <w:t>he decision o</w:t>
      </w:r>
      <w:r w:rsidR="0097268F" w:rsidRPr="007B0913">
        <w:rPr>
          <w:rFonts w:ascii="Times New Roman" w:hAnsi="Times New Roman" w:cs="Times New Roman"/>
          <w:sz w:val="24"/>
          <w:szCs w:val="24"/>
        </w:rPr>
        <w:t>f</w:t>
      </w:r>
      <w:r w:rsidR="00EE65A6" w:rsidRPr="007B0913">
        <w:rPr>
          <w:rFonts w:ascii="Times New Roman" w:hAnsi="Times New Roman" w:cs="Times New Roman"/>
          <w:sz w:val="24"/>
          <w:szCs w:val="24"/>
        </w:rPr>
        <w:t xml:space="preserve"> the Victorian </w:t>
      </w:r>
      <w:r w:rsidR="00EE65A6" w:rsidRPr="007B0913">
        <w:rPr>
          <w:rFonts w:ascii="Times New Roman" w:hAnsi="Times New Roman" w:cs="Times New Roman"/>
          <w:sz w:val="24"/>
          <w:szCs w:val="24"/>
        </w:rPr>
        <w:lastRenderedPageBreak/>
        <w:t xml:space="preserve">Court of Appeal </w:t>
      </w:r>
      <w:r w:rsidR="0097268F" w:rsidRPr="007B0913">
        <w:rPr>
          <w:rFonts w:ascii="Times New Roman" w:hAnsi="Times New Roman" w:cs="Times New Roman"/>
          <w:sz w:val="24"/>
          <w:szCs w:val="24"/>
        </w:rPr>
        <w:t xml:space="preserve">in </w:t>
      </w:r>
      <w:r w:rsidR="00EE65A6" w:rsidRPr="007B0913">
        <w:rPr>
          <w:rFonts w:ascii="Times New Roman" w:hAnsi="Times New Roman" w:cs="Times New Roman"/>
          <w:i/>
          <w:sz w:val="24"/>
          <w:szCs w:val="24"/>
        </w:rPr>
        <w:t xml:space="preserve">R v </w:t>
      </w:r>
      <w:proofErr w:type="spellStart"/>
      <w:r w:rsidR="00EE65A6" w:rsidRPr="007B0913">
        <w:rPr>
          <w:rFonts w:ascii="Times New Roman" w:hAnsi="Times New Roman" w:cs="Times New Roman"/>
          <w:i/>
          <w:sz w:val="24"/>
          <w:szCs w:val="24"/>
        </w:rPr>
        <w:t>Momcilovic</w:t>
      </w:r>
      <w:proofErr w:type="spellEnd"/>
      <w:r w:rsidR="00EE65A6" w:rsidRPr="007B0913">
        <w:rPr>
          <w:rStyle w:val="FootnoteReference"/>
          <w:rFonts w:ascii="Times New Roman" w:hAnsi="Times New Roman" w:cs="Times New Roman"/>
          <w:sz w:val="24"/>
          <w:szCs w:val="24"/>
        </w:rPr>
        <w:footnoteReference w:id="40"/>
      </w:r>
      <w:r w:rsidR="0097268F" w:rsidRPr="007B0913">
        <w:rPr>
          <w:rFonts w:ascii="Times New Roman" w:hAnsi="Times New Roman" w:cs="Times New Roman"/>
          <w:sz w:val="24"/>
          <w:szCs w:val="24"/>
        </w:rPr>
        <w:t xml:space="preserve"> </w:t>
      </w:r>
      <w:r w:rsidR="009A2A55" w:rsidRPr="007B0913">
        <w:rPr>
          <w:rFonts w:ascii="Times New Roman" w:hAnsi="Times New Roman" w:cs="Times New Roman"/>
          <w:sz w:val="24"/>
          <w:szCs w:val="24"/>
        </w:rPr>
        <w:t xml:space="preserve">had determined that the </w:t>
      </w:r>
      <w:r w:rsidR="00833E2A" w:rsidRPr="007B0913">
        <w:rPr>
          <w:rFonts w:ascii="Times New Roman" w:hAnsi="Times New Roman" w:cs="Times New Roman"/>
          <w:sz w:val="24"/>
          <w:szCs w:val="24"/>
        </w:rPr>
        <w:t>latter position was correct.</w:t>
      </w:r>
      <w:r w:rsidR="006C56C9" w:rsidRPr="007B0913">
        <w:rPr>
          <w:rFonts w:ascii="Times New Roman" w:hAnsi="Times New Roman" w:cs="Times New Roman"/>
          <w:sz w:val="24"/>
          <w:szCs w:val="24"/>
        </w:rPr>
        <w:t xml:space="preserve">  </w:t>
      </w:r>
      <w:r w:rsidR="00A35004" w:rsidRPr="007B0913">
        <w:rPr>
          <w:rFonts w:ascii="Times New Roman" w:hAnsi="Times New Roman" w:cs="Times New Roman"/>
          <w:sz w:val="24"/>
          <w:szCs w:val="24"/>
        </w:rPr>
        <w:t xml:space="preserve">In other words, the interpretive process should first be carried out, and the result thereafter assessed in the light of s 7(2).  </w:t>
      </w:r>
    </w:p>
    <w:p w14:paraId="103FB1AA" w14:textId="77777777" w:rsidR="002279C4" w:rsidRPr="007B0913" w:rsidRDefault="006C56C9"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This </w:t>
      </w:r>
      <w:r w:rsidR="00A35004" w:rsidRPr="007B0913">
        <w:rPr>
          <w:rFonts w:ascii="Times New Roman" w:hAnsi="Times New Roman" w:cs="Times New Roman"/>
          <w:sz w:val="24"/>
          <w:szCs w:val="24"/>
        </w:rPr>
        <w:t xml:space="preserve">approach </w:t>
      </w:r>
      <w:r w:rsidR="00927300" w:rsidRPr="007B0913">
        <w:rPr>
          <w:rFonts w:ascii="Times New Roman" w:hAnsi="Times New Roman" w:cs="Times New Roman"/>
          <w:sz w:val="24"/>
          <w:szCs w:val="24"/>
        </w:rPr>
        <w:t xml:space="preserve">has been </w:t>
      </w:r>
      <w:r w:rsidR="00DB32F9" w:rsidRPr="007B0913">
        <w:rPr>
          <w:rFonts w:ascii="Times New Roman" w:hAnsi="Times New Roman" w:cs="Times New Roman"/>
          <w:sz w:val="24"/>
          <w:szCs w:val="24"/>
        </w:rPr>
        <w:t>regarded</w:t>
      </w:r>
      <w:r w:rsidRPr="007B0913">
        <w:rPr>
          <w:rFonts w:ascii="Times New Roman" w:hAnsi="Times New Roman" w:cs="Times New Roman"/>
          <w:sz w:val="24"/>
          <w:szCs w:val="24"/>
        </w:rPr>
        <w:t xml:space="preserve"> </w:t>
      </w:r>
      <w:r w:rsidR="00927300" w:rsidRPr="007B0913">
        <w:rPr>
          <w:rFonts w:ascii="Times New Roman" w:hAnsi="Times New Roman" w:cs="Times New Roman"/>
          <w:sz w:val="24"/>
          <w:szCs w:val="24"/>
        </w:rPr>
        <w:t xml:space="preserve">by some </w:t>
      </w:r>
      <w:r w:rsidR="00A35004" w:rsidRPr="007B0913">
        <w:rPr>
          <w:rFonts w:ascii="Times New Roman" w:hAnsi="Times New Roman" w:cs="Times New Roman"/>
          <w:sz w:val="24"/>
          <w:szCs w:val="24"/>
        </w:rPr>
        <w:t xml:space="preserve">as having narrowed </w:t>
      </w:r>
      <w:r w:rsidRPr="007B0913">
        <w:rPr>
          <w:rFonts w:ascii="Times New Roman" w:hAnsi="Times New Roman" w:cs="Times New Roman"/>
          <w:sz w:val="24"/>
          <w:szCs w:val="24"/>
        </w:rPr>
        <w:t xml:space="preserve">the scope for </w:t>
      </w:r>
      <w:r w:rsidR="00A35004" w:rsidRPr="007B0913">
        <w:rPr>
          <w:rFonts w:ascii="Times New Roman" w:hAnsi="Times New Roman" w:cs="Times New Roman"/>
          <w:sz w:val="24"/>
          <w:szCs w:val="24"/>
        </w:rPr>
        <w:t xml:space="preserve">human rights </w:t>
      </w:r>
      <w:r w:rsidR="00243CD3" w:rsidRPr="007B0913">
        <w:rPr>
          <w:rFonts w:ascii="Times New Roman" w:hAnsi="Times New Roman" w:cs="Times New Roman"/>
          <w:sz w:val="24"/>
          <w:szCs w:val="24"/>
        </w:rPr>
        <w:t>protection under s 32(1).</w:t>
      </w:r>
      <w:r w:rsidR="006B1921" w:rsidRPr="007B0913">
        <w:rPr>
          <w:rFonts w:ascii="Times New Roman" w:hAnsi="Times New Roman" w:cs="Times New Roman"/>
          <w:sz w:val="24"/>
          <w:szCs w:val="24"/>
        </w:rPr>
        <w:t xml:space="preserve">  </w:t>
      </w:r>
      <w:r w:rsidR="00A35004" w:rsidRPr="007B0913">
        <w:rPr>
          <w:rFonts w:ascii="Times New Roman" w:hAnsi="Times New Roman" w:cs="Times New Roman"/>
          <w:sz w:val="24"/>
          <w:szCs w:val="24"/>
        </w:rPr>
        <w:t>Now</w:t>
      </w:r>
      <w:r w:rsidR="00C42AF2" w:rsidRPr="007B0913">
        <w:rPr>
          <w:rFonts w:ascii="Times New Roman" w:hAnsi="Times New Roman" w:cs="Times New Roman"/>
          <w:sz w:val="24"/>
          <w:szCs w:val="24"/>
        </w:rPr>
        <w:t xml:space="preserve">, however, the </w:t>
      </w:r>
      <w:r w:rsidR="001B6829" w:rsidRPr="007B0913">
        <w:rPr>
          <w:rFonts w:ascii="Times New Roman" w:hAnsi="Times New Roman" w:cs="Times New Roman"/>
          <w:sz w:val="24"/>
          <w:szCs w:val="24"/>
        </w:rPr>
        <w:t>H</w:t>
      </w:r>
      <w:r w:rsidR="00C42AF2" w:rsidRPr="007B0913">
        <w:rPr>
          <w:rFonts w:ascii="Times New Roman" w:hAnsi="Times New Roman" w:cs="Times New Roman"/>
          <w:sz w:val="24"/>
          <w:szCs w:val="24"/>
        </w:rPr>
        <w:t xml:space="preserve">igh Court’s decision in </w:t>
      </w:r>
      <w:proofErr w:type="spellStart"/>
      <w:r w:rsidR="00C42AF2" w:rsidRPr="007B0913">
        <w:rPr>
          <w:rFonts w:ascii="Times New Roman" w:hAnsi="Times New Roman" w:cs="Times New Roman"/>
          <w:i/>
          <w:sz w:val="24"/>
          <w:szCs w:val="24"/>
        </w:rPr>
        <w:t>Momcilovic</w:t>
      </w:r>
      <w:proofErr w:type="spellEnd"/>
      <w:r w:rsidR="00C42AF2" w:rsidRPr="007B0913">
        <w:rPr>
          <w:rFonts w:ascii="Times New Roman" w:hAnsi="Times New Roman" w:cs="Times New Roman"/>
          <w:i/>
          <w:sz w:val="24"/>
          <w:szCs w:val="24"/>
        </w:rPr>
        <w:t xml:space="preserve"> </w:t>
      </w:r>
      <w:r w:rsidR="00C42AF2" w:rsidRPr="007B0913">
        <w:rPr>
          <w:rFonts w:ascii="Times New Roman" w:hAnsi="Times New Roman" w:cs="Times New Roman"/>
          <w:sz w:val="24"/>
          <w:szCs w:val="24"/>
        </w:rPr>
        <w:t>has left the law</w:t>
      </w:r>
      <w:r w:rsidR="00A35004" w:rsidRPr="007B0913">
        <w:rPr>
          <w:rFonts w:ascii="Times New Roman" w:hAnsi="Times New Roman" w:cs="Times New Roman"/>
          <w:sz w:val="24"/>
          <w:szCs w:val="24"/>
        </w:rPr>
        <w:t xml:space="preserve"> </w:t>
      </w:r>
      <w:r w:rsidR="009C0F34" w:rsidRPr="007B0913">
        <w:rPr>
          <w:rFonts w:ascii="Times New Roman" w:hAnsi="Times New Roman" w:cs="Times New Roman"/>
          <w:sz w:val="24"/>
          <w:szCs w:val="24"/>
        </w:rPr>
        <w:t>regarding this</w:t>
      </w:r>
      <w:r w:rsidR="00A35004" w:rsidRPr="007B0913">
        <w:rPr>
          <w:rFonts w:ascii="Times New Roman" w:hAnsi="Times New Roman" w:cs="Times New Roman"/>
          <w:sz w:val="24"/>
          <w:szCs w:val="24"/>
        </w:rPr>
        <w:t xml:space="preserve"> issue</w:t>
      </w:r>
      <w:r w:rsidR="00C42AF2" w:rsidRPr="007B0913">
        <w:rPr>
          <w:rFonts w:ascii="Times New Roman" w:hAnsi="Times New Roman" w:cs="Times New Roman"/>
          <w:sz w:val="24"/>
          <w:szCs w:val="24"/>
        </w:rPr>
        <w:t xml:space="preserve"> in something of a state of confusion.  </w:t>
      </w:r>
    </w:p>
    <w:p w14:paraId="7C2CCC25" w14:textId="768F7E0D" w:rsidR="005033DE" w:rsidRPr="007B0913" w:rsidRDefault="006B1921"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Essentially</w:t>
      </w:r>
      <w:r w:rsidR="00A6120D" w:rsidRPr="007B0913">
        <w:rPr>
          <w:rFonts w:ascii="Times New Roman" w:hAnsi="Times New Roman" w:cs="Times New Roman"/>
          <w:sz w:val="24"/>
          <w:szCs w:val="24"/>
        </w:rPr>
        <w:t xml:space="preserve">, three members of the </w:t>
      </w:r>
      <w:r w:rsidR="00F17ECA" w:rsidRPr="007B0913">
        <w:rPr>
          <w:rFonts w:ascii="Times New Roman" w:hAnsi="Times New Roman" w:cs="Times New Roman"/>
          <w:sz w:val="24"/>
          <w:szCs w:val="24"/>
        </w:rPr>
        <w:t xml:space="preserve">High </w:t>
      </w:r>
      <w:r w:rsidR="00A6120D" w:rsidRPr="007B0913">
        <w:rPr>
          <w:rFonts w:ascii="Times New Roman" w:hAnsi="Times New Roman" w:cs="Times New Roman"/>
          <w:sz w:val="24"/>
          <w:szCs w:val="24"/>
        </w:rPr>
        <w:t>Court</w:t>
      </w:r>
      <w:r w:rsidR="005033DE" w:rsidRPr="007B0913">
        <w:rPr>
          <w:rFonts w:ascii="Times New Roman" w:hAnsi="Times New Roman" w:cs="Times New Roman"/>
          <w:sz w:val="24"/>
          <w:szCs w:val="24"/>
        </w:rPr>
        <w:t xml:space="preserve"> </w:t>
      </w:r>
      <w:r w:rsidR="009A7179" w:rsidRPr="007B0913">
        <w:rPr>
          <w:rFonts w:ascii="Times New Roman" w:hAnsi="Times New Roman" w:cs="Times New Roman"/>
          <w:sz w:val="24"/>
          <w:szCs w:val="24"/>
        </w:rPr>
        <w:t>endorsed the</w:t>
      </w:r>
      <w:r w:rsidR="00F17ECA" w:rsidRPr="007B0913">
        <w:rPr>
          <w:rFonts w:ascii="Times New Roman" w:hAnsi="Times New Roman" w:cs="Times New Roman"/>
          <w:sz w:val="24"/>
          <w:szCs w:val="24"/>
        </w:rPr>
        <w:t xml:space="preserve"> approach </w:t>
      </w:r>
      <w:r w:rsidRPr="007B0913">
        <w:rPr>
          <w:rFonts w:ascii="Times New Roman" w:hAnsi="Times New Roman" w:cs="Times New Roman"/>
          <w:sz w:val="24"/>
          <w:szCs w:val="24"/>
        </w:rPr>
        <w:t xml:space="preserve">to s 32(1) </w:t>
      </w:r>
      <w:r w:rsidR="00F17ECA" w:rsidRPr="007B0913">
        <w:rPr>
          <w:rFonts w:ascii="Times New Roman" w:hAnsi="Times New Roman" w:cs="Times New Roman"/>
          <w:sz w:val="24"/>
          <w:szCs w:val="24"/>
        </w:rPr>
        <w:t xml:space="preserve">taken by the Court of </w:t>
      </w:r>
      <w:r w:rsidR="009A7179" w:rsidRPr="007B0913">
        <w:rPr>
          <w:rFonts w:ascii="Times New Roman" w:hAnsi="Times New Roman" w:cs="Times New Roman"/>
          <w:sz w:val="24"/>
          <w:szCs w:val="24"/>
        </w:rPr>
        <w:t>Appeal</w:t>
      </w:r>
      <w:r w:rsidR="00F17ECA" w:rsidRPr="007B0913">
        <w:rPr>
          <w:rFonts w:ascii="Times New Roman" w:hAnsi="Times New Roman" w:cs="Times New Roman"/>
          <w:sz w:val="24"/>
          <w:szCs w:val="24"/>
        </w:rPr>
        <w:t xml:space="preserve">.  </w:t>
      </w:r>
      <w:r w:rsidR="006C2B8B" w:rsidRPr="007B0913">
        <w:rPr>
          <w:rFonts w:ascii="Times New Roman" w:hAnsi="Times New Roman" w:cs="Times New Roman"/>
          <w:sz w:val="24"/>
          <w:szCs w:val="24"/>
        </w:rPr>
        <w:t xml:space="preserve">Chief Justice French </w:t>
      </w:r>
      <w:r w:rsidR="009A7179" w:rsidRPr="007B0913">
        <w:rPr>
          <w:rFonts w:ascii="Times New Roman" w:hAnsi="Times New Roman" w:cs="Times New Roman"/>
          <w:sz w:val="24"/>
          <w:szCs w:val="24"/>
        </w:rPr>
        <w:t xml:space="preserve">more or less </w:t>
      </w:r>
      <w:r w:rsidR="00F17ECA" w:rsidRPr="007B0913">
        <w:rPr>
          <w:rFonts w:ascii="Times New Roman" w:hAnsi="Times New Roman" w:cs="Times New Roman"/>
          <w:sz w:val="24"/>
          <w:szCs w:val="24"/>
        </w:rPr>
        <w:t>said so in terms</w:t>
      </w:r>
      <w:r w:rsidR="009A7179" w:rsidRPr="007B0913">
        <w:rPr>
          <w:rFonts w:ascii="Times New Roman" w:hAnsi="Times New Roman" w:cs="Times New Roman"/>
          <w:sz w:val="24"/>
          <w:szCs w:val="24"/>
        </w:rPr>
        <w:t>.</w:t>
      </w:r>
      <w:r w:rsidRPr="007B0913">
        <w:rPr>
          <w:rStyle w:val="FootnoteReference"/>
          <w:rFonts w:ascii="Times New Roman" w:hAnsi="Times New Roman" w:cs="Times New Roman"/>
          <w:sz w:val="24"/>
          <w:szCs w:val="24"/>
        </w:rPr>
        <w:footnoteReference w:id="41"/>
      </w:r>
      <w:r w:rsidR="009A7179" w:rsidRPr="007B0913">
        <w:rPr>
          <w:rFonts w:ascii="Times New Roman" w:hAnsi="Times New Roman" w:cs="Times New Roman"/>
          <w:sz w:val="24"/>
          <w:szCs w:val="24"/>
        </w:rPr>
        <w:t xml:space="preserve">  Justices</w:t>
      </w:r>
      <w:r w:rsidR="00F17ECA" w:rsidRPr="007B0913">
        <w:rPr>
          <w:rFonts w:ascii="Times New Roman" w:hAnsi="Times New Roman" w:cs="Times New Roman"/>
          <w:sz w:val="24"/>
          <w:szCs w:val="24"/>
        </w:rPr>
        <w:t xml:space="preserve"> </w:t>
      </w:r>
      <w:proofErr w:type="spellStart"/>
      <w:r w:rsidR="009A7179" w:rsidRPr="007B0913">
        <w:rPr>
          <w:rFonts w:ascii="Times New Roman" w:hAnsi="Times New Roman" w:cs="Times New Roman"/>
          <w:sz w:val="24"/>
          <w:szCs w:val="24"/>
        </w:rPr>
        <w:t>Crennan</w:t>
      </w:r>
      <w:proofErr w:type="spellEnd"/>
      <w:r w:rsidR="009A7179" w:rsidRPr="007B0913">
        <w:rPr>
          <w:rFonts w:ascii="Times New Roman" w:hAnsi="Times New Roman" w:cs="Times New Roman"/>
          <w:sz w:val="24"/>
          <w:szCs w:val="24"/>
        </w:rPr>
        <w:t xml:space="preserve"> and </w:t>
      </w:r>
      <w:proofErr w:type="spellStart"/>
      <w:r w:rsidR="009A7179" w:rsidRPr="007B0913">
        <w:rPr>
          <w:rFonts w:ascii="Times New Roman" w:hAnsi="Times New Roman" w:cs="Times New Roman"/>
          <w:sz w:val="24"/>
          <w:szCs w:val="24"/>
        </w:rPr>
        <w:t>Kiefel</w:t>
      </w:r>
      <w:proofErr w:type="spellEnd"/>
      <w:r w:rsidR="009A7179" w:rsidRPr="007B0913">
        <w:rPr>
          <w:rFonts w:ascii="Times New Roman" w:hAnsi="Times New Roman" w:cs="Times New Roman"/>
          <w:sz w:val="24"/>
          <w:szCs w:val="24"/>
        </w:rPr>
        <w:t xml:space="preserve"> </w:t>
      </w:r>
      <w:r w:rsidR="004E2E5F" w:rsidRPr="007B0913">
        <w:rPr>
          <w:rFonts w:ascii="Times New Roman" w:hAnsi="Times New Roman" w:cs="Times New Roman"/>
          <w:sz w:val="24"/>
          <w:szCs w:val="24"/>
        </w:rPr>
        <w:t xml:space="preserve">approached the problem on a seemingly similar basis.  </w:t>
      </w:r>
      <w:r w:rsidR="00FF5399" w:rsidRPr="007B0913">
        <w:rPr>
          <w:rFonts w:ascii="Times New Roman" w:hAnsi="Times New Roman" w:cs="Times New Roman"/>
          <w:sz w:val="24"/>
          <w:szCs w:val="24"/>
        </w:rPr>
        <w:t xml:space="preserve">  </w:t>
      </w:r>
    </w:p>
    <w:p w14:paraId="7BEDF071" w14:textId="4CAE834E" w:rsidR="006E4BAD" w:rsidRPr="007B0913" w:rsidRDefault="005033DE"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However, </w:t>
      </w:r>
      <w:proofErr w:type="spellStart"/>
      <w:r w:rsidR="00386EA2" w:rsidRPr="007B0913">
        <w:rPr>
          <w:rFonts w:ascii="Times New Roman" w:hAnsi="Times New Roman" w:cs="Times New Roman"/>
          <w:sz w:val="24"/>
          <w:szCs w:val="24"/>
        </w:rPr>
        <w:t>Gummow</w:t>
      </w:r>
      <w:proofErr w:type="spellEnd"/>
      <w:r w:rsidR="00386EA2" w:rsidRPr="007B0913">
        <w:rPr>
          <w:rFonts w:ascii="Times New Roman" w:hAnsi="Times New Roman" w:cs="Times New Roman"/>
          <w:sz w:val="24"/>
          <w:szCs w:val="24"/>
        </w:rPr>
        <w:t>, Hayne and Bell JJ disagreed.  Their Honours concluded, in effect, that the matters addressed in s 7(2) should be taken into account as part of the interpretive process under s 32(1), thereby giving that section, so it is said, greater scope for rights protection.</w:t>
      </w:r>
      <w:r w:rsidRPr="007B0913">
        <w:rPr>
          <w:rFonts w:ascii="Times New Roman" w:hAnsi="Times New Roman" w:cs="Times New Roman"/>
          <w:sz w:val="24"/>
          <w:szCs w:val="24"/>
        </w:rPr>
        <w:t xml:space="preserve">  </w:t>
      </w:r>
    </w:p>
    <w:p w14:paraId="552BA60D" w14:textId="20CE9F97" w:rsidR="00B90C2A" w:rsidRPr="007B0913" w:rsidRDefault="00925260"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The seventh member of the Court, </w:t>
      </w:r>
      <w:proofErr w:type="spellStart"/>
      <w:r w:rsidRPr="007B0913">
        <w:rPr>
          <w:rFonts w:ascii="Times New Roman" w:hAnsi="Times New Roman" w:cs="Times New Roman"/>
          <w:sz w:val="24"/>
          <w:szCs w:val="24"/>
        </w:rPr>
        <w:t>Heydon</w:t>
      </w:r>
      <w:proofErr w:type="spellEnd"/>
      <w:r w:rsidRPr="007B0913">
        <w:rPr>
          <w:rFonts w:ascii="Times New Roman" w:hAnsi="Times New Roman" w:cs="Times New Roman"/>
          <w:sz w:val="24"/>
          <w:szCs w:val="24"/>
        </w:rPr>
        <w:t xml:space="preserve"> J, also endorsed </w:t>
      </w:r>
      <w:r w:rsidR="00512AF2" w:rsidRPr="007B0913">
        <w:rPr>
          <w:rFonts w:ascii="Times New Roman" w:hAnsi="Times New Roman" w:cs="Times New Roman"/>
          <w:sz w:val="24"/>
          <w:szCs w:val="24"/>
        </w:rPr>
        <w:t xml:space="preserve">what might be termed </w:t>
      </w:r>
      <w:r w:rsidRPr="007B0913">
        <w:rPr>
          <w:rFonts w:ascii="Times New Roman" w:hAnsi="Times New Roman" w:cs="Times New Roman"/>
          <w:sz w:val="24"/>
          <w:szCs w:val="24"/>
        </w:rPr>
        <w:t>th</w:t>
      </w:r>
      <w:r w:rsidR="00512AF2" w:rsidRPr="007B0913">
        <w:rPr>
          <w:rFonts w:ascii="Times New Roman" w:hAnsi="Times New Roman" w:cs="Times New Roman"/>
          <w:sz w:val="24"/>
          <w:szCs w:val="24"/>
        </w:rPr>
        <w:t>is</w:t>
      </w:r>
      <w:r w:rsidRPr="007B0913">
        <w:rPr>
          <w:rFonts w:ascii="Times New Roman" w:hAnsi="Times New Roman" w:cs="Times New Roman"/>
          <w:sz w:val="24"/>
          <w:szCs w:val="24"/>
        </w:rPr>
        <w:t xml:space="preserve"> broader view of the </w:t>
      </w:r>
      <w:r w:rsidR="00512AF2" w:rsidRPr="007B0913">
        <w:rPr>
          <w:rFonts w:ascii="Times New Roman" w:hAnsi="Times New Roman" w:cs="Times New Roman"/>
          <w:sz w:val="24"/>
          <w:szCs w:val="24"/>
        </w:rPr>
        <w:t>operation of s 7(2)</w:t>
      </w:r>
      <w:r w:rsidR="00386EA2" w:rsidRPr="007B0913">
        <w:rPr>
          <w:rFonts w:ascii="Times New Roman" w:hAnsi="Times New Roman" w:cs="Times New Roman"/>
          <w:sz w:val="24"/>
          <w:szCs w:val="24"/>
        </w:rPr>
        <w:t xml:space="preserve">.  </w:t>
      </w:r>
      <w:r w:rsidR="00512AF2" w:rsidRPr="007B0913">
        <w:rPr>
          <w:rFonts w:ascii="Times New Roman" w:hAnsi="Times New Roman" w:cs="Times New Roman"/>
          <w:sz w:val="24"/>
          <w:szCs w:val="24"/>
        </w:rPr>
        <w:t>Of course</w:t>
      </w:r>
      <w:r w:rsidR="006E4BAD" w:rsidRPr="007B0913">
        <w:rPr>
          <w:rFonts w:ascii="Times New Roman" w:hAnsi="Times New Roman" w:cs="Times New Roman"/>
          <w:sz w:val="24"/>
          <w:szCs w:val="24"/>
        </w:rPr>
        <w:t xml:space="preserve">, </w:t>
      </w:r>
      <w:r w:rsidR="00386EA2" w:rsidRPr="007B0913">
        <w:rPr>
          <w:rFonts w:ascii="Times New Roman" w:hAnsi="Times New Roman" w:cs="Times New Roman"/>
          <w:sz w:val="24"/>
          <w:szCs w:val="24"/>
        </w:rPr>
        <w:t>his Honour was in dissent</w:t>
      </w:r>
      <w:r w:rsidR="009E174B" w:rsidRPr="007B0913">
        <w:rPr>
          <w:rFonts w:ascii="Times New Roman" w:hAnsi="Times New Roman" w:cs="Times New Roman"/>
          <w:sz w:val="24"/>
          <w:szCs w:val="24"/>
        </w:rPr>
        <w:t xml:space="preserve"> </w:t>
      </w:r>
      <w:r w:rsidR="00AE7949" w:rsidRPr="007B0913">
        <w:rPr>
          <w:rFonts w:ascii="Times New Roman" w:hAnsi="Times New Roman" w:cs="Times New Roman"/>
          <w:sz w:val="24"/>
          <w:szCs w:val="24"/>
        </w:rPr>
        <w:t>on</w:t>
      </w:r>
      <w:r w:rsidR="009E174B" w:rsidRPr="007B0913">
        <w:rPr>
          <w:rFonts w:ascii="Times New Roman" w:hAnsi="Times New Roman" w:cs="Times New Roman"/>
          <w:sz w:val="24"/>
          <w:szCs w:val="24"/>
        </w:rPr>
        <w:t xml:space="preserve"> virtually every issue </w:t>
      </w:r>
      <w:r w:rsidR="00AE7949" w:rsidRPr="007B0913">
        <w:rPr>
          <w:rFonts w:ascii="Times New Roman" w:hAnsi="Times New Roman" w:cs="Times New Roman"/>
          <w:sz w:val="24"/>
          <w:szCs w:val="24"/>
        </w:rPr>
        <w:t>that had to be resolved, as well as on the outcome of the case</w:t>
      </w:r>
      <w:r w:rsidR="00D56459" w:rsidRPr="007B0913">
        <w:rPr>
          <w:rFonts w:ascii="Times New Roman" w:hAnsi="Times New Roman" w:cs="Times New Roman"/>
          <w:sz w:val="24"/>
          <w:szCs w:val="24"/>
        </w:rPr>
        <w:t>.  His</w:t>
      </w:r>
      <w:r w:rsidR="009E174B" w:rsidRPr="007B0913">
        <w:rPr>
          <w:rFonts w:ascii="Times New Roman" w:hAnsi="Times New Roman" w:cs="Times New Roman"/>
          <w:sz w:val="24"/>
          <w:szCs w:val="24"/>
        </w:rPr>
        <w:t xml:space="preserve"> analysis </w:t>
      </w:r>
      <w:r w:rsidR="00A96875" w:rsidRPr="007B0913">
        <w:rPr>
          <w:rFonts w:ascii="Times New Roman" w:hAnsi="Times New Roman" w:cs="Times New Roman"/>
          <w:sz w:val="24"/>
          <w:szCs w:val="24"/>
        </w:rPr>
        <w:t xml:space="preserve">of </w:t>
      </w:r>
      <w:proofErr w:type="spellStart"/>
      <w:r w:rsidR="009E174B" w:rsidRPr="007B0913">
        <w:rPr>
          <w:rFonts w:ascii="Times New Roman" w:hAnsi="Times New Roman" w:cs="Times New Roman"/>
          <w:sz w:val="24"/>
          <w:szCs w:val="24"/>
        </w:rPr>
        <w:t>s</w:t>
      </w:r>
      <w:r w:rsidR="007F4B80" w:rsidRPr="007B0913">
        <w:rPr>
          <w:rFonts w:ascii="Times New Roman" w:hAnsi="Times New Roman" w:cs="Times New Roman"/>
          <w:sz w:val="24"/>
          <w:szCs w:val="24"/>
        </w:rPr>
        <w:t>s</w:t>
      </w:r>
      <w:proofErr w:type="spellEnd"/>
      <w:r w:rsidR="009E174B" w:rsidRPr="007B0913">
        <w:rPr>
          <w:rFonts w:ascii="Times New Roman" w:hAnsi="Times New Roman" w:cs="Times New Roman"/>
          <w:sz w:val="24"/>
          <w:szCs w:val="24"/>
        </w:rPr>
        <w:t xml:space="preserve"> 7(2) and 32(1) </w:t>
      </w:r>
      <w:r w:rsidR="00EE5D61" w:rsidRPr="007B0913">
        <w:rPr>
          <w:rFonts w:ascii="Times New Roman" w:hAnsi="Times New Roman" w:cs="Times New Roman"/>
          <w:sz w:val="24"/>
          <w:szCs w:val="24"/>
        </w:rPr>
        <w:t>formed the basis for his conclusion that</w:t>
      </w:r>
      <w:r w:rsidR="00D56459" w:rsidRPr="007B0913">
        <w:rPr>
          <w:rFonts w:ascii="Times New Roman" w:hAnsi="Times New Roman" w:cs="Times New Roman"/>
          <w:sz w:val="24"/>
          <w:szCs w:val="24"/>
        </w:rPr>
        <w:t xml:space="preserve"> those provisions, and ultimately </w:t>
      </w:r>
      <w:r w:rsidR="00EE5D61" w:rsidRPr="007B0913">
        <w:rPr>
          <w:rFonts w:ascii="Times New Roman" w:hAnsi="Times New Roman" w:cs="Times New Roman"/>
          <w:sz w:val="24"/>
          <w:szCs w:val="24"/>
        </w:rPr>
        <w:t xml:space="preserve">the </w:t>
      </w:r>
      <w:r w:rsidR="006E4BAD" w:rsidRPr="007B0913">
        <w:rPr>
          <w:rFonts w:ascii="Times New Roman" w:hAnsi="Times New Roman" w:cs="Times New Roman"/>
          <w:sz w:val="24"/>
          <w:szCs w:val="24"/>
        </w:rPr>
        <w:t xml:space="preserve">entire </w:t>
      </w:r>
      <w:r w:rsidR="00EE5D61" w:rsidRPr="007B0913">
        <w:rPr>
          <w:rFonts w:ascii="Times New Roman" w:hAnsi="Times New Roman" w:cs="Times New Roman"/>
          <w:sz w:val="24"/>
          <w:szCs w:val="24"/>
        </w:rPr>
        <w:t>Charter</w:t>
      </w:r>
      <w:r w:rsidR="00A96875" w:rsidRPr="007B0913">
        <w:rPr>
          <w:rFonts w:ascii="Times New Roman" w:hAnsi="Times New Roman" w:cs="Times New Roman"/>
          <w:sz w:val="24"/>
          <w:szCs w:val="24"/>
        </w:rPr>
        <w:t>,</w:t>
      </w:r>
      <w:r w:rsidR="00D56459" w:rsidRPr="007B0913">
        <w:rPr>
          <w:rFonts w:ascii="Times New Roman" w:hAnsi="Times New Roman" w:cs="Times New Roman"/>
          <w:sz w:val="24"/>
          <w:szCs w:val="24"/>
        </w:rPr>
        <w:t xml:space="preserve"> were </w:t>
      </w:r>
      <w:r w:rsidR="006E4BAD" w:rsidRPr="007B0913">
        <w:rPr>
          <w:rFonts w:ascii="Times New Roman" w:hAnsi="Times New Roman" w:cs="Times New Roman"/>
          <w:sz w:val="24"/>
          <w:szCs w:val="24"/>
        </w:rPr>
        <w:t>unconstitutional</w:t>
      </w:r>
      <w:r w:rsidR="00EE5D61" w:rsidRPr="007B0913">
        <w:rPr>
          <w:rFonts w:ascii="Times New Roman" w:hAnsi="Times New Roman" w:cs="Times New Roman"/>
          <w:sz w:val="24"/>
          <w:szCs w:val="24"/>
        </w:rPr>
        <w:t>, a finding that he alone reached</w:t>
      </w:r>
      <w:r w:rsidR="006E4BAD" w:rsidRPr="007B0913">
        <w:rPr>
          <w:rFonts w:ascii="Times New Roman" w:hAnsi="Times New Roman" w:cs="Times New Roman"/>
          <w:sz w:val="24"/>
          <w:szCs w:val="24"/>
        </w:rPr>
        <w:t>.</w:t>
      </w:r>
      <w:r w:rsidR="00190D36" w:rsidRPr="007B0913">
        <w:rPr>
          <w:rStyle w:val="FootnoteReference"/>
          <w:rFonts w:ascii="Times New Roman" w:hAnsi="Times New Roman" w:cs="Times New Roman"/>
          <w:sz w:val="24"/>
          <w:szCs w:val="24"/>
        </w:rPr>
        <w:footnoteReference w:id="42"/>
      </w:r>
      <w:r w:rsidR="006E4BAD" w:rsidRPr="007B0913">
        <w:rPr>
          <w:rFonts w:ascii="Times New Roman" w:hAnsi="Times New Roman" w:cs="Times New Roman"/>
          <w:sz w:val="24"/>
          <w:szCs w:val="24"/>
        </w:rPr>
        <w:t xml:space="preserve">  </w:t>
      </w:r>
    </w:p>
    <w:p w14:paraId="1B4723FF" w14:textId="02475D2F" w:rsidR="00881434" w:rsidRPr="007B0913" w:rsidRDefault="00881434"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The </w:t>
      </w:r>
      <w:r w:rsidR="00925260" w:rsidRPr="007B0913">
        <w:rPr>
          <w:rFonts w:ascii="Times New Roman" w:hAnsi="Times New Roman" w:cs="Times New Roman"/>
          <w:sz w:val="24"/>
          <w:szCs w:val="24"/>
        </w:rPr>
        <w:t>High Court</w:t>
      </w:r>
      <w:r w:rsidRPr="007B0913">
        <w:rPr>
          <w:rFonts w:ascii="Times New Roman" w:hAnsi="Times New Roman" w:cs="Times New Roman"/>
          <w:sz w:val="24"/>
          <w:szCs w:val="24"/>
        </w:rPr>
        <w:t xml:space="preserve">’s decision in </w:t>
      </w:r>
      <w:proofErr w:type="spellStart"/>
      <w:r w:rsidRPr="007B0913">
        <w:rPr>
          <w:rFonts w:ascii="Times New Roman" w:hAnsi="Times New Roman" w:cs="Times New Roman"/>
          <w:i/>
          <w:sz w:val="24"/>
          <w:szCs w:val="24"/>
        </w:rPr>
        <w:t>Momcilovic</w:t>
      </w:r>
      <w:proofErr w:type="spellEnd"/>
      <w:r w:rsidRPr="007B0913">
        <w:rPr>
          <w:rFonts w:ascii="Times New Roman" w:hAnsi="Times New Roman" w:cs="Times New Roman"/>
          <w:sz w:val="24"/>
          <w:szCs w:val="24"/>
        </w:rPr>
        <w:t xml:space="preserve"> can be read as either an endorsement of the V</w:t>
      </w:r>
      <w:r w:rsidR="00925260" w:rsidRPr="007B0913">
        <w:rPr>
          <w:rFonts w:ascii="Times New Roman" w:hAnsi="Times New Roman" w:cs="Times New Roman"/>
          <w:sz w:val="24"/>
          <w:szCs w:val="24"/>
        </w:rPr>
        <w:t>ictorian Court of Appeal</w:t>
      </w:r>
      <w:r w:rsidRPr="007B0913">
        <w:rPr>
          <w:rFonts w:ascii="Times New Roman" w:hAnsi="Times New Roman" w:cs="Times New Roman"/>
          <w:sz w:val="24"/>
          <w:szCs w:val="24"/>
        </w:rPr>
        <w:t>’s reasoning</w:t>
      </w:r>
      <w:r w:rsidR="00925260" w:rsidRPr="007B0913">
        <w:rPr>
          <w:rFonts w:ascii="Times New Roman" w:hAnsi="Times New Roman" w:cs="Times New Roman"/>
          <w:sz w:val="24"/>
          <w:szCs w:val="24"/>
        </w:rPr>
        <w:t xml:space="preserve"> on</w:t>
      </w:r>
      <w:r w:rsidR="00B90C2A" w:rsidRPr="007B0913">
        <w:rPr>
          <w:rFonts w:ascii="Times New Roman" w:hAnsi="Times New Roman" w:cs="Times New Roman"/>
          <w:sz w:val="24"/>
          <w:szCs w:val="24"/>
        </w:rPr>
        <w:t xml:space="preserve"> the interpretive aspect </w:t>
      </w:r>
      <w:r w:rsidR="00925260" w:rsidRPr="007B0913">
        <w:rPr>
          <w:rFonts w:ascii="Times New Roman" w:hAnsi="Times New Roman" w:cs="Times New Roman"/>
          <w:sz w:val="24"/>
          <w:szCs w:val="24"/>
        </w:rPr>
        <w:t>of the Charter</w:t>
      </w:r>
      <w:r w:rsidRPr="007B0913">
        <w:rPr>
          <w:rFonts w:ascii="Times New Roman" w:hAnsi="Times New Roman" w:cs="Times New Roman"/>
          <w:sz w:val="24"/>
          <w:szCs w:val="24"/>
        </w:rPr>
        <w:t>, or as a rejection of that reasoning</w:t>
      </w:r>
      <w:r w:rsidR="00CF54AA" w:rsidRPr="007B0913">
        <w:rPr>
          <w:rFonts w:ascii="Times New Roman" w:hAnsi="Times New Roman" w:cs="Times New Roman"/>
          <w:sz w:val="24"/>
          <w:szCs w:val="24"/>
        </w:rPr>
        <w:t xml:space="preserve">.  </w:t>
      </w:r>
      <w:r w:rsidRPr="007B0913">
        <w:rPr>
          <w:rFonts w:ascii="Times New Roman" w:hAnsi="Times New Roman" w:cs="Times New Roman"/>
          <w:sz w:val="24"/>
          <w:szCs w:val="24"/>
        </w:rPr>
        <w:t xml:space="preserve">The question resolves itself into whether </w:t>
      </w:r>
      <w:r w:rsidR="00894112" w:rsidRPr="007B0913">
        <w:rPr>
          <w:rFonts w:ascii="Times New Roman" w:hAnsi="Times New Roman" w:cs="Times New Roman"/>
          <w:sz w:val="24"/>
          <w:szCs w:val="24"/>
        </w:rPr>
        <w:t>it is correct</w:t>
      </w:r>
      <w:r w:rsidR="00E21745" w:rsidRPr="007B0913">
        <w:rPr>
          <w:rFonts w:ascii="Times New Roman" w:hAnsi="Times New Roman" w:cs="Times New Roman"/>
          <w:sz w:val="24"/>
          <w:szCs w:val="24"/>
        </w:rPr>
        <w:t>, strictly speaking,</w:t>
      </w:r>
      <w:r w:rsidR="00894112" w:rsidRPr="007B0913">
        <w:rPr>
          <w:rFonts w:ascii="Times New Roman" w:hAnsi="Times New Roman" w:cs="Times New Roman"/>
          <w:sz w:val="24"/>
          <w:szCs w:val="24"/>
        </w:rPr>
        <w:t xml:space="preserve"> to treat the </w:t>
      </w:r>
      <w:r w:rsidR="00F26316" w:rsidRPr="007B0913">
        <w:rPr>
          <w:rFonts w:ascii="Times New Roman" w:hAnsi="Times New Roman" w:cs="Times New Roman"/>
          <w:sz w:val="24"/>
          <w:szCs w:val="24"/>
        </w:rPr>
        <w:t xml:space="preserve">observations of </w:t>
      </w:r>
      <w:proofErr w:type="spellStart"/>
      <w:r w:rsidRPr="007B0913">
        <w:rPr>
          <w:rFonts w:ascii="Times New Roman" w:hAnsi="Times New Roman" w:cs="Times New Roman"/>
          <w:sz w:val="24"/>
          <w:szCs w:val="24"/>
        </w:rPr>
        <w:t>Heydon</w:t>
      </w:r>
      <w:proofErr w:type="spellEnd"/>
      <w:r w:rsidRPr="007B0913">
        <w:rPr>
          <w:rFonts w:ascii="Times New Roman" w:hAnsi="Times New Roman" w:cs="Times New Roman"/>
          <w:sz w:val="24"/>
          <w:szCs w:val="24"/>
        </w:rPr>
        <w:t xml:space="preserve"> J, </w:t>
      </w:r>
      <w:r w:rsidR="00F26316" w:rsidRPr="007B0913">
        <w:rPr>
          <w:rFonts w:ascii="Times New Roman" w:hAnsi="Times New Roman" w:cs="Times New Roman"/>
          <w:sz w:val="24"/>
          <w:szCs w:val="24"/>
        </w:rPr>
        <w:t>a dissenting judge</w:t>
      </w:r>
      <w:r w:rsidRPr="007B0913">
        <w:rPr>
          <w:rFonts w:ascii="Times New Roman" w:hAnsi="Times New Roman" w:cs="Times New Roman"/>
          <w:sz w:val="24"/>
          <w:szCs w:val="24"/>
        </w:rPr>
        <w:t>,</w:t>
      </w:r>
      <w:r w:rsidR="00F26316" w:rsidRPr="007B0913">
        <w:rPr>
          <w:rFonts w:ascii="Times New Roman" w:hAnsi="Times New Roman" w:cs="Times New Roman"/>
          <w:sz w:val="24"/>
          <w:szCs w:val="24"/>
        </w:rPr>
        <w:t xml:space="preserve"> </w:t>
      </w:r>
      <w:r w:rsidRPr="007B0913">
        <w:rPr>
          <w:rFonts w:ascii="Times New Roman" w:hAnsi="Times New Roman" w:cs="Times New Roman"/>
          <w:sz w:val="24"/>
          <w:szCs w:val="24"/>
        </w:rPr>
        <w:t xml:space="preserve">regarding this issue as </w:t>
      </w:r>
      <w:r w:rsidR="00665ED9" w:rsidRPr="007B0913">
        <w:rPr>
          <w:rFonts w:ascii="Times New Roman" w:hAnsi="Times New Roman" w:cs="Times New Roman"/>
          <w:sz w:val="24"/>
          <w:szCs w:val="24"/>
        </w:rPr>
        <w:t xml:space="preserve">forming </w:t>
      </w:r>
      <w:r w:rsidR="00F26316" w:rsidRPr="007B0913">
        <w:rPr>
          <w:rFonts w:ascii="Times New Roman" w:hAnsi="Times New Roman" w:cs="Times New Roman"/>
          <w:sz w:val="24"/>
          <w:szCs w:val="24"/>
        </w:rPr>
        <w:t xml:space="preserve">part of the ratio of </w:t>
      </w:r>
      <w:r w:rsidRPr="007B0913">
        <w:rPr>
          <w:rFonts w:ascii="Times New Roman" w:hAnsi="Times New Roman" w:cs="Times New Roman"/>
          <w:sz w:val="24"/>
          <w:szCs w:val="24"/>
        </w:rPr>
        <w:t>the</w:t>
      </w:r>
      <w:r w:rsidR="00F26316" w:rsidRPr="007B0913">
        <w:rPr>
          <w:rFonts w:ascii="Times New Roman" w:hAnsi="Times New Roman" w:cs="Times New Roman"/>
          <w:sz w:val="24"/>
          <w:szCs w:val="24"/>
        </w:rPr>
        <w:t xml:space="preserve"> High Court</w:t>
      </w:r>
      <w:r w:rsidRPr="007B0913">
        <w:rPr>
          <w:rFonts w:ascii="Times New Roman" w:hAnsi="Times New Roman" w:cs="Times New Roman"/>
          <w:sz w:val="24"/>
          <w:szCs w:val="24"/>
        </w:rPr>
        <w:t>’s</w:t>
      </w:r>
      <w:r w:rsidR="00F26316" w:rsidRPr="007B0913">
        <w:rPr>
          <w:rFonts w:ascii="Times New Roman" w:hAnsi="Times New Roman" w:cs="Times New Roman"/>
          <w:sz w:val="24"/>
          <w:szCs w:val="24"/>
        </w:rPr>
        <w:t xml:space="preserve"> decision</w:t>
      </w:r>
      <w:r w:rsidRPr="007B0913">
        <w:rPr>
          <w:rFonts w:ascii="Times New Roman" w:hAnsi="Times New Roman" w:cs="Times New Roman"/>
          <w:sz w:val="24"/>
          <w:szCs w:val="24"/>
        </w:rPr>
        <w:t xml:space="preserve"> as to the section 7(2) question.  </w:t>
      </w:r>
      <w:r w:rsidR="005325BB" w:rsidRPr="007B0913">
        <w:rPr>
          <w:rFonts w:ascii="Times New Roman" w:hAnsi="Times New Roman" w:cs="Times New Roman"/>
          <w:sz w:val="24"/>
          <w:szCs w:val="24"/>
        </w:rPr>
        <w:t>I think that t</w:t>
      </w:r>
      <w:r w:rsidRPr="007B0913">
        <w:rPr>
          <w:rFonts w:ascii="Times New Roman" w:hAnsi="Times New Roman" w:cs="Times New Roman"/>
          <w:sz w:val="24"/>
          <w:szCs w:val="24"/>
        </w:rPr>
        <w:t xml:space="preserve">he better view is that it is not appropriate to do so.  However, it remains the case that four members of the High Court expressed disagreement with the approach taken to this issue by the Court of Appeal.  </w:t>
      </w:r>
    </w:p>
    <w:p w14:paraId="2EA0A981" w14:textId="32FE6046" w:rsidR="008B6D47" w:rsidRPr="007B0913" w:rsidRDefault="00881434"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lastRenderedPageBreak/>
        <w:t>C</w:t>
      </w:r>
      <w:r w:rsidR="00F26316" w:rsidRPr="007B0913">
        <w:rPr>
          <w:rFonts w:ascii="Times New Roman" w:hAnsi="Times New Roman" w:cs="Times New Roman"/>
          <w:sz w:val="24"/>
          <w:szCs w:val="24"/>
        </w:rPr>
        <w:t xml:space="preserve">ertainly, </w:t>
      </w:r>
      <w:r w:rsidRPr="007B0913">
        <w:rPr>
          <w:rFonts w:ascii="Times New Roman" w:hAnsi="Times New Roman" w:cs="Times New Roman"/>
          <w:sz w:val="24"/>
          <w:szCs w:val="24"/>
        </w:rPr>
        <w:t>t</w:t>
      </w:r>
      <w:r w:rsidR="00D71593" w:rsidRPr="007B0913">
        <w:rPr>
          <w:rFonts w:ascii="Times New Roman" w:hAnsi="Times New Roman" w:cs="Times New Roman"/>
          <w:sz w:val="24"/>
          <w:szCs w:val="24"/>
        </w:rPr>
        <w:t>he Victorian Court of Appeal has</w:t>
      </w:r>
      <w:r w:rsidR="00D82300" w:rsidRPr="007B0913">
        <w:rPr>
          <w:rFonts w:ascii="Times New Roman" w:hAnsi="Times New Roman" w:cs="Times New Roman"/>
          <w:sz w:val="24"/>
          <w:szCs w:val="24"/>
        </w:rPr>
        <w:t xml:space="preserve"> had cause to query whether it is to continue</w:t>
      </w:r>
      <w:r w:rsidR="00D71593" w:rsidRPr="007B0913">
        <w:rPr>
          <w:rFonts w:ascii="Times New Roman" w:hAnsi="Times New Roman" w:cs="Times New Roman"/>
          <w:sz w:val="24"/>
          <w:szCs w:val="24"/>
        </w:rPr>
        <w:t xml:space="preserve"> to apply</w:t>
      </w:r>
      <w:r w:rsidR="00665ED9" w:rsidRPr="007B0913">
        <w:rPr>
          <w:rFonts w:ascii="Times New Roman" w:hAnsi="Times New Roman" w:cs="Times New Roman"/>
          <w:sz w:val="24"/>
          <w:szCs w:val="24"/>
        </w:rPr>
        <w:t xml:space="preserve"> </w:t>
      </w:r>
      <w:r w:rsidR="0069221E" w:rsidRPr="007B0913">
        <w:rPr>
          <w:rFonts w:ascii="Times New Roman" w:hAnsi="Times New Roman" w:cs="Times New Roman"/>
          <w:sz w:val="24"/>
          <w:szCs w:val="24"/>
        </w:rPr>
        <w:t>its own</w:t>
      </w:r>
      <w:r w:rsidR="00665ED9" w:rsidRPr="007B0913">
        <w:rPr>
          <w:rFonts w:ascii="Times New Roman" w:hAnsi="Times New Roman" w:cs="Times New Roman"/>
          <w:sz w:val="24"/>
          <w:szCs w:val="24"/>
        </w:rPr>
        <w:t xml:space="preserve"> reasoning</w:t>
      </w:r>
      <w:r w:rsidR="004101C2" w:rsidRPr="007B0913">
        <w:rPr>
          <w:rFonts w:ascii="Times New Roman" w:hAnsi="Times New Roman" w:cs="Times New Roman"/>
          <w:sz w:val="24"/>
          <w:szCs w:val="24"/>
        </w:rPr>
        <w:t xml:space="preserve"> in respect of the relationship between </w:t>
      </w:r>
      <w:proofErr w:type="spellStart"/>
      <w:r w:rsidR="004101C2" w:rsidRPr="007B0913">
        <w:rPr>
          <w:rFonts w:ascii="Times New Roman" w:hAnsi="Times New Roman" w:cs="Times New Roman"/>
          <w:sz w:val="24"/>
          <w:szCs w:val="24"/>
        </w:rPr>
        <w:t>ss</w:t>
      </w:r>
      <w:proofErr w:type="spellEnd"/>
      <w:r w:rsidR="004101C2" w:rsidRPr="007B0913">
        <w:rPr>
          <w:rFonts w:ascii="Times New Roman" w:hAnsi="Times New Roman" w:cs="Times New Roman"/>
          <w:sz w:val="24"/>
          <w:szCs w:val="24"/>
        </w:rPr>
        <w:t xml:space="preserve"> 7(2) and 32(1)</w:t>
      </w:r>
      <w:r w:rsidR="00D82300" w:rsidRPr="007B0913">
        <w:rPr>
          <w:rFonts w:ascii="Times New Roman" w:hAnsi="Times New Roman" w:cs="Times New Roman"/>
          <w:sz w:val="24"/>
          <w:szCs w:val="24"/>
        </w:rPr>
        <w:t>,</w:t>
      </w:r>
      <w:r w:rsidR="00665ED9" w:rsidRPr="007B0913">
        <w:rPr>
          <w:rFonts w:ascii="Times New Roman" w:hAnsi="Times New Roman" w:cs="Times New Roman"/>
          <w:sz w:val="24"/>
          <w:szCs w:val="24"/>
        </w:rPr>
        <w:t xml:space="preserve"> </w:t>
      </w:r>
      <w:r w:rsidRPr="007B0913">
        <w:rPr>
          <w:rFonts w:ascii="Times New Roman" w:hAnsi="Times New Roman" w:cs="Times New Roman"/>
          <w:sz w:val="24"/>
          <w:szCs w:val="24"/>
        </w:rPr>
        <w:t>in</w:t>
      </w:r>
      <w:r w:rsidR="009D5AE5" w:rsidRPr="007B0913">
        <w:rPr>
          <w:rFonts w:ascii="Times New Roman" w:hAnsi="Times New Roman" w:cs="Times New Roman"/>
          <w:sz w:val="24"/>
          <w:szCs w:val="24"/>
        </w:rPr>
        <w:t xml:space="preserve"> preference to the </w:t>
      </w:r>
      <w:r w:rsidRPr="007B0913">
        <w:rPr>
          <w:rFonts w:ascii="Times New Roman" w:hAnsi="Times New Roman" w:cs="Times New Roman"/>
          <w:sz w:val="24"/>
          <w:szCs w:val="24"/>
        </w:rPr>
        <w:t>broader approach seemingly favoured b</w:t>
      </w:r>
      <w:r w:rsidR="0069221E" w:rsidRPr="007B0913">
        <w:rPr>
          <w:rFonts w:ascii="Times New Roman" w:hAnsi="Times New Roman" w:cs="Times New Roman"/>
          <w:sz w:val="24"/>
          <w:szCs w:val="24"/>
        </w:rPr>
        <w:t>y</w:t>
      </w:r>
      <w:r w:rsidR="00767760" w:rsidRPr="007B0913">
        <w:rPr>
          <w:rFonts w:ascii="Times New Roman" w:hAnsi="Times New Roman" w:cs="Times New Roman"/>
          <w:sz w:val="24"/>
          <w:szCs w:val="24"/>
        </w:rPr>
        <w:t xml:space="preserve"> four members of the High Court</w:t>
      </w:r>
      <w:r w:rsidR="00D82300" w:rsidRPr="007B0913">
        <w:rPr>
          <w:rFonts w:ascii="Times New Roman" w:hAnsi="Times New Roman" w:cs="Times New Roman"/>
          <w:sz w:val="24"/>
          <w:szCs w:val="24"/>
        </w:rPr>
        <w:t xml:space="preserve"> in </w:t>
      </w:r>
      <w:proofErr w:type="spellStart"/>
      <w:r w:rsidR="00D82300" w:rsidRPr="007B0913">
        <w:rPr>
          <w:rFonts w:ascii="Times New Roman" w:hAnsi="Times New Roman" w:cs="Times New Roman"/>
          <w:i/>
          <w:sz w:val="24"/>
          <w:szCs w:val="24"/>
        </w:rPr>
        <w:t>Momcilovic</w:t>
      </w:r>
      <w:proofErr w:type="spellEnd"/>
      <w:r w:rsidR="00767760" w:rsidRPr="007B0913">
        <w:rPr>
          <w:rFonts w:ascii="Times New Roman" w:hAnsi="Times New Roman" w:cs="Times New Roman"/>
          <w:sz w:val="24"/>
          <w:szCs w:val="24"/>
        </w:rPr>
        <w:t>.</w:t>
      </w:r>
    </w:p>
    <w:p w14:paraId="16D2D1BF" w14:textId="1754167A" w:rsidR="00194DE2" w:rsidRPr="007B0913" w:rsidRDefault="00114990"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In </w:t>
      </w:r>
      <w:proofErr w:type="spellStart"/>
      <w:r w:rsidRPr="007B0913">
        <w:rPr>
          <w:rFonts w:ascii="Times New Roman" w:hAnsi="Times New Roman" w:cs="Times New Roman"/>
          <w:i/>
          <w:sz w:val="24"/>
          <w:szCs w:val="24"/>
        </w:rPr>
        <w:t>Sl</w:t>
      </w:r>
      <w:r w:rsidR="00B87B17" w:rsidRPr="007B0913">
        <w:rPr>
          <w:rFonts w:ascii="Times New Roman" w:hAnsi="Times New Roman" w:cs="Times New Roman"/>
          <w:i/>
          <w:sz w:val="24"/>
          <w:szCs w:val="24"/>
        </w:rPr>
        <w:t>a</w:t>
      </w:r>
      <w:r w:rsidRPr="007B0913">
        <w:rPr>
          <w:rFonts w:ascii="Times New Roman" w:hAnsi="Times New Roman" w:cs="Times New Roman"/>
          <w:i/>
          <w:sz w:val="24"/>
          <w:szCs w:val="24"/>
        </w:rPr>
        <w:t>veski</w:t>
      </w:r>
      <w:proofErr w:type="spellEnd"/>
      <w:r w:rsidRPr="007B0913">
        <w:rPr>
          <w:rFonts w:ascii="Times New Roman" w:hAnsi="Times New Roman" w:cs="Times New Roman"/>
          <w:i/>
          <w:sz w:val="24"/>
          <w:szCs w:val="24"/>
        </w:rPr>
        <w:t xml:space="preserve"> v Smith</w:t>
      </w:r>
      <w:r w:rsidR="006B2613" w:rsidRPr="007B0913">
        <w:rPr>
          <w:rFonts w:ascii="Times New Roman" w:hAnsi="Times New Roman" w:cs="Times New Roman"/>
          <w:i/>
          <w:sz w:val="24"/>
          <w:szCs w:val="24"/>
        </w:rPr>
        <w:t>,</w:t>
      </w:r>
      <w:r w:rsidR="005F1D61" w:rsidRPr="007B0913">
        <w:rPr>
          <w:rStyle w:val="FootnoteReference"/>
          <w:rFonts w:ascii="Times New Roman" w:hAnsi="Times New Roman" w:cs="Times New Roman"/>
          <w:sz w:val="24"/>
          <w:szCs w:val="24"/>
        </w:rPr>
        <w:footnoteReference w:id="43"/>
      </w:r>
      <w:r w:rsidR="006447F8" w:rsidRPr="007B0913">
        <w:rPr>
          <w:rFonts w:ascii="Times New Roman" w:hAnsi="Times New Roman" w:cs="Times New Roman"/>
          <w:sz w:val="24"/>
          <w:szCs w:val="24"/>
        </w:rPr>
        <w:t xml:space="preserve"> Warren CJ, Nettle and </w:t>
      </w:r>
      <w:proofErr w:type="spellStart"/>
      <w:r w:rsidR="006447F8" w:rsidRPr="007B0913">
        <w:rPr>
          <w:rFonts w:ascii="Times New Roman" w:hAnsi="Times New Roman" w:cs="Times New Roman"/>
          <w:sz w:val="24"/>
          <w:szCs w:val="24"/>
        </w:rPr>
        <w:t>Reclich</w:t>
      </w:r>
      <w:proofErr w:type="spellEnd"/>
      <w:r w:rsidR="006447F8" w:rsidRPr="007B0913">
        <w:rPr>
          <w:rFonts w:ascii="Times New Roman" w:hAnsi="Times New Roman" w:cs="Times New Roman"/>
          <w:sz w:val="24"/>
          <w:szCs w:val="24"/>
        </w:rPr>
        <w:t xml:space="preserve"> JJA </w:t>
      </w:r>
      <w:r w:rsidR="00BF4839" w:rsidRPr="007B0913">
        <w:rPr>
          <w:rFonts w:ascii="Times New Roman" w:hAnsi="Times New Roman" w:cs="Times New Roman"/>
          <w:sz w:val="24"/>
          <w:szCs w:val="24"/>
        </w:rPr>
        <w:t xml:space="preserve">considered </w:t>
      </w:r>
      <w:r w:rsidRPr="007B0913">
        <w:rPr>
          <w:rFonts w:ascii="Times New Roman" w:hAnsi="Times New Roman" w:cs="Times New Roman"/>
          <w:sz w:val="24"/>
          <w:szCs w:val="24"/>
        </w:rPr>
        <w:t>that</w:t>
      </w:r>
      <w:r w:rsidR="00881434" w:rsidRPr="007B0913">
        <w:rPr>
          <w:rFonts w:ascii="Times New Roman" w:hAnsi="Times New Roman" w:cs="Times New Roman"/>
          <w:sz w:val="24"/>
          <w:szCs w:val="24"/>
        </w:rPr>
        <w:t xml:space="preserve"> </w:t>
      </w:r>
      <w:r w:rsidRPr="007B0913">
        <w:rPr>
          <w:rFonts w:ascii="Times New Roman" w:hAnsi="Times New Roman" w:cs="Times New Roman"/>
          <w:sz w:val="24"/>
          <w:szCs w:val="24"/>
        </w:rPr>
        <w:t>it was ‘unnecessary to decide whether</w:t>
      </w:r>
      <w:r w:rsidR="00B45DA8" w:rsidRPr="007B0913">
        <w:rPr>
          <w:rFonts w:ascii="Times New Roman" w:hAnsi="Times New Roman" w:cs="Times New Roman"/>
          <w:sz w:val="24"/>
          <w:szCs w:val="24"/>
        </w:rPr>
        <w:t xml:space="preserve"> …</w:t>
      </w:r>
      <w:r w:rsidRPr="007B0913">
        <w:rPr>
          <w:rFonts w:ascii="Times New Roman" w:hAnsi="Times New Roman" w:cs="Times New Roman"/>
          <w:sz w:val="24"/>
          <w:szCs w:val="24"/>
        </w:rPr>
        <w:t xml:space="preserve"> </w:t>
      </w:r>
      <w:r w:rsidR="00194DE2" w:rsidRPr="007B0913">
        <w:rPr>
          <w:rFonts w:ascii="Times New Roman" w:hAnsi="Times New Roman" w:cs="Times New Roman"/>
          <w:sz w:val="24"/>
          <w:szCs w:val="24"/>
        </w:rPr>
        <w:t>the Court of Appeal [was]</w:t>
      </w:r>
      <w:r w:rsidRPr="007B0913">
        <w:rPr>
          <w:rFonts w:ascii="Times New Roman" w:hAnsi="Times New Roman" w:cs="Times New Roman"/>
          <w:sz w:val="24"/>
          <w:szCs w:val="24"/>
        </w:rPr>
        <w:t xml:space="preserve"> bound to follow its own decision in </w:t>
      </w:r>
      <w:proofErr w:type="spellStart"/>
      <w:r w:rsidRPr="007B0913">
        <w:rPr>
          <w:rFonts w:ascii="Times New Roman" w:hAnsi="Times New Roman" w:cs="Times New Roman"/>
          <w:i/>
          <w:sz w:val="24"/>
          <w:szCs w:val="24"/>
        </w:rPr>
        <w:t>Momcilovic</w:t>
      </w:r>
      <w:proofErr w:type="spellEnd"/>
      <w:r w:rsidRPr="007B0913">
        <w:rPr>
          <w:rFonts w:ascii="Times New Roman" w:hAnsi="Times New Roman" w:cs="Times New Roman"/>
          <w:sz w:val="24"/>
          <w:szCs w:val="24"/>
        </w:rPr>
        <w:t xml:space="preserve"> unless satisfied that it is clearly wrong’</w:t>
      </w:r>
      <w:r w:rsidR="00BF4839" w:rsidRPr="007B0913">
        <w:rPr>
          <w:rFonts w:ascii="Times New Roman" w:hAnsi="Times New Roman" w:cs="Times New Roman"/>
          <w:sz w:val="24"/>
          <w:szCs w:val="24"/>
        </w:rPr>
        <w:t>.</w:t>
      </w:r>
      <w:r w:rsidR="00BF4839" w:rsidRPr="007B0913">
        <w:rPr>
          <w:rStyle w:val="FootnoteReference"/>
          <w:rFonts w:ascii="Times New Roman" w:hAnsi="Times New Roman" w:cs="Times New Roman"/>
          <w:sz w:val="24"/>
          <w:szCs w:val="24"/>
        </w:rPr>
        <w:footnoteReference w:id="44"/>
      </w:r>
      <w:r w:rsidRPr="007B0913">
        <w:rPr>
          <w:rFonts w:ascii="Times New Roman" w:hAnsi="Times New Roman" w:cs="Times New Roman"/>
          <w:sz w:val="24"/>
          <w:szCs w:val="24"/>
        </w:rPr>
        <w:t xml:space="preserve">  </w:t>
      </w:r>
    </w:p>
    <w:p w14:paraId="6DCE3295" w14:textId="7D8FC19C" w:rsidR="000A4323" w:rsidRPr="007B0913" w:rsidRDefault="00114990"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In </w:t>
      </w:r>
      <w:proofErr w:type="spellStart"/>
      <w:r w:rsidRPr="007B0913">
        <w:rPr>
          <w:rFonts w:ascii="Times New Roman" w:hAnsi="Times New Roman" w:cs="Times New Roman"/>
          <w:i/>
          <w:sz w:val="24"/>
          <w:szCs w:val="24"/>
        </w:rPr>
        <w:t>Noone</w:t>
      </w:r>
      <w:proofErr w:type="spellEnd"/>
      <w:r w:rsidRPr="007B0913">
        <w:rPr>
          <w:rFonts w:ascii="Times New Roman" w:hAnsi="Times New Roman" w:cs="Times New Roman"/>
          <w:i/>
          <w:sz w:val="24"/>
          <w:szCs w:val="24"/>
        </w:rPr>
        <w:t xml:space="preserve"> (Director of Consumer Affairs Victoria) v Operation Smile (</w:t>
      </w:r>
      <w:proofErr w:type="spellStart"/>
      <w:r w:rsidRPr="007B0913">
        <w:rPr>
          <w:rFonts w:ascii="Times New Roman" w:hAnsi="Times New Roman" w:cs="Times New Roman"/>
          <w:i/>
          <w:sz w:val="24"/>
          <w:szCs w:val="24"/>
        </w:rPr>
        <w:t>Aus</w:t>
      </w:r>
      <w:r w:rsidR="00725228" w:rsidRPr="007B0913">
        <w:rPr>
          <w:rFonts w:ascii="Times New Roman" w:hAnsi="Times New Roman" w:cs="Times New Roman"/>
          <w:i/>
          <w:sz w:val="24"/>
          <w:szCs w:val="24"/>
        </w:rPr>
        <w:t>t</w:t>
      </w:r>
      <w:proofErr w:type="spellEnd"/>
      <w:r w:rsidRPr="007B0913">
        <w:rPr>
          <w:rFonts w:ascii="Times New Roman" w:hAnsi="Times New Roman" w:cs="Times New Roman"/>
          <w:i/>
          <w:sz w:val="24"/>
          <w:szCs w:val="24"/>
        </w:rPr>
        <w:t xml:space="preserve">) </w:t>
      </w:r>
      <w:proofErr w:type="spellStart"/>
      <w:r w:rsidRPr="007B0913">
        <w:rPr>
          <w:rFonts w:ascii="Times New Roman" w:hAnsi="Times New Roman" w:cs="Times New Roman"/>
          <w:i/>
          <w:sz w:val="24"/>
          <w:szCs w:val="24"/>
        </w:rPr>
        <w:t>Inc</w:t>
      </w:r>
      <w:proofErr w:type="spellEnd"/>
      <w:r w:rsidRPr="007B0913">
        <w:rPr>
          <w:rFonts w:ascii="Times New Roman" w:hAnsi="Times New Roman" w:cs="Times New Roman"/>
          <w:i/>
          <w:sz w:val="24"/>
          <w:szCs w:val="24"/>
        </w:rPr>
        <w:t>,</w:t>
      </w:r>
      <w:r w:rsidR="00D87065" w:rsidRPr="007B0913">
        <w:rPr>
          <w:rStyle w:val="FootnoteReference"/>
          <w:rFonts w:ascii="Times New Roman" w:hAnsi="Times New Roman" w:cs="Times New Roman"/>
          <w:sz w:val="24"/>
          <w:szCs w:val="24"/>
        </w:rPr>
        <w:footnoteReference w:id="45"/>
      </w:r>
      <w:r w:rsidRPr="007B0913">
        <w:rPr>
          <w:rFonts w:ascii="Times New Roman" w:hAnsi="Times New Roman" w:cs="Times New Roman"/>
          <w:i/>
          <w:sz w:val="24"/>
          <w:szCs w:val="24"/>
        </w:rPr>
        <w:t xml:space="preserve"> </w:t>
      </w:r>
      <w:r w:rsidRPr="007B0913">
        <w:rPr>
          <w:rFonts w:ascii="Times New Roman" w:hAnsi="Times New Roman" w:cs="Times New Roman"/>
          <w:sz w:val="24"/>
          <w:szCs w:val="24"/>
        </w:rPr>
        <w:t xml:space="preserve">Warren CJ and </w:t>
      </w:r>
      <w:proofErr w:type="spellStart"/>
      <w:r w:rsidRPr="007B0913">
        <w:rPr>
          <w:rFonts w:ascii="Times New Roman" w:hAnsi="Times New Roman" w:cs="Times New Roman"/>
          <w:sz w:val="24"/>
          <w:szCs w:val="24"/>
        </w:rPr>
        <w:t>Cavanough</w:t>
      </w:r>
      <w:proofErr w:type="spellEnd"/>
      <w:r w:rsidRPr="007B0913">
        <w:rPr>
          <w:rFonts w:ascii="Times New Roman" w:hAnsi="Times New Roman" w:cs="Times New Roman"/>
          <w:sz w:val="24"/>
          <w:szCs w:val="24"/>
        </w:rPr>
        <w:t xml:space="preserve"> AJA left open</w:t>
      </w:r>
      <w:r w:rsidR="00881434" w:rsidRPr="007B0913">
        <w:rPr>
          <w:rFonts w:ascii="Times New Roman" w:hAnsi="Times New Roman" w:cs="Times New Roman"/>
          <w:sz w:val="24"/>
          <w:szCs w:val="24"/>
        </w:rPr>
        <w:t xml:space="preserve"> the question</w:t>
      </w:r>
      <w:r w:rsidR="00B06FF6" w:rsidRPr="007B0913">
        <w:rPr>
          <w:rFonts w:ascii="Times New Roman" w:hAnsi="Times New Roman" w:cs="Times New Roman"/>
          <w:sz w:val="24"/>
          <w:szCs w:val="24"/>
        </w:rPr>
        <w:t xml:space="preserve"> </w:t>
      </w:r>
      <w:r w:rsidRPr="007B0913">
        <w:rPr>
          <w:rFonts w:ascii="Times New Roman" w:hAnsi="Times New Roman" w:cs="Times New Roman"/>
          <w:sz w:val="24"/>
          <w:szCs w:val="24"/>
        </w:rPr>
        <w:t xml:space="preserve">whether the Court of Appeal </w:t>
      </w:r>
      <w:r w:rsidR="000A4323" w:rsidRPr="007B0913">
        <w:rPr>
          <w:rFonts w:ascii="Times New Roman" w:hAnsi="Times New Roman" w:cs="Times New Roman"/>
          <w:sz w:val="24"/>
          <w:szCs w:val="24"/>
        </w:rPr>
        <w:t>was</w:t>
      </w:r>
      <w:r w:rsidRPr="007B0913">
        <w:rPr>
          <w:rFonts w:ascii="Times New Roman" w:hAnsi="Times New Roman" w:cs="Times New Roman"/>
          <w:sz w:val="24"/>
          <w:szCs w:val="24"/>
        </w:rPr>
        <w:t xml:space="preserve"> bound to follow its previous decision in </w:t>
      </w:r>
      <w:r w:rsidR="00897815" w:rsidRPr="007B0913">
        <w:rPr>
          <w:rFonts w:ascii="Times New Roman" w:hAnsi="Times New Roman" w:cs="Times New Roman"/>
          <w:i/>
          <w:sz w:val="24"/>
          <w:szCs w:val="24"/>
        </w:rPr>
        <w:t xml:space="preserve">R v </w:t>
      </w:r>
      <w:proofErr w:type="spellStart"/>
      <w:r w:rsidR="00897815" w:rsidRPr="007B0913">
        <w:rPr>
          <w:rFonts w:ascii="Times New Roman" w:hAnsi="Times New Roman" w:cs="Times New Roman"/>
          <w:i/>
          <w:sz w:val="24"/>
          <w:szCs w:val="24"/>
        </w:rPr>
        <w:t>Momcilovic</w:t>
      </w:r>
      <w:proofErr w:type="spellEnd"/>
      <w:r w:rsidR="00897815" w:rsidRPr="007B0913">
        <w:rPr>
          <w:rFonts w:ascii="Times New Roman" w:hAnsi="Times New Roman" w:cs="Times New Roman"/>
          <w:sz w:val="24"/>
          <w:szCs w:val="24"/>
        </w:rPr>
        <w:t>.</w:t>
      </w:r>
      <w:r w:rsidR="00897815" w:rsidRPr="007B0913">
        <w:rPr>
          <w:rStyle w:val="FootnoteReference"/>
          <w:rFonts w:ascii="Times New Roman" w:hAnsi="Times New Roman" w:cs="Times New Roman"/>
          <w:sz w:val="24"/>
          <w:szCs w:val="24"/>
        </w:rPr>
        <w:footnoteReference w:id="46"/>
      </w:r>
      <w:r w:rsidR="00881434" w:rsidRPr="007B0913">
        <w:rPr>
          <w:rFonts w:ascii="Times New Roman" w:hAnsi="Times New Roman" w:cs="Times New Roman"/>
          <w:sz w:val="24"/>
          <w:szCs w:val="24"/>
        </w:rPr>
        <w:t xml:space="preserve"> </w:t>
      </w:r>
      <w:r w:rsidR="00897815" w:rsidRPr="007B0913">
        <w:rPr>
          <w:rFonts w:ascii="Times New Roman" w:hAnsi="Times New Roman" w:cs="Times New Roman"/>
          <w:sz w:val="24"/>
          <w:szCs w:val="24"/>
        </w:rPr>
        <w:t xml:space="preserve"> </w:t>
      </w:r>
      <w:r w:rsidR="000A4323" w:rsidRPr="007B0913">
        <w:rPr>
          <w:rFonts w:ascii="Times New Roman" w:hAnsi="Times New Roman" w:cs="Times New Roman"/>
          <w:sz w:val="24"/>
          <w:szCs w:val="24"/>
        </w:rPr>
        <w:t>In</w:t>
      </w:r>
      <w:r w:rsidRPr="007B0913">
        <w:rPr>
          <w:rFonts w:ascii="Times New Roman" w:hAnsi="Times New Roman" w:cs="Times New Roman"/>
          <w:sz w:val="24"/>
          <w:szCs w:val="24"/>
        </w:rPr>
        <w:t xml:space="preserve"> their</w:t>
      </w:r>
      <w:r w:rsidR="00881434" w:rsidRPr="007B0913">
        <w:rPr>
          <w:rFonts w:ascii="Times New Roman" w:hAnsi="Times New Roman" w:cs="Times New Roman"/>
          <w:sz w:val="24"/>
          <w:szCs w:val="24"/>
        </w:rPr>
        <w:t xml:space="preserve"> Honours’</w:t>
      </w:r>
      <w:r w:rsidRPr="007B0913">
        <w:rPr>
          <w:rFonts w:ascii="Times New Roman" w:hAnsi="Times New Roman" w:cs="Times New Roman"/>
          <w:sz w:val="24"/>
          <w:szCs w:val="24"/>
        </w:rPr>
        <w:t xml:space="preserve"> view, there was no ratio on this point by the High Court in light of the dissent </w:t>
      </w:r>
      <w:r w:rsidR="00FA6431" w:rsidRPr="007B0913">
        <w:rPr>
          <w:rFonts w:ascii="Times New Roman" w:hAnsi="Times New Roman" w:cs="Times New Roman"/>
          <w:sz w:val="24"/>
          <w:szCs w:val="24"/>
        </w:rPr>
        <w:t xml:space="preserve">as to final orders </w:t>
      </w:r>
      <w:r w:rsidRPr="007B0913">
        <w:rPr>
          <w:rFonts w:ascii="Times New Roman" w:hAnsi="Times New Roman" w:cs="Times New Roman"/>
          <w:sz w:val="24"/>
          <w:szCs w:val="24"/>
        </w:rPr>
        <w:t xml:space="preserve">of Hayne and </w:t>
      </w:r>
      <w:proofErr w:type="spellStart"/>
      <w:r w:rsidRPr="007B0913">
        <w:rPr>
          <w:rFonts w:ascii="Times New Roman" w:hAnsi="Times New Roman" w:cs="Times New Roman"/>
          <w:sz w:val="24"/>
          <w:szCs w:val="24"/>
        </w:rPr>
        <w:t>Heydon</w:t>
      </w:r>
      <w:proofErr w:type="spellEnd"/>
      <w:r w:rsidRPr="007B0913">
        <w:rPr>
          <w:rFonts w:ascii="Times New Roman" w:hAnsi="Times New Roman" w:cs="Times New Roman"/>
          <w:sz w:val="24"/>
          <w:szCs w:val="24"/>
        </w:rPr>
        <w:t xml:space="preserve"> JJ</w:t>
      </w:r>
      <w:r w:rsidR="00897815" w:rsidRPr="007B0913">
        <w:rPr>
          <w:rFonts w:ascii="Times New Roman" w:hAnsi="Times New Roman" w:cs="Times New Roman"/>
          <w:sz w:val="24"/>
          <w:szCs w:val="24"/>
        </w:rPr>
        <w:t>.</w:t>
      </w:r>
      <w:r w:rsidR="00897815" w:rsidRPr="007B0913">
        <w:rPr>
          <w:rStyle w:val="FootnoteReference"/>
          <w:rFonts w:ascii="Times New Roman" w:hAnsi="Times New Roman" w:cs="Times New Roman"/>
          <w:sz w:val="24"/>
          <w:szCs w:val="24"/>
        </w:rPr>
        <w:footnoteReference w:id="47"/>
      </w:r>
      <w:r w:rsidRPr="007B0913">
        <w:rPr>
          <w:rFonts w:ascii="Times New Roman" w:hAnsi="Times New Roman" w:cs="Times New Roman"/>
          <w:sz w:val="24"/>
          <w:szCs w:val="24"/>
        </w:rPr>
        <w:t xml:space="preserve"> </w:t>
      </w:r>
      <w:r w:rsidR="00FA6431" w:rsidRPr="007B0913">
        <w:rPr>
          <w:rFonts w:ascii="Times New Roman" w:hAnsi="Times New Roman" w:cs="Times New Roman"/>
          <w:sz w:val="24"/>
          <w:szCs w:val="24"/>
        </w:rPr>
        <w:t xml:space="preserve"> Justice Nettle took the view </w:t>
      </w:r>
      <w:r w:rsidRPr="007B0913">
        <w:rPr>
          <w:rFonts w:ascii="Times New Roman" w:hAnsi="Times New Roman" w:cs="Times New Roman"/>
          <w:sz w:val="24"/>
          <w:szCs w:val="24"/>
        </w:rPr>
        <w:t>that,</w:t>
      </w:r>
      <w:r w:rsidR="00FA6431" w:rsidRPr="007B0913">
        <w:rPr>
          <w:rFonts w:ascii="Times New Roman" w:hAnsi="Times New Roman" w:cs="Times New Roman"/>
          <w:sz w:val="24"/>
          <w:szCs w:val="24"/>
        </w:rPr>
        <w:t xml:space="preserve"> after</w:t>
      </w:r>
      <w:r w:rsidRPr="007B0913">
        <w:rPr>
          <w:rFonts w:ascii="Times New Roman" w:hAnsi="Times New Roman" w:cs="Times New Roman"/>
          <w:sz w:val="24"/>
          <w:szCs w:val="24"/>
        </w:rPr>
        <w:t xml:space="preserve"> </w:t>
      </w:r>
      <w:proofErr w:type="spellStart"/>
      <w:r w:rsidRPr="007B0913">
        <w:rPr>
          <w:rFonts w:ascii="Times New Roman" w:hAnsi="Times New Roman" w:cs="Times New Roman"/>
          <w:i/>
          <w:sz w:val="24"/>
          <w:szCs w:val="24"/>
        </w:rPr>
        <w:t>Momcilovic</w:t>
      </w:r>
      <w:proofErr w:type="spellEnd"/>
      <w:r w:rsidRPr="007B0913">
        <w:rPr>
          <w:rFonts w:ascii="Times New Roman" w:hAnsi="Times New Roman" w:cs="Times New Roman"/>
          <w:sz w:val="24"/>
          <w:szCs w:val="24"/>
        </w:rPr>
        <w:t xml:space="preserve">, it was appropriate to adhere to what he considered to be the correct approach, namely to </w:t>
      </w:r>
      <w:r w:rsidR="00881434" w:rsidRPr="007B0913">
        <w:rPr>
          <w:rFonts w:ascii="Times New Roman" w:hAnsi="Times New Roman" w:cs="Times New Roman"/>
          <w:sz w:val="24"/>
          <w:szCs w:val="24"/>
        </w:rPr>
        <w:t>have regard to</w:t>
      </w:r>
      <w:r w:rsidRPr="007B0913">
        <w:rPr>
          <w:rFonts w:ascii="Times New Roman" w:hAnsi="Times New Roman" w:cs="Times New Roman"/>
          <w:sz w:val="24"/>
          <w:szCs w:val="24"/>
        </w:rPr>
        <w:t xml:space="preserve"> s 7(2) only after the s 32 interpretation exercise </w:t>
      </w:r>
      <w:r w:rsidR="000A4323" w:rsidRPr="007B0913">
        <w:rPr>
          <w:rFonts w:ascii="Times New Roman" w:hAnsi="Times New Roman" w:cs="Times New Roman"/>
          <w:sz w:val="24"/>
          <w:szCs w:val="24"/>
        </w:rPr>
        <w:t>had been carried out</w:t>
      </w:r>
      <w:r w:rsidR="00B622BA" w:rsidRPr="007B0913">
        <w:rPr>
          <w:rFonts w:ascii="Times New Roman" w:hAnsi="Times New Roman" w:cs="Times New Roman"/>
          <w:sz w:val="24"/>
          <w:szCs w:val="24"/>
        </w:rPr>
        <w:t>, unless and until the High Court determined otherwise.</w:t>
      </w:r>
      <w:r w:rsidR="000F5DFD" w:rsidRPr="007B0913">
        <w:rPr>
          <w:rStyle w:val="FootnoteReference"/>
          <w:rFonts w:ascii="Times New Roman" w:hAnsi="Times New Roman" w:cs="Times New Roman"/>
          <w:sz w:val="24"/>
          <w:szCs w:val="24"/>
        </w:rPr>
        <w:footnoteReference w:id="48"/>
      </w:r>
    </w:p>
    <w:p w14:paraId="4FC35D75" w14:textId="1F393119" w:rsidR="00DD118E" w:rsidRPr="007B0913" w:rsidRDefault="00114990"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This question </w:t>
      </w:r>
      <w:r w:rsidR="00DD118E" w:rsidRPr="007B0913">
        <w:rPr>
          <w:rFonts w:ascii="Times New Roman" w:hAnsi="Times New Roman" w:cs="Times New Roman"/>
          <w:sz w:val="24"/>
          <w:szCs w:val="24"/>
        </w:rPr>
        <w:t>arose again</w:t>
      </w:r>
      <w:r w:rsidRPr="007B0913">
        <w:rPr>
          <w:rFonts w:ascii="Times New Roman" w:hAnsi="Times New Roman" w:cs="Times New Roman"/>
          <w:sz w:val="24"/>
          <w:szCs w:val="24"/>
        </w:rPr>
        <w:t xml:space="preserve"> in </w:t>
      </w:r>
      <w:proofErr w:type="spellStart"/>
      <w:r w:rsidRPr="007B0913">
        <w:rPr>
          <w:rFonts w:ascii="Times New Roman" w:hAnsi="Times New Roman" w:cs="Times New Roman"/>
          <w:i/>
          <w:sz w:val="24"/>
          <w:szCs w:val="24"/>
        </w:rPr>
        <w:t>Nigro</w:t>
      </w:r>
      <w:proofErr w:type="spellEnd"/>
      <w:r w:rsidRPr="007B0913">
        <w:rPr>
          <w:rFonts w:ascii="Times New Roman" w:hAnsi="Times New Roman" w:cs="Times New Roman"/>
          <w:i/>
          <w:sz w:val="24"/>
          <w:szCs w:val="24"/>
        </w:rPr>
        <w:t xml:space="preserve"> v Secretary to the </w:t>
      </w:r>
      <w:r w:rsidR="00DD118E" w:rsidRPr="007B0913">
        <w:rPr>
          <w:rFonts w:ascii="Times New Roman" w:hAnsi="Times New Roman" w:cs="Times New Roman"/>
          <w:i/>
          <w:sz w:val="24"/>
          <w:szCs w:val="24"/>
        </w:rPr>
        <w:t>Department</w:t>
      </w:r>
      <w:r w:rsidRPr="007B0913">
        <w:rPr>
          <w:rFonts w:ascii="Times New Roman" w:hAnsi="Times New Roman" w:cs="Times New Roman"/>
          <w:i/>
          <w:sz w:val="24"/>
          <w:szCs w:val="24"/>
        </w:rPr>
        <w:t xml:space="preserve"> of Justice</w:t>
      </w:r>
      <w:r w:rsidR="00CC5DA2" w:rsidRPr="007B0913">
        <w:rPr>
          <w:rFonts w:ascii="Times New Roman" w:hAnsi="Times New Roman" w:cs="Times New Roman"/>
          <w:i/>
          <w:sz w:val="24"/>
          <w:szCs w:val="24"/>
        </w:rPr>
        <w:t>,</w:t>
      </w:r>
      <w:r w:rsidR="00B01680" w:rsidRPr="007B0913">
        <w:rPr>
          <w:rStyle w:val="FootnoteReference"/>
          <w:rFonts w:ascii="Times New Roman" w:hAnsi="Times New Roman" w:cs="Times New Roman"/>
          <w:sz w:val="24"/>
          <w:szCs w:val="24"/>
        </w:rPr>
        <w:footnoteReference w:id="49"/>
      </w:r>
      <w:r w:rsidRPr="007B0913">
        <w:rPr>
          <w:rFonts w:ascii="Times New Roman" w:hAnsi="Times New Roman" w:cs="Times New Roman"/>
          <w:sz w:val="24"/>
          <w:szCs w:val="24"/>
        </w:rPr>
        <w:t xml:space="preserve"> where </w:t>
      </w:r>
      <w:proofErr w:type="spellStart"/>
      <w:r w:rsidR="00207695" w:rsidRPr="007B0913">
        <w:rPr>
          <w:rFonts w:ascii="Times New Roman" w:hAnsi="Times New Roman" w:cs="Times New Roman"/>
          <w:sz w:val="24"/>
          <w:szCs w:val="24"/>
        </w:rPr>
        <w:t>Redlich</w:t>
      </w:r>
      <w:proofErr w:type="spellEnd"/>
      <w:r w:rsidR="00207695" w:rsidRPr="007B0913">
        <w:rPr>
          <w:rFonts w:ascii="Times New Roman" w:hAnsi="Times New Roman" w:cs="Times New Roman"/>
          <w:sz w:val="24"/>
          <w:szCs w:val="24"/>
        </w:rPr>
        <w:t>, Osborn and Priest JJA r</w:t>
      </w:r>
      <w:r w:rsidRPr="007B0913">
        <w:rPr>
          <w:rFonts w:ascii="Times New Roman" w:hAnsi="Times New Roman" w:cs="Times New Roman"/>
          <w:sz w:val="24"/>
          <w:szCs w:val="24"/>
        </w:rPr>
        <w:t xml:space="preserve">eferred to both </w:t>
      </w:r>
      <w:proofErr w:type="spellStart"/>
      <w:r w:rsidR="00B06FF6" w:rsidRPr="007B0913">
        <w:rPr>
          <w:rFonts w:ascii="Times New Roman" w:hAnsi="Times New Roman" w:cs="Times New Roman"/>
          <w:i/>
          <w:sz w:val="24"/>
          <w:szCs w:val="24"/>
        </w:rPr>
        <w:t>Sla</w:t>
      </w:r>
      <w:r w:rsidRPr="007B0913">
        <w:rPr>
          <w:rFonts w:ascii="Times New Roman" w:hAnsi="Times New Roman" w:cs="Times New Roman"/>
          <w:i/>
          <w:sz w:val="24"/>
          <w:szCs w:val="24"/>
        </w:rPr>
        <w:t>veski</w:t>
      </w:r>
      <w:proofErr w:type="spellEnd"/>
      <w:r w:rsidRPr="007B0913">
        <w:rPr>
          <w:rFonts w:ascii="Times New Roman" w:hAnsi="Times New Roman" w:cs="Times New Roman"/>
          <w:sz w:val="24"/>
          <w:szCs w:val="24"/>
        </w:rPr>
        <w:t xml:space="preserve"> and </w:t>
      </w:r>
      <w:proofErr w:type="spellStart"/>
      <w:r w:rsidRPr="007B0913">
        <w:rPr>
          <w:rFonts w:ascii="Times New Roman" w:hAnsi="Times New Roman" w:cs="Times New Roman"/>
          <w:i/>
          <w:sz w:val="24"/>
          <w:szCs w:val="24"/>
        </w:rPr>
        <w:t>Noone</w:t>
      </w:r>
      <w:proofErr w:type="spellEnd"/>
      <w:r w:rsidR="00DD118E" w:rsidRPr="007B0913">
        <w:rPr>
          <w:rFonts w:ascii="Times New Roman" w:hAnsi="Times New Roman" w:cs="Times New Roman"/>
          <w:sz w:val="24"/>
          <w:szCs w:val="24"/>
        </w:rPr>
        <w:t>.  The Court concluded</w:t>
      </w:r>
      <w:r w:rsidRPr="007B0913">
        <w:rPr>
          <w:rFonts w:ascii="Times New Roman" w:hAnsi="Times New Roman" w:cs="Times New Roman"/>
          <w:sz w:val="24"/>
          <w:szCs w:val="24"/>
        </w:rPr>
        <w:t xml:space="preserve"> on this point that those cases h</w:t>
      </w:r>
      <w:r w:rsidR="00DD118E" w:rsidRPr="007B0913">
        <w:rPr>
          <w:rFonts w:ascii="Times New Roman" w:hAnsi="Times New Roman" w:cs="Times New Roman"/>
          <w:sz w:val="24"/>
          <w:szCs w:val="24"/>
        </w:rPr>
        <w:t>ad:</w:t>
      </w:r>
    </w:p>
    <w:p w14:paraId="4F947157" w14:textId="1DA4CF15" w:rsidR="00114990" w:rsidRPr="007B0913" w:rsidRDefault="00DD118E" w:rsidP="006B2E41">
      <w:pPr>
        <w:ind w:left="720"/>
        <w:jc w:val="both"/>
        <w:rPr>
          <w:rFonts w:ascii="Times New Roman" w:hAnsi="Times New Roman" w:cs="Times New Roman"/>
          <w:sz w:val="24"/>
          <w:szCs w:val="24"/>
        </w:rPr>
      </w:pPr>
      <w:r w:rsidRPr="007B0913">
        <w:rPr>
          <w:rFonts w:ascii="Times New Roman" w:hAnsi="Times New Roman" w:cs="Times New Roman"/>
        </w:rPr>
        <w:t xml:space="preserve">… </w:t>
      </w:r>
      <w:proofErr w:type="gramStart"/>
      <w:r w:rsidR="00114990" w:rsidRPr="007B0913">
        <w:rPr>
          <w:rFonts w:ascii="Times New Roman" w:hAnsi="Times New Roman" w:cs="Times New Roman"/>
        </w:rPr>
        <w:t>left</w:t>
      </w:r>
      <w:proofErr w:type="gramEnd"/>
      <w:r w:rsidR="00114990" w:rsidRPr="007B0913">
        <w:rPr>
          <w:rFonts w:ascii="Times New Roman" w:hAnsi="Times New Roman" w:cs="Times New Roman"/>
        </w:rPr>
        <w:t xml:space="preserve"> </w:t>
      </w:r>
      <w:r w:rsidR="00A00E15" w:rsidRPr="007B0913">
        <w:rPr>
          <w:rFonts w:ascii="Times New Roman" w:hAnsi="Times New Roman" w:cs="Times New Roman"/>
        </w:rPr>
        <w:t>open the question whether this [C]</w:t>
      </w:r>
      <w:proofErr w:type="spellStart"/>
      <w:r w:rsidR="00114990" w:rsidRPr="007B0913">
        <w:rPr>
          <w:rFonts w:ascii="Times New Roman" w:hAnsi="Times New Roman" w:cs="Times New Roman"/>
        </w:rPr>
        <w:t>ourt</w:t>
      </w:r>
      <w:proofErr w:type="spellEnd"/>
      <w:r w:rsidR="00114990" w:rsidRPr="007B0913">
        <w:rPr>
          <w:rFonts w:ascii="Times New Roman" w:hAnsi="Times New Roman" w:cs="Times New Roman"/>
        </w:rPr>
        <w:t xml:space="preserve"> should follow its own decision in </w:t>
      </w:r>
      <w:proofErr w:type="spellStart"/>
      <w:r w:rsidR="00114990" w:rsidRPr="007B0913">
        <w:rPr>
          <w:rFonts w:ascii="Times New Roman" w:hAnsi="Times New Roman" w:cs="Times New Roman"/>
          <w:i/>
        </w:rPr>
        <w:t>Momcilovic</w:t>
      </w:r>
      <w:proofErr w:type="spellEnd"/>
      <w:r w:rsidR="00114990" w:rsidRPr="007B0913">
        <w:rPr>
          <w:rFonts w:ascii="Times New Roman" w:hAnsi="Times New Roman" w:cs="Times New Roman"/>
        </w:rPr>
        <w:t xml:space="preserve"> or whether … it should follow the view expressed by four members of the High Court in </w:t>
      </w:r>
      <w:proofErr w:type="spellStart"/>
      <w:r w:rsidR="00114990" w:rsidRPr="007B0913">
        <w:rPr>
          <w:rFonts w:ascii="Times New Roman" w:hAnsi="Times New Roman" w:cs="Times New Roman"/>
          <w:i/>
        </w:rPr>
        <w:t>Momcilovic</w:t>
      </w:r>
      <w:proofErr w:type="spellEnd"/>
      <w:r w:rsidR="00114990" w:rsidRPr="007B0913">
        <w:rPr>
          <w:rFonts w:ascii="Times New Roman" w:hAnsi="Times New Roman" w:cs="Times New Roman"/>
        </w:rPr>
        <w:t xml:space="preserve"> that the interpretative task required by s 32 brings in … s 7(2)</w:t>
      </w:r>
      <w:r w:rsidR="00E20C83" w:rsidRPr="007B0913">
        <w:rPr>
          <w:rFonts w:ascii="Times New Roman" w:hAnsi="Times New Roman" w:cs="Times New Roman"/>
        </w:rPr>
        <w:t>.</w:t>
      </w:r>
      <w:r w:rsidR="00E20C83" w:rsidRPr="007B0913">
        <w:rPr>
          <w:rStyle w:val="FootnoteReference"/>
          <w:rFonts w:ascii="Times New Roman" w:hAnsi="Times New Roman" w:cs="Times New Roman"/>
          <w:sz w:val="24"/>
          <w:szCs w:val="24"/>
        </w:rPr>
        <w:footnoteReference w:id="50"/>
      </w:r>
      <w:r w:rsidRPr="007B0913">
        <w:rPr>
          <w:rFonts w:ascii="Times New Roman" w:hAnsi="Times New Roman" w:cs="Times New Roman"/>
          <w:sz w:val="24"/>
          <w:szCs w:val="24"/>
        </w:rPr>
        <w:t xml:space="preserve"> </w:t>
      </w:r>
    </w:p>
    <w:p w14:paraId="68000533" w14:textId="7471A15F" w:rsidR="00881434" w:rsidRPr="007B0913" w:rsidRDefault="00881434" w:rsidP="00881434">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The position that has been reached is obviously unsatisfactory, and must await either legislative amendment or final resolution by a court. </w:t>
      </w:r>
    </w:p>
    <w:p w14:paraId="53B78068" w14:textId="77777777" w:rsidR="00F8003B" w:rsidRPr="007B0913" w:rsidRDefault="006B2F19"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Returning briefly to </w:t>
      </w:r>
      <w:r w:rsidR="000613C6" w:rsidRPr="007B0913">
        <w:rPr>
          <w:rFonts w:ascii="Times New Roman" w:hAnsi="Times New Roman" w:cs="Times New Roman"/>
          <w:sz w:val="24"/>
          <w:szCs w:val="24"/>
        </w:rPr>
        <w:t xml:space="preserve">the High Court’s decision in </w:t>
      </w:r>
      <w:proofErr w:type="spellStart"/>
      <w:r w:rsidR="00753A64" w:rsidRPr="007B0913">
        <w:rPr>
          <w:rFonts w:ascii="Times New Roman" w:hAnsi="Times New Roman" w:cs="Times New Roman"/>
          <w:i/>
          <w:sz w:val="24"/>
          <w:szCs w:val="24"/>
        </w:rPr>
        <w:t>Momcilovic</w:t>
      </w:r>
      <w:proofErr w:type="spellEnd"/>
      <w:r w:rsidR="00753A64" w:rsidRPr="007B0913">
        <w:rPr>
          <w:rFonts w:ascii="Times New Roman" w:hAnsi="Times New Roman" w:cs="Times New Roman"/>
          <w:sz w:val="24"/>
          <w:szCs w:val="24"/>
        </w:rPr>
        <w:t xml:space="preserve">, </w:t>
      </w:r>
      <w:r w:rsidR="00D24C57" w:rsidRPr="007B0913">
        <w:rPr>
          <w:rFonts w:ascii="Times New Roman" w:hAnsi="Times New Roman" w:cs="Times New Roman"/>
          <w:sz w:val="24"/>
          <w:szCs w:val="24"/>
        </w:rPr>
        <w:t xml:space="preserve">a majority </w:t>
      </w:r>
      <w:r w:rsidR="00861345" w:rsidRPr="007B0913">
        <w:rPr>
          <w:rFonts w:ascii="Times New Roman" w:hAnsi="Times New Roman" w:cs="Times New Roman"/>
          <w:sz w:val="24"/>
          <w:szCs w:val="24"/>
        </w:rPr>
        <w:t xml:space="preserve">rejected </w:t>
      </w:r>
      <w:r w:rsidR="0013623E" w:rsidRPr="007B0913">
        <w:rPr>
          <w:rFonts w:ascii="Times New Roman" w:hAnsi="Times New Roman" w:cs="Times New Roman"/>
          <w:sz w:val="24"/>
          <w:szCs w:val="24"/>
        </w:rPr>
        <w:t>the argument</w:t>
      </w:r>
      <w:r w:rsidR="00861345" w:rsidRPr="007B0913">
        <w:rPr>
          <w:rFonts w:ascii="Times New Roman" w:hAnsi="Times New Roman" w:cs="Times New Roman"/>
          <w:sz w:val="24"/>
          <w:szCs w:val="24"/>
        </w:rPr>
        <w:t xml:space="preserve"> that </w:t>
      </w:r>
      <w:r w:rsidR="00074B8E" w:rsidRPr="007B0913">
        <w:rPr>
          <w:rFonts w:ascii="Times New Roman" w:hAnsi="Times New Roman" w:cs="Times New Roman"/>
          <w:sz w:val="24"/>
          <w:szCs w:val="24"/>
        </w:rPr>
        <w:t>the power vested in the  Supreme Court</w:t>
      </w:r>
      <w:r w:rsidR="00D3098F" w:rsidRPr="007B0913">
        <w:rPr>
          <w:rFonts w:ascii="Times New Roman" w:hAnsi="Times New Roman" w:cs="Times New Roman"/>
          <w:sz w:val="24"/>
          <w:szCs w:val="24"/>
        </w:rPr>
        <w:t xml:space="preserve"> under s 36(2) of the Charter</w:t>
      </w:r>
      <w:r w:rsidR="00C82690" w:rsidRPr="007B0913">
        <w:rPr>
          <w:rFonts w:ascii="Times New Roman" w:hAnsi="Times New Roman" w:cs="Times New Roman"/>
          <w:sz w:val="24"/>
          <w:szCs w:val="24"/>
        </w:rPr>
        <w:t>,</w:t>
      </w:r>
      <w:r w:rsidR="00D3098F" w:rsidRPr="007B0913">
        <w:rPr>
          <w:rFonts w:ascii="Times New Roman" w:hAnsi="Times New Roman" w:cs="Times New Roman"/>
          <w:sz w:val="24"/>
          <w:szCs w:val="24"/>
        </w:rPr>
        <w:t xml:space="preserve"> to make what is</w:t>
      </w:r>
      <w:r w:rsidR="00F8003B" w:rsidRPr="007B0913">
        <w:rPr>
          <w:rFonts w:ascii="Times New Roman" w:hAnsi="Times New Roman" w:cs="Times New Roman"/>
          <w:sz w:val="24"/>
          <w:szCs w:val="24"/>
        </w:rPr>
        <w:t xml:space="preserve"> there</w:t>
      </w:r>
      <w:r w:rsidR="00D3098F" w:rsidRPr="007B0913">
        <w:rPr>
          <w:rFonts w:ascii="Times New Roman" w:hAnsi="Times New Roman" w:cs="Times New Roman"/>
          <w:sz w:val="24"/>
          <w:szCs w:val="24"/>
        </w:rPr>
        <w:t xml:space="preserve"> described as a </w:t>
      </w:r>
      <w:r w:rsidR="0039562A" w:rsidRPr="007B0913">
        <w:rPr>
          <w:rFonts w:ascii="Times New Roman" w:hAnsi="Times New Roman" w:cs="Times New Roman"/>
          <w:sz w:val="24"/>
          <w:szCs w:val="24"/>
        </w:rPr>
        <w:t>‘</w:t>
      </w:r>
      <w:r w:rsidR="00D3098F" w:rsidRPr="007B0913">
        <w:rPr>
          <w:rFonts w:ascii="Times New Roman" w:hAnsi="Times New Roman" w:cs="Times New Roman"/>
          <w:sz w:val="24"/>
          <w:szCs w:val="24"/>
        </w:rPr>
        <w:t>declaration of inconsistency</w:t>
      </w:r>
      <w:r w:rsidR="0039562A" w:rsidRPr="007B0913">
        <w:rPr>
          <w:rFonts w:ascii="Times New Roman" w:hAnsi="Times New Roman" w:cs="Times New Roman"/>
          <w:sz w:val="24"/>
          <w:szCs w:val="24"/>
        </w:rPr>
        <w:t>’</w:t>
      </w:r>
      <w:r w:rsidR="00D3098F" w:rsidRPr="007B0913">
        <w:rPr>
          <w:rFonts w:ascii="Times New Roman" w:hAnsi="Times New Roman" w:cs="Times New Roman"/>
          <w:sz w:val="24"/>
          <w:szCs w:val="24"/>
        </w:rPr>
        <w:t xml:space="preserve">, was </w:t>
      </w:r>
      <w:r w:rsidR="00C82690" w:rsidRPr="007B0913">
        <w:rPr>
          <w:rFonts w:ascii="Times New Roman" w:hAnsi="Times New Roman" w:cs="Times New Roman"/>
          <w:sz w:val="24"/>
          <w:szCs w:val="24"/>
        </w:rPr>
        <w:t>unconstitutional</w:t>
      </w:r>
      <w:r w:rsidR="00D3098F" w:rsidRPr="007B0913">
        <w:rPr>
          <w:rFonts w:ascii="Times New Roman" w:hAnsi="Times New Roman" w:cs="Times New Roman"/>
          <w:sz w:val="24"/>
          <w:szCs w:val="24"/>
        </w:rPr>
        <w:t xml:space="preserve">.  </w:t>
      </w:r>
    </w:p>
    <w:p w14:paraId="5AFED0A8" w14:textId="77777777" w:rsidR="00F8003B" w:rsidRPr="007B0913" w:rsidRDefault="00D24C57"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lastRenderedPageBreak/>
        <w:t xml:space="preserve">Chief Justice French and </w:t>
      </w:r>
      <w:r w:rsidR="006A7E0E" w:rsidRPr="007B0913">
        <w:rPr>
          <w:rFonts w:ascii="Times New Roman" w:hAnsi="Times New Roman" w:cs="Times New Roman"/>
          <w:sz w:val="24"/>
          <w:szCs w:val="24"/>
        </w:rPr>
        <w:t>Bell J</w:t>
      </w:r>
      <w:r w:rsidRPr="007B0913">
        <w:rPr>
          <w:rFonts w:ascii="Times New Roman" w:hAnsi="Times New Roman" w:cs="Times New Roman"/>
          <w:sz w:val="24"/>
          <w:szCs w:val="24"/>
        </w:rPr>
        <w:t xml:space="preserve"> concluded that no appeal lay from the exercise of that power by the Court of Appeal</w:t>
      </w:r>
      <w:r w:rsidR="00F8003B" w:rsidRPr="007B0913">
        <w:rPr>
          <w:rFonts w:ascii="Times New Roman" w:hAnsi="Times New Roman" w:cs="Times New Roman"/>
          <w:sz w:val="24"/>
          <w:szCs w:val="24"/>
        </w:rPr>
        <w:t xml:space="preserve">.  That was because the power in question was not an exercise of judicial power.  </w:t>
      </w:r>
      <w:r w:rsidRPr="007B0913">
        <w:rPr>
          <w:rFonts w:ascii="Times New Roman" w:hAnsi="Times New Roman" w:cs="Times New Roman"/>
          <w:sz w:val="24"/>
          <w:szCs w:val="24"/>
        </w:rPr>
        <w:t>However, that did not</w:t>
      </w:r>
      <w:r w:rsidR="00F8003B" w:rsidRPr="007B0913">
        <w:rPr>
          <w:rFonts w:ascii="Times New Roman" w:hAnsi="Times New Roman" w:cs="Times New Roman"/>
          <w:sz w:val="24"/>
          <w:szCs w:val="24"/>
        </w:rPr>
        <w:t>,</w:t>
      </w:r>
      <w:r w:rsidRPr="007B0913">
        <w:rPr>
          <w:rFonts w:ascii="Times New Roman" w:hAnsi="Times New Roman" w:cs="Times New Roman"/>
          <w:sz w:val="24"/>
          <w:szCs w:val="24"/>
        </w:rPr>
        <w:t xml:space="preserve"> </w:t>
      </w:r>
      <w:r w:rsidR="00F8003B" w:rsidRPr="007B0913">
        <w:rPr>
          <w:rFonts w:ascii="Times New Roman" w:hAnsi="Times New Roman" w:cs="Times New Roman"/>
          <w:sz w:val="24"/>
          <w:szCs w:val="24"/>
        </w:rPr>
        <w:t>pursuant to the ‘</w:t>
      </w:r>
      <w:proofErr w:type="spellStart"/>
      <w:r w:rsidR="00F8003B" w:rsidRPr="007B0913">
        <w:rPr>
          <w:rFonts w:ascii="Times New Roman" w:hAnsi="Times New Roman" w:cs="Times New Roman"/>
          <w:i/>
          <w:sz w:val="24"/>
          <w:szCs w:val="24"/>
        </w:rPr>
        <w:t>Kable</w:t>
      </w:r>
      <w:proofErr w:type="spellEnd"/>
      <w:r w:rsidR="00F8003B" w:rsidRPr="007B0913">
        <w:rPr>
          <w:rFonts w:ascii="Times New Roman" w:hAnsi="Times New Roman" w:cs="Times New Roman"/>
          <w:i/>
          <w:sz w:val="24"/>
          <w:szCs w:val="24"/>
        </w:rPr>
        <w:t xml:space="preserve"> </w:t>
      </w:r>
      <w:r w:rsidR="00F8003B" w:rsidRPr="007B0913">
        <w:rPr>
          <w:rFonts w:ascii="Times New Roman" w:hAnsi="Times New Roman" w:cs="Times New Roman"/>
          <w:sz w:val="24"/>
          <w:szCs w:val="24"/>
        </w:rPr>
        <w:t>principle’,</w:t>
      </w:r>
      <w:r w:rsidR="00F8003B" w:rsidRPr="007B0913">
        <w:rPr>
          <w:rStyle w:val="FootnoteReference"/>
          <w:rFonts w:ascii="Times New Roman" w:hAnsi="Times New Roman" w:cs="Times New Roman"/>
          <w:sz w:val="24"/>
          <w:szCs w:val="24"/>
        </w:rPr>
        <w:footnoteReference w:id="51"/>
      </w:r>
      <w:r w:rsidR="00F8003B" w:rsidRPr="007B0913">
        <w:rPr>
          <w:rFonts w:ascii="Times New Roman" w:hAnsi="Times New Roman" w:cs="Times New Roman"/>
          <w:sz w:val="24"/>
          <w:szCs w:val="24"/>
        </w:rPr>
        <w:t xml:space="preserve"> </w:t>
      </w:r>
      <w:r w:rsidRPr="007B0913">
        <w:rPr>
          <w:rFonts w:ascii="Times New Roman" w:hAnsi="Times New Roman" w:cs="Times New Roman"/>
          <w:sz w:val="24"/>
          <w:szCs w:val="24"/>
        </w:rPr>
        <w:t xml:space="preserve">render </w:t>
      </w:r>
      <w:r w:rsidR="00F8003B" w:rsidRPr="007B0913">
        <w:rPr>
          <w:rFonts w:ascii="Times New Roman" w:hAnsi="Times New Roman" w:cs="Times New Roman"/>
          <w:sz w:val="24"/>
          <w:szCs w:val="24"/>
        </w:rPr>
        <w:t>s 36(2)</w:t>
      </w:r>
      <w:r w:rsidR="00986534" w:rsidRPr="007B0913">
        <w:rPr>
          <w:rFonts w:ascii="Times New Roman" w:hAnsi="Times New Roman" w:cs="Times New Roman"/>
          <w:sz w:val="24"/>
          <w:szCs w:val="24"/>
        </w:rPr>
        <w:t xml:space="preserve"> unconstitutional</w:t>
      </w:r>
      <w:r w:rsidR="00F8003B" w:rsidRPr="007B0913">
        <w:rPr>
          <w:rFonts w:ascii="Times New Roman" w:hAnsi="Times New Roman" w:cs="Times New Roman"/>
          <w:sz w:val="24"/>
          <w:szCs w:val="24"/>
        </w:rPr>
        <w:t>.</w:t>
      </w:r>
    </w:p>
    <w:p w14:paraId="3192D4B1" w14:textId="406D325A" w:rsidR="00F8003B" w:rsidRPr="007B0913" w:rsidRDefault="00D24C57"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Justices </w:t>
      </w:r>
      <w:proofErr w:type="spellStart"/>
      <w:r w:rsidRPr="007B0913">
        <w:rPr>
          <w:rFonts w:ascii="Times New Roman" w:hAnsi="Times New Roman" w:cs="Times New Roman"/>
          <w:sz w:val="24"/>
          <w:szCs w:val="24"/>
        </w:rPr>
        <w:t>Gummow</w:t>
      </w:r>
      <w:proofErr w:type="spellEnd"/>
      <w:r w:rsidRPr="007B0913">
        <w:rPr>
          <w:rFonts w:ascii="Times New Roman" w:hAnsi="Times New Roman" w:cs="Times New Roman"/>
          <w:sz w:val="24"/>
          <w:szCs w:val="24"/>
        </w:rPr>
        <w:t xml:space="preserve"> and Hay</w:t>
      </w:r>
      <w:r w:rsidR="00445313" w:rsidRPr="007B0913">
        <w:rPr>
          <w:rFonts w:ascii="Times New Roman" w:hAnsi="Times New Roman" w:cs="Times New Roman"/>
          <w:sz w:val="24"/>
          <w:szCs w:val="24"/>
        </w:rPr>
        <w:t xml:space="preserve">ne considered the existence of </w:t>
      </w:r>
      <w:r w:rsidRPr="007B0913">
        <w:rPr>
          <w:rFonts w:ascii="Times New Roman" w:hAnsi="Times New Roman" w:cs="Times New Roman"/>
          <w:sz w:val="24"/>
          <w:szCs w:val="24"/>
        </w:rPr>
        <w:t xml:space="preserve">a power </w:t>
      </w:r>
      <w:r w:rsidR="00445313" w:rsidRPr="007B0913">
        <w:rPr>
          <w:rFonts w:ascii="Times New Roman" w:hAnsi="Times New Roman" w:cs="Times New Roman"/>
          <w:sz w:val="24"/>
          <w:szCs w:val="24"/>
        </w:rPr>
        <w:t>to make</w:t>
      </w:r>
      <w:r w:rsidR="00F8003B" w:rsidRPr="007B0913">
        <w:rPr>
          <w:rFonts w:ascii="Times New Roman" w:hAnsi="Times New Roman" w:cs="Times New Roman"/>
          <w:sz w:val="24"/>
          <w:szCs w:val="24"/>
        </w:rPr>
        <w:t xml:space="preserve"> a</w:t>
      </w:r>
      <w:r w:rsidR="00445313" w:rsidRPr="007B0913">
        <w:rPr>
          <w:rFonts w:ascii="Times New Roman" w:hAnsi="Times New Roman" w:cs="Times New Roman"/>
          <w:sz w:val="24"/>
          <w:szCs w:val="24"/>
        </w:rPr>
        <w:t xml:space="preserve"> declaration</w:t>
      </w:r>
      <w:r w:rsidR="00F8003B" w:rsidRPr="007B0913">
        <w:rPr>
          <w:rFonts w:ascii="Times New Roman" w:hAnsi="Times New Roman" w:cs="Times New Roman"/>
          <w:sz w:val="24"/>
          <w:szCs w:val="24"/>
        </w:rPr>
        <w:t xml:space="preserve"> of inconsistency</w:t>
      </w:r>
      <w:r w:rsidR="00445313" w:rsidRPr="007B0913">
        <w:rPr>
          <w:rFonts w:ascii="Times New Roman" w:hAnsi="Times New Roman" w:cs="Times New Roman"/>
          <w:sz w:val="24"/>
          <w:szCs w:val="24"/>
        </w:rPr>
        <w:t xml:space="preserve"> </w:t>
      </w:r>
      <w:r w:rsidRPr="007B0913">
        <w:rPr>
          <w:rFonts w:ascii="Times New Roman" w:hAnsi="Times New Roman" w:cs="Times New Roman"/>
          <w:sz w:val="24"/>
          <w:szCs w:val="24"/>
        </w:rPr>
        <w:t xml:space="preserve">to be incompatible with the exercise of judicial power under Chapter III of the </w:t>
      </w:r>
      <w:r w:rsidRPr="007B0913">
        <w:rPr>
          <w:rFonts w:ascii="Times New Roman" w:hAnsi="Times New Roman" w:cs="Times New Roman"/>
          <w:i/>
          <w:sz w:val="24"/>
          <w:szCs w:val="24"/>
        </w:rPr>
        <w:t>Constitution</w:t>
      </w:r>
      <w:r w:rsidR="00F8003B" w:rsidRPr="007B0913">
        <w:rPr>
          <w:rFonts w:ascii="Times New Roman" w:hAnsi="Times New Roman" w:cs="Times New Roman"/>
          <w:sz w:val="24"/>
          <w:szCs w:val="24"/>
        </w:rPr>
        <w:t xml:space="preserve">.  Their approach involved, </w:t>
      </w:r>
      <w:r w:rsidRPr="007B0913">
        <w:rPr>
          <w:rFonts w:ascii="Times New Roman" w:hAnsi="Times New Roman" w:cs="Times New Roman"/>
          <w:sz w:val="24"/>
          <w:szCs w:val="24"/>
        </w:rPr>
        <w:t xml:space="preserve">relevantly, an application of the </w:t>
      </w:r>
      <w:proofErr w:type="spellStart"/>
      <w:r w:rsidR="00576D9E" w:rsidRPr="007B0913">
        <w:rPr>
          <w:rFonts w:ascii="Times New Roman" w:hAnsi="Times New Roman" w:cs="Times New Roman"/>
          <w:i/>
          <w:sz w:val="24"/>
          <w:szCs w:val="24"/>
        </w:rPr>
        <w:t>Kable</w:t>
      </w:r>
      <w:proofErr w:type="spellEnd"/>
      <w:r w:rsidR="00576D9E" w:rsidRPr="007B0913">
        <w:rPr>
          <w:rFonts w:ascii="Times New Roman" w:hAnsi="Times New Roman" w:cs="Times New Roman"/>
          <w:i/>
          <w:sz w:val="24"/>
          <w:szCs w:val="24"/>
        </w:rPr>
        <w:t xml:space="preserve"> </w:t>
      </w:r>
      <w:r w:rsidR="00576D9E" w:rsidRPr="007B0913">
        <w:rPr>
          <w:rFonts w:ascii="Times New Roman" w:hAnsi="Times New Roman" w:cs="Times New Roman"/>
          <w:sz w:val="24"/>
          <w:szCs w:val="24"/>
        </w:rPr>
        <w:t>principle.</w:t>
      </w:r>
      <w:r w:rsidRPr="007B0913">
        <w:rPr>
          <w:rFonts w:ascii="Times New Roman" w:hAnsi="Times New Roman" w:cs="Times New Roman"/>
          <w:sz w:val="24"/>
          <w:szCs w:val="24"/>
        </w:rPr>
        <w:t xml:space="preserve"> </w:t>
      </w:r>
      <w:r w:rsidR="00F8003B" w:rsidRPr="007B0913">
        <w:rPr>
          <w:rFonts w:ascii="Times New Roman" w:hAnsi="Times New Roman" w:cs="Times New Roman"/>
          <w:sz w:val="24"/>
          <w:szCs w:val="24"/>
        </w:rPr>
        <w:t xml:space="preserve"> </w:t>
      </w:r>
    </w:p>
    <w:p w14:paraId="1CFA7B3A" w14:textId="77777777" w:rsidR="00F8003B" w:rsidRPr="007B0913" w:rsidRDefault="00986534"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Justices </w:t>
      </w:r>
      <w:proofErr w:type="spellStart"/>
      <w:r w:rsidRPr="007B0913">
        <w:rPr>
          <w:rFonts w:ascii="Times New Roman" w:hAnsi="Times New Roman" w:cs="Times New Roman"/>
          <w:sz w:val="24"/>
          <w:szCs w:val="24"/>
        </w:rPr>
        <w:t>Crennan</w:t>
      </w:r>
      <w:proofErr w:type="spellEnd"/>
      <w:r w:rsidRPr="007B0913">
        <w:rPr>
          <w:rFonts w:ascii="Times New Roman" w:hAnsi="Times New Roman" w:cs="Times New Roman"/>
          <w:sz w:val="24"/>
          <w:szCs w:val="24"/>
        </w:rPr>
        <w:t xml:space="preserve"> and </w:t>
      </w:r>
      <w:proofErr w:type="spellStart"/>
      <w:r w:rsidRPr="007B0913">
        <w:rPr>
          <w:rFonts w:ascii="Times New Roman" w:hAnsi="Times New Roman" w:cs="Times New Roman"/>
          <w:sz w:val="24"/>
          <w:szCs w:val="24"/>
        </w:rPr>
        <w:t>Kiefel</w:t>
      </w:r>
      <w:proofErr w:type="spellEnd"/>
      <w:r w:rsidRPr="007B0913">
        <w:rPr>
          <w:rFonts w:ascii="Times New Roman" w:hAnsi="Times New Roman" w:cs="Times New Roman"/>
          <w:sz w:val="24"/>
          <w:szCs w:val="24"/>
        </w:rPr>
        <w:t xml:space="preserve"> concluded that s 36 did </w:t>
      </w:r>
      <w:r w:rsidR="00445313" w:rsidRPr="007B0913">
        <w:rPr>
          <w:rFonts w:ascii="Times New Roman" w:hAnsi="Times New Roman" w:cs="Times New Roman"/>
          <w:sz w:val="24"/>
          <w:szCs w:val="24"/>
        </w:rPr>
        <w:t xml:space="preserve">not </w:t>
      </w:r>
      <w:r w:rsidRPr="007B0913">
        <w:rPr>
          <w:rFonts w:ascii="Times New Roman" w:hAnsi="Times New Roman" w:cs="Times New Roman"/>
          <w:sz w:val="24"/>
          <w:szCs w:val="24"/>
        </w:rPr>
        <w:t>confer judicial power, but was</w:t>
      </w:r>
      <w:r w:rsidR="00F8003B" w:rsidRPr="007B0913">
        <w:rPr>
          <w:rFonts w:ascii="Times New Roman" w:hAnsi="Times New Roman" w:cs="Times New Roman"/>
          <w:sz w:val="24"/>
          <w:szCs w:val="24"/>
        </w:rPr>
        <w:t xml:space="preserve"> nonetheless constitutionally valid.  That was because the particular exercise</w:t>
      </w:r>
      <w:r w:rsidRPr="007B0913">
        <w:rPr>
          <w:rFonts w:ascii="Times New Roman" w:hAnsi="Times New Roman" w:cs="Times New Roman"/>
          <w:sz w:val="24"/>
          <w:szCs w:val="24"/>
        </w:rPr>
        <w:t xml:space="preserve"> </w:t>
      </w:r>
      <w:r w:rsidR="00F8003B" w:rsidRPr="007B0913">
        <w:rPr>
          <w:rFonts w:ascii="Times New Roman" w:hAnsi="Times New Roman" w:cs="Times New Roman"/>
          <w:sz w:val="24"/>
          <w:szCs w:val="24"/>
        </w:rPr>
        <w:t xml:space="preserve">of </w:t>
      </w:r>
      <w:r w:rsidRPr="007B0913">
        <w:rPr>
          <w:rFonts w:ascii="Times New Roman" w:hAnsi="Times New Roman" w:cs="Times New Roman"/>
          <w:sz w:val="24"/>
          <w:szCs w:val="24"/>
        </w:rPr>
        <w:t>power</w:t>
      </w:r>
      <w:r w:rsidR="00F8003B" w:rsidRPr="007B0913">
        <w:rPr>
          <w:rFonts w:ascii="Times New Roman" w:hAnsi="Times New Roman" w:cs="Times New Roman"/>
          <w:sz w:val="24"/>
          <w:szCs w:val="24"/>
        </w:rPr>
        <w:t xml:space="preserve"> conferred by the section was relevantly incidental to the exercise of judicial power.</w:t>
      </w:r>
    </w:p>
    <w:p w14:paraId="0E28368D" w14:textId="53B66D19" w:rsidR="00D24C57" w:rsidRPr="007B0913" w:rsidRDefault="00F8003B"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As I have previously indicated, </w:t>
      </w:r>
      <w:r w:rsidR="00D24C57" w:rsidRPr="007B0913">
        <w:rPr>
          <w:rFonts w:ascii="Times New Roman" w:hAnsi="Times New Roman" w:cs="Times New Roman"/>
          <w:sz w:val="24"/>
          <w:szCs w:val="24"/>
        </w:rPr>
        <w:t xml:space="preserve">Justice </w:t>
      </w:r>
      <w:proofErr w:type="spellStart"/>
      <w:r w:rsidR="00D24C57" w:rsidRPr="007B0913">
        <w:rPr>
          <w:rFonts w:ascii="Times New Roman" w:hAnsi="Times New Roman" w:cs="Times New Roman"/>
          <w:sz w:val="24"/>
          <w:szCs w:val="24"/>
        </w:rPr>
        <w:t>Heydon</w:t>
      </w:r>
      <w:proofErr w:type="spellEnd"/>
      <w:r w:rsidR="00D24C57" w:rsidRPr="007B0913">
        <w:rPr>
          <w:rFonts w:ascii="Times New Roman" w:hAnsi="Times New Roman" w:cs="Times New Roman"/>
          <w:sz w:val="24"/>
          <w:szCs w:val="24"/>
        </w:rPr>
        <w:t xml:space="preserve"> co</w:t>
      </w:r>
      <w:r w:rsidR="00F739B7" w:rsidRPr="007B0913">
        <w:rPr>
          <w:rFonts w:ascii="Times New Roman" w:hAnsi="Times New Roman" w:cs="Times New Roman"/>
          <w:sz w:val="24"/>
          <w:szCs w:val="24"/>
        </w:rPr>
        <w:t>ncluded</w:t>
      </w:r>
      <w:r w:rsidR="00D24C57" w:rsidRPr="007B0913">
        <w:rPr>
          <w:rFonts w:ascii="Times New Roman" w:hAnsi="Times New Roman" w:cs="Times New Roman"/>
          <w:sz w:val="24"/>
          <w:szCs w:val="24"/>
        </w:rPr>
        <w:t xml:space="preserve"> that s 36(2) was </w:t>
      </w:r>
      <w:r w:rsidR="00F739B7" w:rsidRPr="007B0913">
        <w:rPr>
          <w:rFonts w:ascii="Times New Roman" w:hAnsi="Times New Roman" w:cs="Times New Roman"/>
          <w:sz w:val="24"/>
          <w:szCs w:val="24"/>
        </w:rPr>
        <w:t xml:space="preserve">itself </w:t>
      </w:r>
      <w:r w:rsidR="00D24C57" w:rsidRPr="007B0913">
        <w:rPr>
          <w:rFonts w:ascii="Times New Roman" w:hAnsi="Times New Roman" w:cs="Times New Roman"/>
          <w:sz w:val="24"/>
          <w:szCs w:val="24"/>
        </w:rPr>
        <w:t>invalid</w:t>
      </w:r>
      <w:r w:rsidR="00975897" w:rsidRPr="007B0913">
        <w:rPr>
          <w:rFonts w:ascii="Times New Roman" w:hAnsi="Times New Roman" w:cs="Times New Roman"/>
          <w:sz w:val="24"/>
          <w:szCs w:val="24"/>
        </w:rPr>
        <w:t xml:space="preserve"> </w:t>
      </w:r>
      <w:r w:rsidR="00DA7E69" w:rsidRPr="007B0913">
        <w:rPr>
          <w:rFonts w:ascii="Times New Roman" w:hAnsi="Times New Roman" w:cs="Times New Roman"/>
          <w:sz w:val="24"/>
          <w:szCs w:val="24"/>
        </w:rPr>
        <w:t xml:space="preserve">along with </w:t>
      </w:r>
      <w:proofErr w:type="spellStart"/>
      <w:r w:rsidR="00DA7E69" w:rsidRPr="007B0913">
        <w:rPr>
          <w:rFonts w:ascii="Times New Roman" w:hAnsi="Times New Roman" w:cs="Times New Roman"/>
          <w:sz w:val="24"/>
          <w:szCs w:val="24"/>
        </w:rPr>
        <w:t>ss</w:t>
      </w:r>
      <w:proofErr w:type="spellEnd"/>
      <w:r w:rsidR="00DA7E69" w:rsidRPr="007B0913">
        <w:rPr>
          <w:rFonts w:ascii="Times New Roman" w:hAnsi="Times New Roman" w:cs="Times New Roman"/>
          <w:sz w:val="24"/>
          <w:szCs w:val="24"/>
        </w:rPr>
        <w:t xml:space="preserve"> 32(1) and 7(2)</w:t>
      </w:r>
      <w:r w:rsidRPr="007B0913">
        <w:rPr>
          <w:rFonts w:ascii="Times New Roman" w:hAnsi="Times New Roman" w:cs="Times New Roman"/>
          <w:sz w:val="24"/>
          <w:szCs w:val="24"/>
        </w:rPr>
        <w:t>.  In his Honour’s view,</w:t>
      </w:r>
      <w:r w:rsidR="00D22DDC" w:rsidRPr="007B0913">
        <w:rPr>
          <w:rFonts w:ascii="Times New Roman" w:hAnsi="Times New Roman" w:cs="Times New Roman"/>
          <w:sz w:val="24"/>
          <w:szCs w:val="24"/>
        </w:rPr>
        <w:t xml:space="preserve"> the entire legislative scheme </w:t>
      </w:r>
      <w:r w:rsidRPr="007B0913">
        <w:rPr>
          <w:rFonts w:ascii="Times New Roman" w:hAnsi="Times New Roman" w:cs="Times New Roman"/>
          <w:sz w:val="24"/>
          <w:szCs w:val="24"/>
        </w:rPr>
        <w:t xml:space="preserve">was unconstitutional </w:t>
      </w:r>
      <w:r w:rsidR="00D24C57" w:rsidRPr="007B0913">
        <w:rPr>
          <w:rFonts w:ascii="Times New Roman" w:hAnsi="Times New Roman" w:cs="Times New Roman"/>
          <w:sz w:val="24"/>
          <w:szCs w:val="24"/>
        </w:rPr>
        <w:t>because it purported to confer legislative power upon the Victorian Supreme Court</w:t>
      </w:r>
      <w:r w:rsidRPr="007B0913">
        <w:rPr>
          <w:rFonts w:ascii="Times New Roman" w:hAnsi="Times New Roman" w:cs="Times New Roman"/>
          <w:sz w:val="24"/>
          <w:szCs w:val="24"/>
        </w:rPr>
        <w:t>, itself a repository of federal jurisdiction</w:t>
      </w:r>
      <w:r w:rsidR="00D24C57" w:rsidRPr="007B0913">
        <w:rPr>
          <w:rFonts w:ascii="Times New Roman" w:hAnsi="Times New Roman" w:cs="Times New Roman"/>
          <w:sz w:val="24"/>
          <w:szCs w:val="24"/>
        </w:rPr>
        <w:t xml:space="preserve">.  </w:t>
      </w:r>
    </w:p>
    <w:p w14:paraId="2224F93A" w14:textId="54F32D6D" w:rsidR="0039562A" w:rsidRPr="007B0913" w:rsidRDefault="0039562A"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It </w:t>
      </w:r>
      <w:r w:rsidR="00F8003B" w:rsidRPr="007B0913">
        <w:rPr>
          <w:rFonts w:ascii="Times New Roman" w:hAnsi="Times New Roman" w:cs="Times New Roman"/>
          <w:sz w:val="24"/>
          <w:szCs w:val="24"/>
        </w:rPr>
        <w:t>can</w:t>
      </w:r>
      <w:r w:rsidRPr="007B0913">
        <w:rPr>
          <w:rFonts w:ascii="Times New Roman" w:hAnsi="Times New Roman" w:cs="Times New Roman"/>
          <w:sz w:val="24"/>
          <w:szCs w:val="24"/>
        </w:rPr>
        <w:t xml:space="preserve"> fairly be said that</w:t>
      </w:r>
      <w:r w:rsidR="0068339E" w:rsidRPr="007B0913">
        <w:rPr>
          <w:rFonts w:ascii="Times New Roman" w:hAnsi="Times New Roman" w:cs="Times New Roman"/>
          <w:sz w:val="24"/>
          <w:szCs w:val="24"/>
        </w:rPr>
        <w:t xml:space="preserve"> the High Court’s decision in</w:t>
      </w:r>
      <w:r w:rsidRPr="007B0913">
        <w:rPr>
          <w:rFonts w:ascii="Times New Roman" w:hAnsi="Times New Roman" w:cs="Times New Roman"/>
          <w:sz w:val="24"/>
          <w:szCs w:val="24"/>
        </w:rPr>
        <w:t xml:space="preserve"> </w:t>
      </w:r>
      <w:proofErr w:type="spellStart"/>
      <w:r w:rsidRPr="007B0913">
        <w:rPr>
          <w:rFonts w:ascii="Times New Roman" w:hAnsi="Times New Roman" w:cs="Times New Roman"/>
          <w:i/>
          <w:sz w:val="24"/>
          <w:szCs w:val="24"/>
        </w:rPr>
        <w:t>Momcilovic</w:t>
      </w:r>
      <w:proofErr w:type="spellEnd"/>
      <w:r w:rsidRPr="007B0913">
        <w:rPr>
          <w:rFonts w:ascii="Times New Roman" w:hAnsi="Times New Roman" w:cs="Times New Roman"/>
          <w:i/>
          <w:sz w:val="24"/>
          <w:szCs w:val="24"/>
        </w:rPr>
        <w:t xml:space="preserve"> </w:t>
      </w:r>
      <w:r w:rsidR="0070341C" w:rsidRPr="007B0913">
        <w:rPr>
          <w:rFonts w:ascii="Times New Roman" w:hAnsi="Times New Roman" w:cs="Times New Roman"/>
          <w:sz w:val="24"/>
          <w:szCs w:val="24"/>
        </w:rPr>
        <w:t xml:space="preserve">has </w:t>
      </w:r>
      <w:r w:rsidR="00F8003B" w:rsidRPr="007B0913">
        <w:rPr>
          <w:rFonts w:ascii="Times New Roman" w:hAnsi="Times New Roman" w:cs="Times New Roman"/>
          <w:sz w:val="24"/>
          <w:szCs w:val="24"/>
        </w:rPr>
        <w:t xml:space="preserve">left the law regarding the </w:t>
      </w:r>
      <w:r w:rsidR="00157B09" w:rsidRPr="007B0913">
        <w:rPr>
          <w:rFonts w:ascii="Times New Roman" w:hAnsi="Times New Roman" w:cs="Times New Roman"/>
          <w:sz w:val="24"/>
          <w:szCs w:val="24"/>
        </w:rPr>
        <w:t xml:space="preserve">interpretive provisions </w:t>
      </w:r>
      <w:r w:rsidR="00F8003B" w:rsidRPr="007B0913">
        <w:rPr>
          <w:rFonts w:ascii="Times New Roman" w:hAnsi="Times New Roman" w:cs="Times New Roman"/>
          <w:sz w:val="24"/>
          <w:szCs w:val="24"/>
        </w:rPr>
        <w:t>of the Charter in a state of uncertainty.  T</w:t>
      </w:r>
      <w:r w:rsidR="00AA01FB" w:rsidRPr="007B0913">
        <w:rPr>
          <w:rFonts w:ascii="Times New Roman" w:hAnsi="Times New Roman" w:cs="Times New Roman"/>
          <w:sz w:val="24"/>
          <w:szCs w:val="24"/>
        </w:rPr>
        <w:t xml:space="preserve">he </w:t>
      </w:r>
      <w:r w:rsidR="00C9044D" w:rsidRPr="007B0913">
        <w:rPr>
          <w:rFonts w:ascii="Times New Roman" w:hAnsi="Times New Roman" w:cs="Times New Roman"/>
          <w:sz w:val="24"/>
          <w:szCs w:val="24"/>
        </w:rPr>
        <w:t>judgment, bereft of any clear holding on this, and several other points of contention,</w:t>
      </w:r>
      <w:r w:rsidR="00CC7AF0" w:rsidRPr="007B0913">
        <w:rPr>
          <w:rFonts w:ascii="Times New Roman" w:hAnsi="Times New Roman" w:cs="Times New Roman"/>
          <w:sz w:val="24"/>
          <w:szCs w:val="24"/>
        </w:rPr>
        <w:t xml:space="preserve"> </w:t>
      </w:r>
      <w:r w:rsidR="00C9044D" w:rsidRPr="007B0913">
        <w:rPr>
          <w:rFonts w:ascii="Times New Roman" w:hAnsi="Times New Roman" w:cs="Times New Roman"/>
          <w:sz w:val="24"/>
          <w:szCs w:val="24"/>
        </w:rPr>
        <w:t>demonstrates</w:t>
      </w:r>
      <w:r w:rsidR="00CC7AF0" w:rsidRPr="007B0913">
        <w:rPr>
          <w:rFonts w:ascii="Times New Roman" w:hAnsi="Times New Roman" w:cs="Times New Roman"/>
          <w:sz w:val="24"/>
          <w:szCs w:val="24"/>
        </w:rPr>
        <w:t xml:space="preserve"> how</w:t>
      </w:r>
      <w:r w:rsidR="00C9044D" w:rsidRPr="007B0913">
        <w:rPr>
          <w:rFonts w:ascii="Times New Roman" w:hAnsi="Times New Roman" w:cs="Times New Roman"/>
          <w:sz w:val="24"/>
          <w:szCs w:val="24"/>
        </w:rPr>
        <w:t xml:space="preserve"> an excessively nuanced approach to statutory interpretation (interspersed with some arcane constitutional analysis)</w:t>
      </w:r>
      <w:r w:rsidR="00C9044D" w:rsidRPr="007B0913">
        <w:rPr>
          <w:rStyle w:val="FootnoteReference"/>
          <w:rFonts w:ascii="Times New Roman" w:hAnsi="Times New Roman" w:cs="Times New Roman"/>
          <w:sz w:val="24"/>
          <w:szCs w:val="24"/>
        </w:rPr>
        <w:footnoteReference w:id="52"/>
      </w:r>
      <w:r w:rsidR="00C9044D" w:rsidRPr="007B0913">
        <w:rPr>
          <w:rFonts w:ascii="Times New Roman" w:hAnsi="Times New Roman" w:cs="Times New Roman"/>
          <w:sz w:val="24"/>
          <w:szCs w:val="24"/>
        </w:rPr>
        <w:t xml:space="preserve"> can be extremely unhelpful.  That is particularly so </w:t>
      </w:r>
      <w:r w:rsidR="00CC7AF0" w:rsidRPr="007B0913">
        <w:rPr>
          <w:rFonts w:ascii="Times New Roman" w:hAnsi="Times New Roman" w:cs="Times New Roman"/>
          <w:sz w:val="24"/>
          <w:szCs w:val="24"/>
        </w:rPr>
        <w:t>in relation to a statute</w:t>
      </w:r>
      <w:r w:rsidR="00C9044D" w:rsidRPr="007B0913">
        <w:rPr>
          <w:rFonts w:ascii="Times New Roman" w:hAnsi="Times New Roman" w:cs="Times New Roman"/>
          <w:sz w:val="24"/>
          <w:szCs w:val="24"/>
        </w:rPr>
        <w:t xml:space="preserve"> such as the Charter, which </w:t>
      </w:r>
      <w:r w:rsidR="00CC7AF0" w:rsidRPr="007B0913">
        <w:rPr>
          <w:rFonts w:ascii="Times New Roman" w:hAnsi="Times New Roman" w:cs="Times New Roman"/>
          <w:sz w:val="24"/>
          <w:szCs w:val="24"/>
        </w:rPr>
        <w:t xml:space="preserve">is intended to </w:t>
      </w:r>
      <w:r w:rsidR="00F12612" w:rsidRPr="007B0913">
        <w:rPr>
          <w:rFonts w:ascii="Times New Roman" w:hAnsi="Times New Roman" w:cs="Times New Roman"/>
          <w:sz w:val="24"/>
          <w:szCs w:val="24"/>
        </w:rPr>
        <w:t>set out</w:t>
      </w:r>
      <w:r w:rsidR="00C9044D" w:rsidRPr="007B0913">
        <w:rPr>
          <w:rFonts w:ascii="Times New Roman" w:hAnsi="Times New Roman" w:cs="Times New Roman"/>
          <w:sz w:val="24"/>
          <w:szCs w:val="24"/>
        </w:rPr>
        <w:t xml:space="preserve"> clearly, and comprehensibly,</w:t>
      </w:r>
      <w:r w:rsidR="00F12612" w:rsidRPr="007B0913">
        <w:rPr>
          <w:rFonts w:ascii="Times New Roman" w:hAnsi="Times New Roman" w:cs="Times New Roman"/>
          <w:sz w:val="24"/>
          <w:szCs w:val="24"/>
        </w:rPr>
        <w:t xml:space="preserve"> </w:t>
      </w:r>
      <w:r w:rsidR="00C9044D" w:rsidRPr="007B0913">
        <w:rPr>
          <w:rFonts w:ascii="Times New Roman" w:hAnsi="Times New Roman" w:cs="Times New Roman"/>
          <w:sz w:val="24"/>
          <w:szCs w:val="24"/>
        </w:rPr>
        <w:t xml:space="preserve">the </w:t>
      </w:r>
      <w:r w:rsidR="00F12612" w:rsidRPr="007B0913">
        <w:rPr>
          <w:rFonts w:ascii="Times New Roman" w:hAnsi="Times New Roman" w:cs="Times New Roman"/>
          <w:sz w:val="24"/>
          <w:szCs w:val="24"/>
        </w:rPr>
        <w:t xml:space="preserve">basic </w:t>
      </w:r>
      <w:r w:rsidR="00F8003B" w:rsidRPr="007B0913">
        <w:rPr>
          <w:rFonts w:ascii="Times New Roman" w:hAnsi="Times New Roman" w:cs="Times New Roman"/>
          <w:sz w:val="24"/>
          <w:szCs w:val="24"/>
        </w:rPr>
        <w:t>and fundamental</w:t>
      </w:r>
      <w:r w:rsidR="00C9044D" w:rsidRPr="007B0913">
        <w:rPr>
          <w:rFonts w:ascii="Times New Roman" w:hAnsi="Times New Roman" w:cs="Times New Roman"/>
          <w:sz w:val="24"/>
          <w:szCs w:val="24"/>
        </w:rPr>
        <w:t xml:space="preserve"> rights afforded to all Victorians.</w:t>
      </w:r>
      <w:r w:rsidR="0015043D" w:rsidRPr="007B0913">
        <w:rPr>
          <w:rFonts w:ascii="Times New Roman" w:hAnsi="Times New Roman" w:cs="Times New Roman"/>
          <w:sz w:val="24"/>
          <w:szCs w:val="24"/>
        </w:rPr>
        <w:t xml:space="preserve">  </w:t>
      </w:r>
    </w:p>
    <w:p w14:paraId="34B536E5" w14:textId="6396B450" w:rsidR="00A11F77" w:rsidRPr="007B0913" w:rsidRDefault="00165CBC"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With </w:t>
      </w:r>
      <w:r w:rsidR="006D7D14" w:rsidRPr="007B0913">
        <w:rPr>
          <w:rFonts w:ascii="Times New Roman" w:hAnsi="Times New Roman" w:cs="Times New Roman"/>
          <w:sz w:val="24"/>
          <w:szCs w:val="24"/>
        </w:rPr>
        <w:t xml:space="preserve">the general </w:t>
      </w:r>
      <w:r w:rsidR="00D124FA" w:rsidRPr="007B0913">
        <w:rPr>
          <w:rFonts w:ascii="Times New Roman" w:hAnsi="Times New Roman" w:cs="Times New Roman"/>
          <w:sz w:val="24"/>
          <w:szCs w:val="24"/>
        </w:rPr>
        <w:t>uncertainty</w:t>
      </w:r>
      <w:r w:rsidR="006D7D14" w:rsidRPr="007B0913">
        <w:rPr>
          <w:rFonts w:ascii="Times New Roman" w:hAnsi="Times New Roman" w:cs="Times New Roman"/>
          <w:sz w:val="24"/>
          <w:szCs w:val="24"/>
        </w:rPr>
        <w:t xml:space="preserve"> that now </w:t>
      </w:r>
      <w:r w:rsidR="00FC3AB3" w:rsidRPr="007B0913">
        <w:rPr>
          <w:rFonts w:ascii="Times New Roman" w:hAnsi="Times New Roman" w:cs="Times New Roman"/>
          <w:sz w:val="24"/>
          <w:szCs w:val="24"/>
        </w:rPr>
        <w:t xml:space="preserve">permeates </w:t>
      </w:r>
      <w:r w:rsidRPr="007B0913">
        <w:rPr>
          <w:rFonts w:ascii="Times New Roman" w:hAnsi="Times New Roman" w:cs="Times New Roman"/>
          <w:sz w:val="24"/>
          <w:szCs w:val="24"/>
        </w:rPr>
        <w:t xml:space="preserve">key </w:t>
      </w:r>
      <w:r w:rsidR="00FC3AB3" w:rsidRPr="007B0913">
        <w:rPr>
          <w:rFonts w:ascii="Times New Roman" w:hAnsi="Times New Roman" w:cs="Times New Roman"/>
          <w:sz w:val="24"/>
          <w:szCs w:val="24"/>
        </w:rPr>
        <w:t xml:space="preserve">aspects of the Charter, </w:t>
      </w:r>
      <w:r w:rsidR="00D124FA" w:rsidRPr="007B0913">
        <w:rPr>
          <w:rFonts w:ascii="Times New Roman" w:hAnsi="Times New Roman" w:cs="Times New Roman"/>
          <w:sz w:val="24"/>
          <w:szCs w:val="24"/>
        </w:rPr>
        <w:t>is there any scope, in reality,</w:t>
      </w:r>
      <w:r w:rsidR="00A11F77" w:rsidRPr="007B0913">
        <w:rPr>
          <w:rFonts w:ascii="Times New Roman" w:hAnsi="Times New Roman" w:cs="Times New Roman"/>
          <w:sz w:val="24"/>
          <w:szCs w:val="24"/>
        </w:rPr>
        <w:t xml:space="preserve"> for s</w:t>
      </w:r>
      <w:r w:rsidR="001B2472" w:rsidRPr="007B0913">
        <w:rPr>
          <w:rFonts w:ascii="Times New Roman" w:hAnsi="Times New Roman" w:cs="Times New Roman"/>
          <w:sz w:val="24"/>
          <w:szCs w:val="24"/>
        </w:rPr>
        <w:t xml:space="preserve"> </w:t>
      </w:r>
      <w:r w:rsidR="00184AB1" w:rsidRPr="007B0913">
        <w:rPr>
          <w:rFonts w:ascii="Times New Roman" w:hAnsi="Times New Roman" w:cs="Times New Roman"/>
          <w:sz w:val="24"/>
          <w:szCs w:val="24"/>
        </w:rPr>
        <w:t xml:space="preserve">32(1) </w:t>
      </w:r>
      <w:r w:rsidR="00D124FA" w:rsidRPr="007B0913">
        <w:rPr>
          <w:rFonts w:ascii="Times New Roman" w:hAnsi="Times New Roman" w:cs="Times New Roman"/>
          <w:sz w:val="24"/>
          <w:szCs w:val="24"/>
        </w:rPr>
        <w:t>to</w:t>
      </w:r>
      <w:r w:rsidR="00A11F77" w:rsidRPr="007B0913">
        <w:rPr>
          <w:rFonts w:ascii="Times New Roman" w:hAnsi="Times New Roman" w:cs="Times New Roman"/>
          <w:sz w:val="24"/>
          <w:szCs w:val="24"/>
        </w:rPr>
        <w:t xml:space="preserve"> play </w:t>
      </w:r>
      <w:r w:rsidR="00D124FA" w:rsidRPr="007B0913">
        <w:rPr>
          <w:rFonts w:ascii="Times New Roman" w:hAnsi="Times New Roman" w:cs="Times New Roman"/>
          <w:sz w:val="24"/>
          <w:szCs w:val="24"/>
        </w:rPr>
        <w:t>a significant</w:t>
      </w:r>
      <w:r w:rsidR="00A44708" w:rsidRPr="007B0913">
        <w:rPr>
          <w:rFonts w:ascii="Times New Roman" w:hAnsi="Times New Roman" w:cs="Times New Roman"/>
          <w:sz w:val="24"/>
          <w:szCs w:val="24"/>
        </w:rPr>
        <w:t xml:space="preserve"> </w:t>
      </w:r>
      <w:r w:rsidR="00A11F77" w:rsidRPr="007B0913">
        <w:rPr>
          <w:rFonts w:ascii="Times New Roman" w:hAnsi="Times New Roman" w:cs="Times New Roman"/>
          <w:sz w:val="24"/>
          <w:szCs w:val="24"/>
        </w:rPr>
        <w:t xml:space="preserve">role in the </w:t>
      </w:r>
      <w:r w:rsidR="0053437F" w:rsidRPr="007B0913">
        <w:rPr>
          <w:rFonts w:ascii="Times New Roman" w:hAnsi="Times New Roman" w:cs="Times New Roman"/>
          <w:sz w:val="24"/>
          <w:szCs w:val="24"/>
        </w:rPr>
        <w:t xml:space="preserve">day to day </w:t>
      </w:r>
      <w:r w:rsidR="00D124FA" w:rsidRPr="007B0913">
        <w:rPr>
          <w:rFonts w:ascii="Times New Roman" w:hAnsi="Times New Roman" w:cs="Times New Roman"/>
          <w:sz w:val="24"/>
          <w:szCs w:val="24"/>
        </w:rPr>
        <w:t>process of interpreting criminal statutes</w:t>
      </w:r>
      <w:r w:rsidR="00A11F77" w:rsidRPr="007B0913">
        <w:rPr>
          <w:rFonts w:ascii="Times New Roman" w:hAnsi="Times New Roman" w:cs="Times New Roman"/>
          <w:sz w:val="24"/>
          <w:szCs w:val="24"/>
        </w:rPr>
        <w:t xml:space="preserve">?  </w:t>
      </w:r>
      <w:r w:rsidR="0003091A" w:rsidRPr="007B0913">
        <w:rPr>
          <w:rFonts w:ascii="Times New Roman" w:hAnsi="Times New Roman" w:cs="Times New Roman"/>
          <w:sz w:val="24"/>
          <w:szCs w:val="24"/>
        </w:rPr>
        <w:t xml:space="preserve">Given </w:t>
      </w:r>
      <w:r w:rsidRPr="007B0913">
        <w:rPr>
          <w:rFonts w:ascii="Times New Roman" w:hAnsi="Times New Roman" w:cs="Times New Roman"/>
          <w:sz w:val="24"/>
          <w:szCs w:val="24"/>
        </w:rPr>
        <w:t xml:space="preserve">the Court of Appeal’s current view </w:t>
      </w:r>
      <w:r w:rsidR="00A15AD6" w:rsidRPr="007B0913">
        <w:rPr>
          <w:rFonts w:ascii="Times New Roman" w:hAnsi="Times New Roman" w:cs="Times New Roman"/>
          <w:sz w:val="24"/>
          <w:szCs w:val="24"/>
        </w:rPr>
        <w:t xml:space="preserve">of </w:t>
      </w:r>
      <w:r w:rsidR="00270A07" w:rsidRPr="007B0913">
        <w:rPr>
          <w:rFonts w:ascii="Times New Roman" w:hAnsi="Times New Roman" w:cs="Times New Roman"/>
          <w:sz w:val="24"/>
          <w:szCs w:val="24"/>
        </w:rPr>
        <w:t>the proper construction of that section</w:t>
      </w:r>
      <w:r w:rsidRPr="007B0913">
        <w:rPr>
          <w:rFonts w:ascii="Times New Roman" w:hAnsi="Times New Roman" w:cs="Times New Roman"/>
          <w:sz w:val="24"/>
          <w:szCs w:val="24"/>
        </w:rPr>
        <w:t>,</w:t>
      </w:r>
      <w:r w:rsidR="00270A07" w:rsidRPr="007B0913">
        <w:rPr>
          <w:rFonts w:ascii="Times New Roman" w:hAnsi="Times New Roman" w:cs="Times New Roman"/>
          <w:sz w:val="24"/>
          <w:szCs w:val="24"/>
        </w:rPr>
        <w:t xml:space="preserve"> and its </w:t>
      </w:r>
      <w:r w:rsidR="00E9697B" w:rsidRPr="007B0913">
        <w:rPr>
          <w:rFonts w:ascii="Times New Roman" w:hAnsi="Times New Roman" w:cs="Times New Roman"/>
          <w:sz w:val="24"/>
          <w:szCs w:val="24"/>
        </w:rPr>
        <w:t>understandable</w:t>
      </w:r>
      <w:r w:rsidR="00270A07" w:rsidRPr="007B0913">
        <w:rPr>
          <w:rFonts w:ascii="Times New Roman" w:hAnsi="Times New Roman" w:cs="Times New Roman"/>
          <w:sz w:val="24"/>
          <w:szCs w:val="24"/>
        </w:rPr>
        <w:t xml:space="preserve"> unwillingness</w:t>
      </w:r>
      <w:r w:rsidR="00E9697B" w:rsidRPr="007B0913">
        <w:rPr>
          <w:rFonts w:ascii="Times New Roman" w:hAnsi="Times New Roman" w:cs="Times New Roman"/>
          <w:sz w:val="24"/>
          <w:szCs w:val="24"/>
        </w:rPr>
        <w:t xml:space="preserve"> in the circumstances </w:t>
      </w:r>
      <w:r w:rsidR="00270A07" w:rsidRPr="007B0913">
        <w:rPr>
          <w:rFonts w:ascii="Times New Roman" w:hAnsi="Times New Roman" w:cs="Times New Roman"/>
          <w:sz w:val="24"/>
          <w:szCs w:val="24"/>
        </w:rPr>
        <w:t>to embrace s</w:t>
      </w:r>
      <w:r w:rsidR="0053437F" w:rsidRPr="007B0913">
        <w:rPr>
          <w:rFonts w:ascii="Times New Roman" w:hAnsi="Times New Roman" w:cs="Times New Roman"/>
          <w:sz w:val="24"/>
          <w:szCs w:val="24"/>
        </w:rPr>
        <w:t xml:space="preserve"> 7(2</w:t>
      </w:r>
      <w:r w:rsidR="00270A07" w:rsidRPr="007B0913">
        <w:rPr>
          <w:rFonts w:ascii="Times New Roman" w:hAnsi="Times New Roman" w:cs="Times New Roman"/>
          <w:sz w:val="24"/>
          <w:szCs w:val="24"/>
        </w:rPr>
        <w:t xml:space="preserve">) as part of </w:t>
      </w:r>
      <w:r w:rsidR="00270A07" w:rsidRPr="007B0913">
        <w:rPr>
          <w:rFonts w:ascii="Times New Roman" w:hAnsi="Times New Roman" w:cs="Times New Roman"/>
          <w:sz w:val="24"/>
          <w:szCs w:val="24"/>
        </w:rPr>
        <w:lastRenderedPageBreak/>
        <w:t xml:space="preserve">the </w:t>
      </w:r>
      <w:r w:rsidR="0053437F" w:rsidRPr="007B0913">
        <w:rPr>
          <w:rFonts w:ascii="Times New Roman" w:hAnsi="Times New Roman" w:cs="Times New Roman"/>
          <w:sz w:val="24"/>
          <w:szCs w:val="24"/>
        </w:rPr>
        <w:t xml:space="preserve">interpretive process, </w:t>
      </w:r>
      <w:r w:rsidR="00E9697B" w:rsidRPr="007B0913">
        <w:rPr>
          <w:rFonts w:ascii="Times New Roman" w:hAnsi="Times New Roman" w:cs="Times New Roman"/>
          <w:sz w:val="24"/>
          <w:szCs w:val="24"/>
        </w:rPr>
        <w:t xml:space="preserve">the Charter’s utility in promoting human rights must be viewed as problematic.  </w:t>
      </w:r>
    </w:p>
    <w:p w14:paraId="2A48ABE8" w14:textId="6ED8CEBB" w:rsidR="00E26AE0" w:rsidRPr="007B0913" w:rsidRDefault="00E9697B"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In any event, given the current state of affairs, there is a real question as to whether s 32(1) has any significant role to play in the process of interpreting penal provisions.  It follows that the Charter’s emphasis upon the central precept of the criminal law, the right to a fair trial, may in fact be much ado about comparatively little.  </w:t>
      </w:r>
    </w:p>
    <w:p w14:paraId="6FD14646" w14:textId="371A1ABA" w:rsidR="00E26AE0" w:rsidRPr="00585172" w:rsidRDefault="00AD7D6D" w:rsidP="006B2E41">
      <w:pPr>
        <w:spacing w:after="240" w:line="360" w:lineRule="auto"/>
        <w:jc w:val="both"/>
        <w:rPr>
          <w:rFonts w:ascii="Times New Roman" w:hAnsi="Times New Roman" w:cs="Times New Roman"/>
          <w:b/>
          <w:sz w:val="24"/>
          <w:szCs w:val="24"/>
        </w:rPr>
      </w:pPr>
      <w:r w:rsidRPr="00585172">
        <w:rPr>
          <w:rFonts w:ascii="Times New Roman" w:hAnsi="Times New Roman" w:cs="Times New Roman"/>
          <w:b/>
          <w:sz w:val="24"/>
          <w:szCs w:val="24"/>
        </w:rPr>
        <w:t xml:space="preserve">Common Law Protections of the </w:t>
      </w:r>
      <w:r w:rsidR="00C2567C" w:rsidRPr="00585172">
        <w:rPr>
          <w:rFonts w:ascii="Times New Roman" w:hAnsi="Times New Roman" w:cs="Times New Roman"/>
          <w:b/>
          <w:sz w:val="24"/>
          <w:szCs w:val="24"/>
        </w:rPr>
        <w:t>Right to a Fair Trial</w:t>
      </w:r>
      <w:r w:rsidR="0080300A" w:rsidRPr="00585172">
        <w:rPr>
          <w:rFonts w:ascii="Times New Roman" w:hAnsi="Times New Roman" w:cs="Times New Roman"/>
          <w:b/>
          <w:sz w:val="24"/>
          <w:szCs w:val="24"/>
        </w:rPr>
        <w:t xml:space="preserve"> – Does s 32(1) Add Anything?</w:t>
      </w:r>
    </w:p>
    <w:p w14:paraId="23B1A3C5" w14:textId="0F536067" w:rsidR="006A3D05" w:rsidRPr="007B0913" w:rsidRDefault="009C03AC" w:rsidP="0035590A">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It has been said that</w:t>
      </w:r>
      <w:r w:rsidR="00840D2D" w:rsidRPr="007B0913">
        <w:rPr>
          <w:rFonts w:ascii="Times New Roman" w:hAnsi="Times New Roman" w:cs="Times New Roman"/>
          <w:sz w:val="24"/>
          <w:szCs w:val="24"/>
        </w:rPr>
        <w:t>,</w:t>
      </w:r>
      <w:r w:rsidRPr="007B0913">
        <w:rPr>
          <w:rFonts w:ascii="Times New Roman" w:hAnsi="Times New Roman" w:cs="Times New Roman"/>
          <w:sz w:val="24"/>
          <w:szCs w:val="24"/>
        </w:rPr>
        <w:t xml:space="preserve"> in Australia, </w:t>
      </w:r>
      <w:r w:rsidR="00A01D6F" w:rsidRPr="007B0913">
        <w:rPr>
          <w:rFonts w:ascii="Times New Roman" w:hAnsi="Times New Roman" w:cs="Times New Roman"/>
          <w:sz w:val="24"/>
          <w:szCs w:val="24"/>
        </w:rPr>
        <w:t>‘</w:t>
      </w:r>
      <w:r w:rsidRPr="007B0913">
        <w:rPr>
          <w:rFonts w:ascii="Times New Roman" w:hAnsi="Times New Roman" w:cs="Times New Roman"/>
          <w:sz w:val="24"/>
          <w:szCs w:val="24"/>
        </w:rPr>
        <w:t>the courts approach the interpretation of legislation with a number of basic assumptions or presumptions in mind</w:t>
      </w:r>
      <w:r w:rsidR="00A01D6F" w:rsidRPr="007B0913">
        <w:rPr>
          <w:rFonts w:ascii="Times New Roman" w:hAnsi="Times New Roman" w:cs="Times New Roman"/>
          <w:sz w:val="24"/>
          <w:szCs w:val="24"/>
        </w:rPr>
        <w:t>’</w:t>
      </w:r>
      <w:r w:rsidRPr="007B0913">
        <w:rPr>
          <w:rFonts w:ascii="Times New Roman" w:hAnsi="Times New Roman" w:cs="Times New Roman"/>
          <w:sz w:val="24"/>
          <w:szCs w:val="24"/>
        </w:rPr>
        <w:t>.</w:t>
      </w:r>
      <w:r w:rsidR="00A01D6F" w:rsidRPr="007B0913">
        <w:rPr>
          <w:rStyle w:val="FootnoteReference"/>
          <w:rFonts w:ascii="Times New Roman" w:hAnsi="Times New Roman" w:cs="Times New Roman"/>
          <w:sz w:val="24"/>
          <w:szCs w:val="24"/>
        </w:rPr>
        <w:t xml:space="preserve"> </w:t>
      </w:r>
      <w:r w:rsidR="00A01D6F" w:rsidRPr="007B0913">
        <w:rPr>
          <w:rStyle w:val="FootnoteReference"/>
          <w:rFonts w:ascii="Times New Roman" w:hAnsi="Times New Roman" w:cs="Times New Roman"/>
          <w:sz w:val="24"/>
          <w:szCs w:val="24"/>
        </w:rPr>
        <w:footnoteReference w:id="53"/>
      </w:r>
      <w:r w:rsidRPr="007B0913">
        <w:rPr>
          <w:rFonts w:ascii="Times New Roman" w:hAnsi="Times New Roman" w:cs="Times New Roman"/>
          <w:sz w:val="24"/>
          <w:szCs w:val="24"/>
        </w:rPr>
        <w:t xml:space="preserve">  These are said to be interchangeable terms, and to give way in the face of a sufficiently clear indication in the legislation that it is to operate contrary to them.</w:t>
      </w:r>
      <w:r w:rsidRPr="007B0913">
        <w:rPr>
          <w:rStyle w:val="FootnoteReference"/>
          <w:rFonts w:ascii="Times New Roman" w:hAnsi="Times New Roman" w:cs="Times New Roman"/>
          <w:sz w:val="24"/>
          <w:szCs w:val="24"/>
        </w:rPr>
        <w:footnoteReference w:id="54"/>
      </w:r>
      <w:r w:rsidR="0035590A" w:rsidRPr="007B0913">
        <w:rPr>
          <w:rFonts w:ascii="Times New Roman" w:hAnsi="Times New Roman" w:cs="Times New Roman"/>
          <w:sz w:val="24"/>
          <w:szCs w:val="24"/>
        </w:rPr>
        <w:t xml:space="preserve">  </w:t>
      </w:r>
      <w:r w:rsidR="006A3D05" w:rsidRPr="007B0913">
        <w:rPr>
          <w:rFonts w:ascii="Times New Roman" w:hAnsi="Times New Roman" w:cs="Times New Roman"/>
          <w:sz w:val="24"/>
          <w:szCs w:val="24"/>
        </w:rPr>
        <w:t xml:space="preserve">The various assumptions can be viewed </w:t>
      </w:r>
      <w:r w:rsidR="0035590A" w:rsidRPr="007B0913">
        <w:rPr>
          <w:rFonts w:ascii="Times New Roman" w:hAnsi="Times New Roman" w:cs="Times New Roman"/>
          <w:sz w:val="24"/>
          <w:szCs w:val="24"/>
        </w:rPr>
        <w:t>‘</w:t>
      </w:r>
      <w:r w:rsidR="00C35ABA" w:rsidRPr="007B0913">
        <w:rPr>
          <w:rFonts w:ascii="Times New Roman" w:hAnsi="Times New Roman" w:cs="Times New Roman"/>
          <w:sz w:val="24"/>
          <w:szCs w:val="24"/>
        </w:rPr>
        <w:t>as the courts’</w:t>
      </w:r>
      <w:r w:rsidR="006A3D05" w:rsidRPr="007B0913">
        <w:rPr>
          <w:rFonts w:ascii="Times New Roman" w:hAnsi="Times New Roman" w:cs="Times New Roman"/>
          <w:sz w:val="24"/>
          <w:szCs w:val="24"/>
        </w:rPr>
        <w:t xml:space="preserve"> efforts to provide, in effect, a common law </w:t>
      </w:r>
      <w:proofErr w:type="gramStart"/>
      <w:r w:rsidR="006A3D05" w:rsidRPr="007B0913">
        <w:rPr>
          <w:rFonts w:ascii="Times New Roman" w:hAnsi="Times New Roman" w:cs="Times New Roman"/>
          <w:sz w:val="24"/>
          <w:szCs w:val="24"/>
        </w:rPr>
        <w:t>Bill of Rights</w:t>
      </w:r>
      <w:r w:rsidR="009F4CF4" w:rsidRPr="007B0913">
        <w:rPr>
          <w:rFonts w:ascii="Times New Roman" w:hAnsi="Times New Roman" w:cs="Times New Roman"/>
          <w:sz w:val="24"/>
          <w:szCs w:val="24"/>
        </w:rPr>
        <w:t>’</w:t>
      </w:r>
      <w:proofErr w:type="gramEnd"/>
      <w:r w:rsidR="006A3D05" w:rsidRPr="007B0913">
        <w:rPr>
          <w:rFonts w:ascii="Times New Roman" w:hAnsi="Times New Roman" w:cs="Times New Roman"/>
          <w:sz w:val="24"/>
          <w:szCs w:val="24"/>
        </w:rPr>
        <w:t>.</w:t>
      </w:r>
      <w:r w:rsidR="009F4CF4" w:rsidRPr="007B0913">
        <w:rPr>
          <w:rStyle w:val="FootnoteReference"/>
          <w:rFonts w:ascii="Times New Roman" w:hAnsi="Times New Roman" w:cs="Times New Roman"/>
          <w:sz w:val="24"/>
          <w:szCs w:val="24"/>
        </w:rPr>
        <w:footnoteReference w:id="55"/>
      </w:r>
      <w:r w:rsidR="006A3D05" w:rsidRPr="007B0913">
        <w:rPr>
          <w:rFonts w:ascii="Times New Roman" w:hAnsi="Times New Roman" w:cs="Times New Roman"/>
          <w:sz w:val="24"/>
          <w:szCs w:val="24"/>
        </w:rPr>
        <w:t xml:space="preserve">  </w:t>
      </w:r>
    </w:p>
    <w:p w14:paraId="6F80FB82" w14:textId="413BD801" w:rsidR="00A22F50" w:rsidRPr="007B0913" w:rsidRDefault="0069687F"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In </w:t>
      </w:r>
      <w:r w:rsidRPr="007B0913">
        <w:rPr>
          <w:rFonts w:ascii="Times New Roman" w:hAnsi="Times New Roman" w:cs="Times New Roman"/>
          <w:i/>
          <w:sz w:val="24"/>
          <w:szCs w:val="24"/>
        </w:rPr>
        <w:t>Coco v The Queen</w:t>
      </w:r>
      <w:r w:rsidR="0007028D" w:rsidRPr="007B0913">
        <w:rPr>
          <w:rFonts w:ascii="Times New Roman" w:hAnsi="Times New Roman" w:cs="Times New Roman"/>
          <w:sz w:val="24"/>
          <w:szCs w:val="24"/>
        </w:rPr>
        <w:t>,</w:t>
      </w:r>
      <w:r w:rsidRPr="007B0913">
        <w:rPr>
          <w:rStyle w:val="FootnoteReference"/>
          <w:rFonts w:ascii="Times New Roman" w:hAnsi="Times New Roman" w:cs="Times New Roman"/>
          <w:sz w:val="24"/>
          <w:szCs w:val="24"/>
        </w:rPr>
        <w:footnoteReference w:id="56"/>
      </w:r>
      <w:r w:rsidR="00AD7D6D" w:rsidRPr="007B0913">
        <w:rPr>
          <w:rFonts w:ascii="Times New Roman" w:hAnsi="Times New Roman" w:cs="Times New Roman"/>
          <w:b/>
          <w:sz w:val="24"/>
          <w:szCs w:val="24"/>
        </w:rPr>
        <w:t xml:space="preserve"> </w:t>
      </w:r>
      <w:r w:rsidR="00FD1451" w:rsidRPr="007B0913">
        <w:rPr>
          <w:rFonts w:ascii="Times New Roman" w:hAnsi="Times New Roman" w:cs="Times New Roman"/>
          <w:sz w:val="24"/>
          <w:szCs w:val="24"/>
        </w:rPr>
        <w:t xml:space="preserve">the High Court </w:t>
      </w:r>
      <w:r w:rsidR="00C77C64" w:rsidRPr="007B0913">
        <w:rPr>
          <w:rFonts w:ascii="Times New Roman" w:hAnsi="Times New Roman" w:cs="Times New Roman"/>
          <w:sz w:val="24"/>
          <w:szCs w:val="24"/>
        </w:rPr>
        <w:t xml:space="preserve">referred to the </w:t>
      </w:r>
      <w:r w:rsidR="00736BD9" w:rsidRPr="007B0913">
        <w:rPr>
          <w:rFonts w:ascii="Times New Roman" w:hAnsi="Times New Roman" w:cs="Times New Roman"/>
          <w:sz w:val="24"/>
          <w:szCs w:val="24"/>
        </w:rPr>
        <w:t>long</w:t>
      </w:r>
      <w:r w:rsidR="00C77C64" w:rsidRPr="007B0913">
        <w:rPr>
          <w:rFonts w:ascii="Times New Roman" w:hAnsi="Times New Roman" w:cs="Times New Roman"/>
          <w:sz w:val="24"/>
          <w:szCs w:val="24"/>
        </w:rPr>
        <w:t xml:space="preserve">-established approach to the interpretation of </w:t>
      </w:r>
      <w:r w:rsidR="00BE4ED3" w:rsidRPr="007B0913">
        <w:rPr>
          <w:rFonts w:ascii="Times New Roman" w:hAnsi="Times New Roman" w:cs="Times New Roman"/>
          <w:sz w:val="24"/>
          <w:szCs w:val="24"/>
        </w:rPr>
        <w:t xml:space="preserve">statutes said to abrogate fundamental rights.  </w:t>
      </w:r>
      <w:r w:rsidR="00736BD9" w:rsidRPr="007B0913">
        <w:rPr>
          <w:rFonts w:ascii="Times New Roman" w:hAnsi="Times New Roman" w:cs="Times New Roman"/>
          <w:sz w:val="24"/>
          <w:szCs w:val="24"/>
        </w:rPr>
        <w:t xml:space="preserve">In a joint judgment, Mason CJ, Brennan, </w:t>
      </w:r>
      <w:proofErr w:type="spellStart"/>
      <w:r w:rsidR="00736BD9" w:rsidRPr="007B0913">
        <w:rPr>
          <w:rFonts w:ascii="Times New Roman" w:hAnsi="Times New Roman" w:cs="Times New Roman"/>
          <w:sz w:val="24"/>
          <w:szCs w:val="24"/>
        </w:rPr>
        <w:t>Gaudron</w:t>
      </w:r>
      <w:proofErr w:type="spellEnd"/>
      <w:r w:rsidR="00736BD9" w:rsidRPr="007B0913">
        <w:rPr>
          <w:rFonts w:ascii="Times New Roman" w:hAnsi="Times New Roman" w:cs="Times New Roman"/>
          <w:sz w:val="24"/>
          <w:szCs w:val="24"/>
        </w:rPr>
        <w:t xml:space="preserve"> and </w:t>
      </w:r>
      <w:r w:rsidR="00011DCE" w:rsidRPr="007B0913">
        <w:rPr>
          <w:rFonts w:ascii="Times New Roman" w:hAnsi="Times New Roman" w:cs="Times New Roman"/>
          <w:sz w:val="24"/>
          <w:szCs w:val="24"/>
        </w:rPr>
        <w:t>McHugh JJ observed that:</w:t>
      </w:r>
    </w:p>
    <w:p w14:paraId="1CA8C4A4" w14:textId="6729532A" w:rsidR="00AD7D6D" w:rsidRPr="007B0913" w:rsidRDefault="00011DCE" w:rsidP="006B2E41">
      <w:pPr>
        <w:spacing w:after="240"/>
        <w:ind w:left="720"/>
        <w:jc w:val="both"/>
        <w:rPr>
          <w:rFonts w:ascii="Times New Roman" w:hAnsi="Times New Roman" w:cs="Times New Roman"/>
          <w:sz w:val="24"/>
          <w:szCs w:val="24"/>
        </w:rPr>
      </w:pPr>
      <w:proofErr w:type="gramStart"/>
      <w:r w:rsidRPr="007B0913">
        <w:rPr>
          <w:rFonts w:ascii="Times New Roman" w:hAnsi="Times New Roman" w:cs="Times New Roman"/>
        </w:rPr>
        <w:t>c</w:t>
      </w:r>
      <w:r w:rsidR="00A22F50" w:rsidRPr="007B0913">
        <w:rPr>
          <w:rFonts w:ascii="Times New Roman" w:hAnsi="Times New Roman" w:cs="Times New Roman"/>
        </w:rPr>
        <w:t>urial</w:t>
      </w:r>
      <w:proofErr w:type="gramEnd"/>
      <w:r w:rsidR="00A22F50" w:rsidRPr="007B0913">
        <w:rPr>
          <w:rFonts w:ascii="Times New Roman" w:hAnsi="Times New Roman" w:cs="Times New Roman"/>
        </w:rPr>
        <w:t xml:space="preserve"> insistence on a clear expression of an unmistakable and </w:t>
      </w:r>
      <w:r w:rsidR="006A714C" w:rsidRPr="007B0913">
        <w:rPr>
          <w:rFonts w:ascii="Times New Roman" w:hAnsi="Times New Roman" w:cs="Times New Roman"/>
        </w:rPr>
        <w:t>unambiguous intention to abrogate or curtail</w:t>
      </w:r>
      <w:r w:rsidR="00FD1451" w:rsidRPr="007B0913">
        <w:rPr>
          <w:rFonts w:ascii="Times New Roman" w:hAnsi="Times New Roman" w:cs="Times New Roman"/>
          <w:b/>
        </w:rPr>
        <w:t xml:space="preserve"> </w:t>
      </w:r>
      <w:r w:rsidR="006A714C" w:rsidRPr="007B0913">
        <w:rPr>
          <w:rFonts w:ascii="Times New Roman" w:hAnsi="Times New Roman" w:cs="Times New Roman"/>
        </w:rPr>
        <w:t>a fundamental freedom will enhance the parliamentary process by securing a greater measure of attention to the impact of legislative proposals on fundamental rights.</w:t>
      </w:r>
      <w:r w:rsidR="006A714C" w:rsidRPr="007B0913">
        <w:rPr>
          <w:rStyle w:val="FootnoteReference"/>
          <w:rFonts w:ascii="Times New Roman" w:hAnsi="Times New Roman" w:cs="Times New Roman"/>
          <w:sz w:val="24"/>
          <w:szCs w:val="24"/>
        </w:rPr>
        <w:footnoteReference w:id="57"/>
      </w:r>
      <w:r w:rsidR="006A714C" w:rsidRPr="007B0913">
        <w:rPr>
          <w:rFonts w:ascii="Times New Roman" w:hAnsi="Times New Roman" w:cs="Times New Roman"/>
          <w:sz w:val="24"/>
          <w:szCs w:val="24"/>
        </w:rPr>
        <w:t xml:space="preserve"> </w:t>
      </w:r>
    </w:p>
    <w:p w14:paraId="29F410EC" w14:textId="13CF42D6" w:rsidR="00304285" w:rsidRPr="007B0913" w:rsidRDefault="00304285"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More recently, this </w:t>
      </w:r>
      <w:r w:rsidR="00736BD9" w:rsidRPr="007B0913">
        <w:rPr>
          <w:rFonts w:ascii="Times New Roman" w:hAnsi="Times New Roman" w:cs="Times New Roman"/>
          <w:sz w:val="24"/>
          <w:szCs w:val="24"/>
        </w:rPr>
        <w:t>principle of statutory interpretation</w:t>
      </w:r>
      <w:r w:rsidRPr="007B0913">
        <w:rPr>
          <w:rFonts w:ascii="Times New Roman" w:hAnsi="Times New Roman" w:cs="Times New Roman"/>
          <w:sz w:val="24"/>
          <w:szCs w:val="24"/>
        </w:rPr>
        <w:t xml:space="preserve"> has been </w:t>
      </w:r>
      <w:r w:rsidR="00410AAD" w:rsidRPr="007B0913">
        <w:rPr>
          <w:rFonts w:ascii="Times New Roman" w:hAnsi="Times New Roman" w:cs="Times New Roman"/>
          <w:sz w:val="24"/>
          <w:szCs w:val="24"/>
        </w:rPr>
        <w:t>re-</w:t>
      </w:r>
      <w:r w:rsidRPr="007B0913">
        <w:rPr>
          <w:rFonts w:ascii="Times New Roman" w:hAnsi="Times New Roman" w:cs="Times New Roman"/>
          <w:sz w:val="24"/>
          <w:szCs w:val="24"/>
        </w:rPr>
        <w:t>designated by the High Court as the ‘principle of legality’.</w:t>
      </w:r>
      <w:r w:rsidRPr="007B0913">
        <w:rPr>
          <w:rStyle w:val="FootnoteReference"/>
          <w:rFonts w:ascii="Times New Roman" w:hAnsi="Times New Roman" w:cs="Times New Roman"/>
          <w:sz w:val="24"/>
          <w:szCs w:val="24"/>
        </w:rPr>
        <w:footnoteReference w:id="58"/>
      </w:r>
      <w:r w:rsidR="006E776A" w:rsidRPr="007B0913">
        <w:rPr>
          <w:rFonts w:ascii="Times New Roman" w:hAnsi="Times New Roman" w:cs="Times New Roman"/>
          <w:sz w:val="24"/>
          <w:szCs w:val="24"/>
        </w:rPr>
        <w:t xml:space="preserve">  </w:t>
      </w:r>
      <w:r w:rsidR="00736BD9" w:rsidRPr="007B0913">
        <w:rPr>
          <w:rFonts w:ascii="Times New Roman" w:hAnsi="Times New Roman" w:cs="Times New Roman"/>
          <w:sz w:val="24"/>
          <w:szCs w:val="24"/>
        </w:rPr>
        <w:t xml:space="preserve">In </w:t>
      </w:r>
      <w:r w:rsidR="00736BD9" w:rsidRPr="007B0913">
        <w:rPr>
          <w:rFonts w:ascii="Times New Roman" w:hAnsi="Times New Roman" w:cs="Times New Roman"/>
          <w:i/>
          <w:sz w:val="24"/>
          <w:szCs w:val="24"/>
        </w:rPr>
        <w:t>Al-</w:t>
      </w:r>
      <w:proofErr w:type="spellStart"/>
      <w:r w:rsidR="00736BD9" w:rsidRPr="007B0913">
        <w:rPr>
          <w:rFonts w:ascii="Times New Roman" w:hAnsi="Times New Roman" w:cs="Times New Roman"/>
          <w:i/>
          <w:sz w:val="24"/>
          <w:szCs w:val="24"/>
        </w:rPr>
        <w:t>Kateb</w:t>
      </w:r>
      <w:proofErr w:type="spellEnd"/>
      <w:r w:rsidR="00736BD9" w:rsidRPr="007B0913">
        <w:rPr>
          <w:rFonts w:ascii="Times New Roman" w:hAnsi="Times New Roman" w:cs="Times New Roman"/>
          <w:i/>
          <w:sz w:val="24"/>
          <w:szCs w:val="24"/>
        </w:rPr>
        <w:t xml:space="preserve"> v </w:t>
      </w:r>
      <w:r w:rsidR="00736BD9" w:rsidRPr="007B0913">
        <w:rPr>
          <w:rFonts w:ascii="Times New Roman" w:hAnsi="Times New Roman" w:cs="Times New Roman"/>
          <w:sz w:val="24"/>
          <w:szCs w:val="24"/>
        </w:rPr>
        <w:t>Godwin,</w:t>
      </w:r>
      <w:r w:rsidR="00736BD9" w:rsidRPr="007B0913">
        <w:rPr>
          <w:rStyle w:val="FootnoteReference"/>
          <w:rFonts w:ascii="Times New Roman" w:hAnsi="Times New Roman" w:cs="Times New Roman"/>
          <w:sz w:val="24"/>
          <w:szCs w:val="24"/>
        </w:rPr>
        <w:footnoteReference w:id="59"/>
      </w:r>
      <w:r w:rsidR="00736BD9" w:rsidRPr="007B0913">
        <w:rPr>
          <w:rFonts w:ascii="Times New Roman" w:hAnsi="Times New Roman" w:cs="Times New Roman"/>
          <w:sz w:val="24"/>
          <w:szCs w:val="24"/>
        </w:rPr>
        <w:t xml:space="preserve"> Gleeson CJ, though dissenting in the final result, put the matter this way</w:t>
      </w:r>
      <w:r w:rsidR="006E776A" w:rsidRPr="007B0913">
        <w:rPr>
          <w:rFonts w:ascii="Times New Roman" w:hAnsi="Times New Roman" w:cs="Times New Roman"/>
          <w:sz w:val="24"/>
          <w:szCs w:val="24"/>
        </w:rPr>
        <w:t>:</w:t>
      </w:r>
    </w:p>
    <w:p w14:paraId="37AA236F" w14:textId="318E144C" w:rsidR="006E776A" w:rsidRPr="007B0913" w:rsidRDefault="006E776A" w:rsidP="006B2E41">
      <w:pPr>
        <w:spacing w:after="240"/>
        <w:ind w:left="720"/>
        <w:jc w:val="both"/>
        <w:rPr>
          <w:rFonts w:ascii="Times New Roman" w:hAnsi="Times New Roman" w:cs="Times New Roman"/>
          <w:b/>
          <w:sz w:val="24"/>
          <w:szCs w:val="24"/>
        </w:rPr>
      </w:pPr>
      <w:r w:rsidRPr="007B0913">
        <w:rPr>
          <w:rFonts w:ascii="Times New Roman" w:hAnsi="Times New Roman" w:cs="Times New Roman"/>
        </w:rPr>
        <w:t xml:space="preserve">Courts do not impute to the legislature an intention to abrogate or curtail certain human rights or freedoms (of which personal liberty is the most basic) unless such an intention is clearly manifested by unambiguous language, which indicates that the legislature has directed its </w:t>
      </w:r>
      <w:r w:rsidRPr="007B0913">
        <w:rPr>
          <w:rFonts w:ascii="Times New Roman" w:hAnsi="Times New Roman" w:cs="Times New Roman"/>
        </w:rPr>
        <w:lastRenderedPageBreak/>
        <w:t>attention to the rights or freedoms in question, and has consciously decided upon abrogation or curtailment.</w:t>
      </w:r>
      <w:r w:rsidR="004B0D97" w:rsidRPr="007B0913">
        <w:rPr>
          <w:rFonts w:ascii="Times New Roman" w:hAnsi="Times New Roman" w:cs="Times New Roman"/>
        </w:rPr>
        <w:t xml:space="preserve">  That principle has been reaffirmed by this Court in recent cases.  It is not new …</w:t>
      </w:r>
      <w:r w:rsidR="00463A81" w:rsidRPr="007B0913">
        <w:rPr>
          <w:rStyle w:val="FootnoteReference"/>
          <w:rFonts w:ascii="Times New Roman" w:hAnsi="Times New Roman" w:cs="Times New Roman"/>
          <w:sz w:val="24"/>
          <w:szCs w:val="24"/>
        </w:rPr>
        <w:footnoteReference w:id="60"/>
      </w:r>
      <w:r w:rsidRPr="007B0913">
        <w:rPr>
          <w:rFonts w:ascii="Times New Roman" w:hAnsi="Times New Roman" w:cs="Times New Roman"/>
          <w:sz w:val="24"/>
          <w:szCs w:val="24"/>
        </w:rPr>
        <w:t xml:space="preserve"> </w:t>
      </w:r>
    </w:p>
    <w:p w14:paraId="606C445F" w14:textId="634C345A" w:rsidR="00C249A4" w:rsidRPr="007B0913" w:rsidRDefault="00507C9B" w:rsidP="00FF612F">
      <w:pPr>
        <w:keepLines/>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Given </w:t>
      </w:r>
      <w:r w:rsidR="0040085C" w:rsidRPr="007B0913">
        <w:rPr>
          <w:rFonts w:ascii="Times New Roman" w:hAnsi="Times New Roman" w:cs="Times New Roman"/>
          <w:sz w:val="24"/>
          <w:szCs w:val="24"/>
        </w:rPr>
        <w:t>the</w:t>
      </w:r>
      <w:r w:rsidR="00D624FC" w:rsidRPr="007B0913">
        <w:rPr>
          <w:rFonts w:ascii="Times New Roman" w:hAnsi="Times New Roman" w:cs="Times New Roman"/>
          <w:sz w:val="24"/>
          <w:szCs w:val="24"/>
        </w:rPr>
        <w:t xml:space="preserve"> ever-increasing frequency with which </w:t>
      </w:r>
      <w:r w:rsidR="0040085C" w:rsidRPr="007B0913">
        <w:rPr>
          <w:rFonts w:ascii="Times New Roman" w:hAnsi="Times New Roman" w:cs="Times New Roman"/>
          <w:sz w:val="24"/>
          <w:szCs w:val="24"/>
        </w:rPr>
        <w:t>this principle</w:t>
      </w:r>
      <w:r w:rsidR="00D624FC" w:rsidRPr="007B0913">
        <w:rPr>
          <w:rFonts w:ascii="Times New Roman" w:hAnsi="Times New Roman" w:cs="Times New Roman"/>
          <w:sz w:val="24"/>
          <w:szCs w:val="24"/>
        </w:rPr>
        <w:t xml:space="preserve"> is now invoked</w:t>
      </w:r>
      <w:r w:rsidR="00F371B9" w:rsidRPr="007B0913">
        <w:rPr>
          <w:rFonts w:ascii="Times New Roman" w:hAnsi="Times New Roman" w:cs="Times New Roman"/>
          <w:sz w:val="24"/>
          <w:szCs w:val="24"/>
        </w:rPr>
        <w:t xml:space="preserve"> (</w:t>
      </w:r>
      <w:r w:rsidR="00D624FC" w:rsidRPr="007B0913">
        <w:rPr>
          <w:rFonts w:ascii="Times New Roman" w:hAnsi="Times New Roman" w:cs="Times New Roman"/>
          <w:sz w:val="24"/>
          <w:szCs w:val="24"/>
        </w:rPr>
        <w:t xml:space="preserve">and its most recent </w:t>
      </w:r>
      <w:r w:rsidR="0040085C" w:rsidRPr="007B0913">
        <w:rPr>
          <w:rFonts w:ascii="Times New Roman" w:hAnsi="Times New Roman" w:cs="Times New Roman"/>
          <w:sz w:val="24"/>
          <w:szCs w:val="24"/>
        </w:rPr>
        <w:t>incarnation as embod</w:t>
      </w:r>
      <w:r w:rsidR="00F371B9" w:rsidRPr="007B0913">
        <w:rPr>
          <w:rFonts w:ascii="Times New Roman" w:hAnsi="Times New Roman" w:cs="Times New Roman"/>
          <w:sz w:val="24"/>
          <w:szCs w:val="24"/>
        </w:rPr>
        <w:t>ying notions of proportionality)</w:t>
      </w:r>
      <w:r w:rsidR="00471C9E" w:rsidRPr="007B0913">
        <w:rPr>
          <w:rFonts w:ascii="Times New Roman" w:hAnsi="Times New Roman" w:cs="Times New Roman"/>
          <w:sz w:val="24"/>
          <w:szCs w:val="24"/>
        </w:rPr>
        <w:t>,</w:t>
      </w:r>
      <w:r w:rsidR="0040085C" w:rsidRPr="007B0913">
        <w:rPr>
          <w:rStyle w:val="FootnoteReference"/>
          <w:rFonts w:ascii="Times New Roman" w:hAnsi="Times New Roman" w:cs="Times New Roman"/>
          <w:sz w:val="24"/>
          <w:szCs w:val="24"/>
        </w:rPr>
        <w:footnoteReference w:id="61"/>
      </w:r>
      <w:r w:rsidR="0040085C" w:rsidRPr="007B0913">
        <w:rPr>
          <w:rFonts w:ascii="Times New Roman" w:hAnsi="Times New Roman" w:cs="Times New Roman"/>
          <w:sz w:val="24"/>
          <w:szCs w:val="24"/>
        </w:rPr>
        <w:t xml:space="preserve"> </w:t>
      </w:r>
      <w:r w:rsidR="00605CC1" w:rsidRPr="007B0913">
        <w:rPr>
          <w:rFonts w:ascii="Times New Roman" w:hAnsi="Times New Roman" w:cs="Times New Roman"/>
          <w:sz w:val="24"/>
          <w:szCs w:val="24"/>
        </w:rPr>
        <w:t xml:space="preserve">it is hardly surprising that </w:t>
      </w:r>
      <w:r w:rsidR="002D0098" w:rsidRPr="007B0913">
        <w:rPr>
          <w:rFonts w:ascii="Times New Roman" w:hAnsi="Times New Roman" w:cs="Times New Roman"/>
          <w:sz w:val="24"/>
          <w:szCs w:val="24"/>
        </w:rPr>
        <w:t xml:space="preserve">some commentators </w:t>
      </w:r>
      <w:r w:rsidR="00D624FC" w:rsidRPr="007B0913">
        <w:rPr>
          <w:rFonts w:ascii="Times New Roman" w:hAnsi="Times New Roman" w:cs="Times New Roman"/>
          <w:sz w:val="24"/>
          <w:szCs w:val="24"/>
        </w:rPr>
        <w:t xml:space="preserve">now </w:t>
      </w:r>
      <w:r w:rsidR="002D0098" w:rsidRPr="007B0913">
        <w:rPr>
          <w:rFonts w:ascii="Times New Roman" w:hAnsi="Times New Roman" w:cs="Times New Roman"/>
          <w:sz w:val="24"/>
          <w:szCs w:val="24"/>
        </w:rPr>
        <w:t xml:space="preserve">regard </w:t>
      </w:r>
      <w:r w:rsidR="00605CC1" w:rsidRPr="007B0913">
        <w:rPr>
          <w:rFonts w:ascii="Times New Roman" w:hAnsi="Times New Roman" w:cs="Times New Roman"/>
          <w:sz w:val="24"/>
          <w:szCs w:val="24"/>
        </w:rPr>
        <w:t>s</w:t>
      </w:r>
      <w:r w:rsidR="00BD30EE" w:rsidRPr="007B0913">
        <w:rPr>
          <w:rFonts w:ascii="Times New Roman" w:hAnsi="Times New Roman" w:cs="Times New Roman"/>
          <w:sz w:val="24"/>
          <w:szCs w:val="24"/>
        </w:rPr>
        <w:t xml:space="preserve"> 32</w:t>
      </w:r>
      <w:r w:rsidR="002D0098" w:rsidRPr="007B0913">
        <w:rPr>
          <w:rFonts w:ascii="Times New Roman" w:hAnsi="Times New Roman" w:cs="Times New Roman"/>
          <w:sz w:val="24"/>
          <w:szCs w:val="24"/>
        </w:rPr>
        <w:t>(1)</w:t>
      </w:r>
      <w:r w:rsidR="00BD30EE" w:rsidRPr="007B0913">
        <w:rPr>
          <w:rFonts w:ascii="Times New Roman" w:hAnsi="Times New Roman" w:cs="Times New Roman"/>
          <w:sz w:val="24"/>
          <w:szCs w:val="24"/>
        </w:rPr>
        <w:t xml:space="preserve"> of the Charte</w:t>
      </w:r>
      <w:r w:rsidR="002D0098" w:rsidRPr="007B0913">
        <w:rPr>
          <w:rFonts w:ascii="Times New Roman" w:hAnsi="Times New Roman" w:cs="Times New Roman"/>
          <w:sz w:val="24"/>
          <w:szCs w:val="24"/>
        </w:rPr>
        <w:t>r as</w:t>
      </w:r>
      <w:r w:rsidR="001B2973" w:rsidRPr="007B0913">
        <w:rPr>
          <w:rFonts w:ascii="Times New Roman" w:hAnsi="Times New Roman" w:cs="Times New Roman"/>
          <w:sz w:val="24"/>
          <w:szCs w:val="24"/>
        </w:rPr>
        <w:t xml:space="preserve"> having </w:t>
      </w:r>
      <w:r w:rsidR="00EF5CB4" w:rsidRPr="007B0913">
        <w:rPr>
          <w:rFonts w:ascii="Times New Roman" w:hAnsi="Times New Roman" w:cs="Times New Roman"/>
          <w:sz w:val="24"/>
          <w:szCs w:val="24"/>
        </w:rPr>
        <w:t>minimal</w:t>
      </w:r>
      <w:r w:rsidR="001B2973" w:rsidRPr="007B0913">
        <w:rPr>
          <w:rFonts w:ascii="Times New Roman" w:hAnsi="Times New Roman" w:cs="Times New Roman"/>
          <w:sz w:val="24"/>
          <w:szCs w:val="24"/>
        </w:rPr>
        <w:t xml:space="preserve"> real effect,</w:t>
      </w:r>
      <w:r w:rsidR="002D0098" w:rsidRPr="007B0913">
        <w:rPr>
          <w:rFonts w:ascii="Times New Roman" w:hAnsi="Times New Roman" w:cs="Times New Roman"/>
          <w:sz w:val="24"/>
          <w:szCs w:val="24"/>
        </w:rPr>
        <w:t xml:space="preserve"> and as doing </w:t>
      </w:r>
      <w:r w:rsidR="00EF5CB4" w:rsidRPr="007B0913">
        <w:rPr>
          <w:rFonts w:ascii="Times New Roman" w:hAnsi="Times New Roman" w:cs="Times New Roman"/>
          <w:sz w:val="24"/>
          <w:szCs w:val="24"/>
        </w:rPr>
        <w:t>little</w:t>
      </w:r>
      <w:r w:rsidR="002D0098" w:rsidRPr="007B0913">
        <w:rPr>
          <w:rFonts w:ascii="Times New Roman" w:hAnsi="Times New Roman" w:cs="Times New Roman"/>
          <w:sz w:val="24"/>
          <w:szCs w:val="24"/>
        </w:rPr>
        <w:t xml:space="preserve"> more than re-sta</w:t>
      </w:r>
      <w:r w:rsidR="00D624FC" w:rsidRPr="007B0913">
        <w:rPr>
          <w:rFonts w:ascii="Times New Roman" w:hAnsi="Times New Roman" w:cs="Times New Roman"/>
          <w:sz w:val="24"/>
          <w:szCs w:val="24"/>
        </w:rPr>
        <w:t xml:space="preserve">ting the principle of legality </w:t>
      </w:r>
      <w:r w:rsidR="002D0098" w:rsidRPr="007B0913">
        <w:rPr>
          <w:rFonts w:ascii="Times New Roman" w:hAnsi="Times New Roman" w:cs="Times New Roman"/>
          <w:sz w:val="24"/>
          <w:szCs w:val="24"/>
        </w:rPr>
        <w:t>in legislative form.</w:t>
      </w:r>
      <w:r w:rsidR="008243C2" w:rsidRPr="007B0913">
        <w:rPr>
          <w:rFonts w:ascii="Times New Roman" w:hAnsi="Times New Roman" w:cs="Times New Roman"/>
          <w:sz w:val="24"/>
          <w:szCs w:val="24"/>
        </w:rPr>
        <w:t xml:space="preserve"> </w:t>
      </w:r>
      <w:r w:rsidR="000578FE" w:rsidRPr="007B0913">
        <w:rPr>
          <w:rFonts w:ascii="Times New Roman" w:hAnsi="Times New Roman" w:cs="Times New Roman"/>
          <w:sz w:val="24"/>
          <w:szCs w:val="24"/>
        </w:rPr>
        <w:t xml:space="preserve">Certainly, French CJ in </w:t>
      </w:r>
      <w:proofErr w:type="spellStart"/>
      <w:r w:rsidR="000578FE" w:rsidRPr="007B0913">
        <w:rPr>
          <w:rFonts w:ascii="Times New Roman" w:hAnsi="Times New Roman" w:cs="Times New Roman"/>
          <w:i/>
          <w:sz w:val="24"/>
          <w:szCs w:val="24"/>
        </w:rPr>
        <w:t>Momcilovic</w:t>
      </w:r>
      <w:proofErr w:type="spellEnd"/>
      <w:r w:rsidR="000578FE" w:rsidRPr="007B0913">
        <w:rPr>
          <w:rFonts w:ascii="Times New Roman" w:hAnsi="Times New Roman" w:cs="Times New Roman"/>
          <w:sz w:val="24"/>
          <w:szCs w:val="24"/>
        </w:rPr>
        <w:t xml:space="preserve"> </w:t>
      </w:r>
      <w:r w:rsidR="00495907" w:rsidRPr="007B0913">
        <w:rPr>
          <w:rFonts w:ascii="Times New Roman" w:hAnsi="Times New Roman" w:cs="Times New Roman"/>
          <w:sz w:val="24"/>
          <w:szCs w:val="24"/>
        </w:rPr>
        <w:t>considered</w:t>
      </w:r>
      <w:r w:rsidR="000578FE" w:rsidRPr="007B0913">
        <w:rPr>
          <w:rFonts w:ascii="Times New Roman" w:hAnsi="Times New Roman" w:cs="Times New Roman"/>
          <w:sz w:val="24"/>
          <w:szCs w:val="24"/>
        </w:rPr>
        <w:t xml:space="preserve"> </w:t>
      </w:r>
      <w:r w:rsidR="00682909" w:rsidRPr="007B0913">
        <w:rPr>
          <w:rFonts w:ascii="Times New Roman" w:hAnsi="Times New Roman" w:cs="Times New Roman"/>
          <w:sz w:val="24"/>
          <w:szCs w:val="24"/>
        </w:rPr>
        <w:t xml:space="preserve">that </w:t>
      </w:r>
      <w:r w:rsidR="000578FE" w:rsidRPr="007B0913">
        <w:rPr>
          <w:rFonts w:ascii="Times New Roman" w:hAnsi="Times New Roman" w:cs="Times New Roman"/>
          <w:sz w:val="24"/>
          <w:szCs w:val="24"/>
        </w:rPr>
        <w:t>‘[s]</w:t>
      </w:r>
      <w:proofErr w:type="spellStart"/>
      <w:r w:rsidR="000578FE" w:rsidRPr="007B0913">
        <w:rPr>
          <w:rFonts w:ascii="Times New Roman" w:hAnsi="Times New Roman" w:cs="Times New Roman"/>
          <w:sz w:val="24"/>
          <w:szCs w:val="24"/>
        </w:rPr>
        <w:t>ection</w:t>
      </w:r>
      <w:proofErr w:type="spellEnd"/>
      <w:r w:rsidR="000578FE" w:rsidRPr="007B0913">
        <w:rPr>
          <w:rFonts w:ascii="Times New Roman" w:hAnsi="Times New Roman" w:cs="Times New Roman"/>
          <w:sz w:val="24"/>
          <w:szCs w:val="24"/>
        </w:rPr>
        <w:t xml:space="preserve"> 32(1) applies to the interpretation of statutes in the same way as the principle of legality but with a wider field of application.’</w:t>
      </w:r>
      <w:r w:rsidR="000578FE" w:rsidRPr="007B0913">
        <w:rPr>
          <w:rStyle w:val="FootnoteReference"/>
          <w:rFonts w:ascii="Times New Roman" w:hAnsi="Times New Roman" w:cs="Times New Roman"/>
          <w:sz w:val="24"/>
          <w:szCs w:val="24"/>
        </w:rPr>
        <w:footnoteReference w:id="62"/>
      </w:r>
    </w:p>
    <w:p w14:paraId="226AA541" w14:textId="688DEBEF" w:rsidR="001A4C2A" w:rsidRPr="007B0913" w:rsidRDefault="001A4C2A"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In </w:t>
      </w:r>
      <w:r w:rsidR="006009A9" w:rsidRPr="007B0913">
        <w:rPr>
          <w:rFonts w:ascii="Times New Roman" w:hAnsi="Times New Roman" w:cs="Times New Roman"/>
          <w:i/>
          <w:sz w:val="24"/>
          <w:szCs w:val="24"/>
        </w:rPr>
        <w:t>Victorian</w:t>
      </w:r>
      <w:r w:rsidR="009262F1" w:rsidRPr="007B0913">
        <w:rPr>
          <w:rFonts w:ascii="Times New Roman" w:hAnsi="Times New Roman" w:cs="Times New Roman"/>
          <w:i/>
          <w:sz w:val="24"/>
          <w:szCs w:val="24"/>
        </w:rPr>
        <w:t xml:space="preserve"> Police</w:t>
      </w:r>
      <w:r w:rsidR="006009A9" w:rsidRPr="007B0913">
        <w:rPr>
          <w:rFonts w:ascii="Times New Roman" w:hAnsi="Times New Roman" w:cs="Times New Roman"/>
          <w:i/>
          <w:sz w:val="24"/>
          <w:szCs w:val="24"/>
        </w:rPr>
        <w:t xml:space="preserve"> Toll</w:t>
      </w:r>
      <w:r w:rsidR="009262F1" w:rsidRPr="007B0913">
        <w:rPr>
          <w:rFonts w:ascii="Times New Roman" w:hAnsi="Times New Roman" w:cs="Times New Roman"/>
          <w:i/>
          <w:sz w:val="24"/>
          <w:szCs w:val="24"/>
        </w:rPr>
        <w:t xml:space="preserve"> Enforcement</w:t>
      </w:r>
      <w:r w:rsidR="006009A9" w:rsidRPr="007B0913">
        <w:rPr>
          <w:rFonts w:ascii="Times New Roman" w:hAnsi="Times New Roman" w:cs="Times New Roman"/>
          <w:i/>
          <w:sz w:val="24"/>
          <w:szCs w:val="24"/>
        </w:rPr>
        <w:t xml:space="preserve"> v </w:t>
      </w:r>
      <w:proofErr w:type="spellStart"/>
      <w:r w:rsidRPr="007B0913">
        <w:rPr>
          <w:rFonts w:ascii="Times New Roman" w:hAnsi="Times New Roman" w:cs="Times New Roman"/>
          <w:i/>
          <w:sz w:val="24"/>
          <w:szCs w:val="24"/>
        </w:rPr>
        <w:t>Taha</w:t>
      </w:r>
      <w:proofErr w:type="spellEnd"/>
      <w:r w:rsidR="006009A9" w:rsidRPr="007B0913">
        <w:rPr>
          <w:rFonts w:ascii="Times New Roman" w:hAnsi="Times New Roman" w:cs="Times New Roman"/>
          <w:sz w:val="24"/>
          <w:szCs w:val="24"/>
        </w:rPr>
        <w:t>,</w:t>
      </w:r>
      <w:r w:rsidR="009262F1" w:rsidRPr="007B0913">
        <w:rPr>
          <w:rStyle w:val="FootnoteReference"/>
          <w:rFonts w:ascii="Times New Roman" w:hAnsi="Times New Roman" w:cs="Times New Roman"/>
          <w:sz w:val="24"/>
          <w:szCs w:val="24"/>
        </w:rPr>
        <w:footnoteReference w:id="63"/>
      </w:r>
      <w:r w:rsidR="006009A9" w:rsidRPr="007B0913">
        <w:rPr>
          <w:rFonts w:ascii="Times New Roman" w:hAnsi="Times New Roman" w:cs="Times New Roman"/>
          <w:sz w:val="24"/>
          <w:szCs w:val="24"/>
        </w:rPr>
        <w:t xml:space="preserve"> </w:t>
      </w:r>
      <w:r w:rsidR="00DD2DCA" w:rsidRPr="007B0913">
        <w:rPr>
          <w:rFonts w:ascii="Times New Roman" w:hAnsi="Times New Roman" w:cs="Times New Roman"/>
          <w:sz w:val="24"/>
          <w:szCs w:val="24"/>
        </w:rPr>
        <w:t>Tate JA</w:t>
      </w:r>
      <w:r w:rsidR="005F4FFE" w:rsidRPr="007B0913">
        <w:rPr>
          <w:rFonts w:ascii="Times New Roman" w:hAnsi="Times New Roman" w:cs="Times New Roman"/>
          <w:sz w:val="24"/>
          <w:szCs w:val="24"/>
        </w:rPr>
        <w:t xml:space="preserve">, a strong proponent of the broader view </w:t>
      </w:r>
      <w:r w:rsidR="00DD2DCA" w:rsidRPr="007B0913">
        <w:rPr>
          <w:rFonts w:ascii="Times New Roman" w:hAnsi="Times New Roman" w:cs="Times New Roman"/>
          <w:sz w:val="24"/>
          <w:szCs w:val="24"/>
        </w:rPr>
        <w:t>of t</w:t>
      </w:r>
      <w:r w:rsidR="00040C07" w:rsidRPr="007B0913">
        <w:rPr>
          <w:rFonts w:ascii="Times New Roman" w:hAnsi="Times New Roman" w:cs="Times New Roman"/>
          <w:sz w:val="24"/>
          <w:szCs w:val="24"/>
        </w:rPr>
        <w:t>he relation</w:t>
      </w:r>
      <w:r w:rsidR="005F4FFE" w:rsidRPr="007B0913">
        <w:rPr>
          <w:rFonts w:ascii="Times New Roman" w:hAnsi="Times New Roman" w:cs="Times New Roman"/>
          <w:sz w:val="24"/>
          <w:szCs w:val="24"/>
        </w:rPr>
        <w:t>ship between s 32(1) and s 7(2), analysed this question with considerable care.  Her Honour referred to</w:t>
      </w:r>
      <w:r w:rsidR="00040C07" w:rsidRPr="007B0913">
        <w:rPr>
          <w:rFonts w:ascii="Times New Roman" w:hAnsi="Times New Roman" w:cs="Times New Roman"/>
          <w:sz w:val="24"/>
          <w:szCs w:val="24"/>
        </w:rPr>
        <w:t xml:space="preserve"> </w:t>
      </w:r>
      <w:r w:rsidR="00AB6DBE" w:rsidRPr="007B0913">
        <w:rPr>
          <w:rFonts w:ascii="Times New Roman" w:hAnsi="Times New Roman" w:cs="Times New Roman"/>
          <w:sz w:val="24"/>
          <w:szCs w:val="24"/>
        </w:rPr>
        <w:t>French CJ’s judgme</w:t>
      </w:r>
      <w:r w:rsidR="00DD2DCA" w:rsidRPr="007B0913">
        <w:rPr>
          <w:rFonts w:ascii="Times New Roman" w:hAnsi="Times New Roman" w:cs="Times New Roman"/>
          <w:sz w:val="24"/>
          <w:szCs w:val="24"/>
        </w:rPr>
        <w:t xml:space="preserve">nt in </w:t>
      </w:r>
      <w:proofErr w:type="spellStart"/>
      <w:r w:rsidR="006F1999" w:rsidRPr="007B0913">
        <w:rPr>
          <w:rFonts w:ascii="Times New Roman" w:hAnsi="Times New Roman" w:cs="Times New Roman"/>
          <w:i/>
          <w:sz w:val="24"/>
          <w:szCs w:val="24"/>
        </w:rPr>
        <w:t>Momcilovic</w:t>
      </w:r>
      <w:proofErr w:type="spellEnd"/>
      <w:r w:rsidR="009537D4" w:rsidRPr="007B0913">
        <w:rPr>
          <w:rFonts w:ascii="Times New Roman" w:hAnsi="Times New Roman" w:cs="Times New Roman"/>
          <w:sz w:val="24"/>
          <w:szCs w:val="24"/>
        </w:rPr>
        <w:t xml:space="preserve">, </w:t>
      </w:r>
      <w:r w:rsidR="00D60D13" w:rsidRPr="007B0913">
        <w:rPr>
          <w:rFonts w:ascii="Times New Roman" w:hAnsi="Times New Roman" w:cs="Times New Roman"/>
          <w:sz w:val="24"/>
          <w:szCs w:val="24"/>
        </w:rPr>
        <w:t>but indicated that</w:t>
      </w:r>
      <w:r w:rsidR="009537D4" w:rsidRPr="007B0913">
        <w:rPr>
          <w:rFonts w:ascii="Times New Roman" w:hAnsi="Times New Roman" w:cs="Times New Roman"/>
          <w:sz w:val="24"/>
          <w:szCs w:val="24"/>
        </w:rPr>
        <w:t xml:space="preserve"> in her view</w:t>
      </w:r>
      <w:r w:rsidR="00476FAC" w:rsidRPr="007B0913">
        <w:rPr>
          <w:rFonts w:ascii="Times New Roman" w:hAnsi="Times New Roman" w:cs="Times New Roman"/>
          <w:sz w:val="24"/>
          <w:szCs w:val="24"/>
        </w:rPr>
        <w:t xml:space="preserve"> that</w:t>
      </w:r>
      <w:r w:rsidR="00D60D13" w:rsidRPr="007B0913">
        <w:rPr>
          <w:rFonts w:ascii="Times New Roman" w:hAnsi="Times New Roman" w:cs="Times New Roman"/>
          <w:sz w:val="24"/>
          <w:szCs w:val="24"/>
        </w:rPr>
        <w:t xml:space="preserve"> the Chief Justice’s observation, cited above, </w:t>
      </w:r>
      <w:r w:rsidR="009537D4" w:rsidRPr="007B0913">
        <w:rPr>
          <w:rFonts w:ascii="Times New Roman" w:hAnsi="Times New Roman" w:cs="Times New Roman"/>
          <w:sz w:val="24"/>
          <w:szCs w:val="24"/>
        </w:rPr>
        <w:t>‘should not be read as implying that s 32 is no more than a ‘codification’ of the principle of legality’</w:t>
      </w:r>
      <w:r w:rsidR="00DD2DCA" w:rsidRPr="007B0913">
        <w:rPr>
          <w:rFonts w:ascii="Times New Roman" w:hAnsi="Times New Roman" w:cs="Times New Roman"/>
          <w:sz w:val="24"/>
          <w:szCs w:val="24"/>
        </w:rPr>
        <w:t>.</w:t>
      </w:r>
      <w:r w:rsidR="009537D4" w:rsidRPr="007B0913">
        <w:rPr>
          <w:rStyle w:val="FootnoteReference"/>
          <w:rFonts w:ascii="Times New Roman" w:hAnsi="Times New Roman" w:cs="Times New Roman"/>
          <w:sz w:val="24"/>
          <w:szCs w:val="24"/>
        </w:rPr>
        <w:footnoteReference w:id="64"/>
      </w:r>
      <w:r w:rsidR="00DD2DCA" w:rsidRPr="007B0913">
        <w:rPr>
          <w:rFonts w:ascii="Times New Roman" w:hAnsi="Times New Roman" w:cs="Times New Roman"/>
          <w:sz w:val="24"/>
          <w:szCs w:val="24"/>
        </w:rPr>
        <w:t xml:space="preserve">  </w:t>
      </w:r>
      <w:r w:rsidR="005F4FFE" w:rsidRPr="007B0913">
        <w:rPr>
          <w:rFonts w:ascii="Times New Roman" w:hAnsi="Times New Roman" w:cs="Times New Roman"/>
          <w:sz w:val="24"/>
          <w:szCs w:val="24"/>
        </w:rPr>
        <w:t>She</w:t>
      </w:r>
      <w:r w:rsidR="00C47306" w:rsidRPr="007B0913">
        <w:rPr>
          <w:rFonts w:ascii="Times New Roman" w:hAnsi="Times New Roman" w:cs="Times New Roman"/>
          <w:sz w:val="24"/>
          <w:szCs w:val="24"/>
        </w:rPr>
        <w:t xml:space="preserve"> conclude</w:t>
      </w:r>
      <w:r w:rsidR="00C0287D" w:rsidRPr="007B0913">
        <w:rPr>
          <w:rFonts w:ascii="Times New Roman" w:hAnsi="Times New Roman" w:cs="Times New Roman"/>
          <w:sz w:val="24"/>
          <w:szCs w:val="24"/>
        </w:rPr>
        <w:t>d that s 32(1), properly understood</w:t>
      </w:r>
      <w:r w:rsidR="00C47306" w:rsidRPr="007B0913">
        <w:rPr>
          <w:rFonts w:ascii="Times New Roman" w:hAnsi="Times New Roman" w:cs="Times New Roman"/>
          <w:sz w:val="24"/>
          <w:szCs w:val="24"/>
        </w:rPr>
        <w:t xml:space="preserve"> </w:t>
      </w:r>
      <w:r w:rsidR="006837AF" w:rsidRPr="007B0913">
        <w:rPr>
          <w:rFonts w:ascii="Times New Roman" w:hAnsi="Times New Roman" w:cs="Times New Roman"/>
          <w:sz w:val="24"/>
          <w:szCs w:val="24"/>
        </w:rPr>
        <w:t xml:space="preserve">and applied </w:t>
      </w:r>
      <w:r w:rsidR="005F4FFE" w:rsidRPr="007B0913">
        <w:rPr>
          <w:rFonts w:ascii="Times New Roman" w:hAnsi="Times New Roman" w:cs="Times New Roman"/>
          <w:sz w:val="24"/>
          <w:szCs w:val="24"/>
        </w:rPr>
        <w:t xml:space="preserve">in </w:t>
      </w:r>
      <w:r w:rsidR="00495907" w:rsidRPr="007B0913">
        <w:rPr>
          <w:rFonts w:ascii="Times New Roman" w:hAnsi="Times New Roman" w:cs="Times New Roman"/>
          <w:sz w:val="24"/>
          <w:szCs w:val="24"/>
        </w:rPr>
        <w:t>the light of</w:t>
      </w:r>
      <w:r w:rsidR="005F4FFE" w:rsidRPr="007B0913">
        <w:rPr>
          <w:rFonts w:ascii="Times New Roman" w:hAnsi="Times New Roman" w:cs="Times New Roman"/>
          <w:sz w:val="24"/>
          <w:szCs w:val="24"/>
        </w:rPr>
        <w:t xml:space="preserve"> </w:t>
      </w:r>
      <w:r w:rsidR="00495907" w:rsidRPr="007B0913">
        <w:rPr>
          <w:rFonts w:ascii="Times New Roman" w:hAnsi="Times New Roman" w:cs="Times New Roman"/>
          <w:sz w:val="24"/>
          <w:szCs w:val="24"/>
        </w:rPr>
        <w:t xml:space="preserve">the reasons of </w:t>
      </w:r>
      <w:proofErr w:type="spellStart"/>
      <w:r w:rsidR="00D06802" w:rsidRPr="007B0913">
        <w:rPr>
          <w:rFonts w:ascii="Times New Roman" w:hAnsi="Times New Roman" w:cs="Times New Roman"/>
          <w:sz w:val="24"/>
          <w:szCs w:val="24"/>
        </w:rPr>
        <w:t>Gummow</w:t>
      </w:r>
      <w:proofErr w:type="spellEnd"/>
      <w:r w:rsidR="00D06802" w:rsidRPr="007B0913">
        <w:rPr>
          <w:rFonts w:ascii="Times New Roman" w:hAnsi="Times New Roman" w:cs="Times New Roman"/>
          <w:sz w:val="24"/>
          <w:szCs w:val="24"/>
        </w:rPr>
        <w:t xml:space="preserve"> J (with whom Hayne J relevantly agreed) in</w:t>
      </w:r>
      <w:r w:rsidR="005F4FFE" w:rsidRPr="007B0913">
        <w:rPr>
          <w:rFonts w:ascii="Times New Roman" w:hAnsi="Times New Roman" w:cs="Times New Roman"/>
          <w:sz w:val="24"/>
          <w:szCs w:val="24"/>
        </w:rPr>
        <w:t xml:space="preserve"> </w:t>
      </w:r>
      <w:proofErr w:type="spellStart"/>
      <w:r w:rsidR="005F4FFE" w:rsidRPr="007B0913">
        <w:rPr>
          <w:rFonts w:ascii="Times New Roman" w:hAnsi="Times New Roman" w:cs="Times New Roman"/>
          <w:i/>
          <w:sz w:val="24"/>
          <w:szCs w:val="24"/>
        </w:rPr>
        <w:t>Momcilovic</w:t>
      </w:r>
      <w:proofErr w:type="spellEnd"/>
      <w:r w:rsidR="009537D4" w:rsidRPr="007B0913">
        <w:rPr>
          <w:rFonts w:ascii="Times New Roman" w:hAnsi="Times New Roman" w:cs="Times New Roman"/>
          <w:i/>
          <w:sz w:val="24"/>
          <w:szCs w:val="24"/>
        </w:rPr>
        <w:t>,</w:t>
      </w:r>
      <w:r w:rsidR="005F4FFE" w:rsidRPr="007B0913">
        <w:rPr>
          <w:rFonts w:ascii="Times New Roman" w:hAnsi="Times New Roman" w:cs="Times New Roman"/>
          <w:sz w:val="24"/>
          <w:szCs w:val="24"/>
        </w:rPr>
        <w:t xml:space="preserve"> did, in fact, add to the potency of the principle of legality.  I note, h</w:t>
      </w:r>
      <w:r w:rsidR="003846B7" w:rsidRPr="007B0913">
        <w:rPr>
          <w:rFonts w:ascii="Times New Roman" w:hAnsi="Times New Roman" w:cs="Times New Roman"/>
          <w:sz w:val="24"/>
          <w:szCs w:val="24"/>
        </w:rPr>
        <w:t xml:space="preserve">owever, </w:t>
      </w:r>
      <w:r w:rsidR="005F4FFE" w:rsidRPr="007B0913">
        <w:rPr>
          <w:rFonts w:ascii="Times New Roman" w:hAnsi="Times New Roman" w:cs="Times New Roman"/>
          <w:sz w:val="24"/>
          <w:szCs w:val="24"/>
        </w:rPr>
        <w:t xml:space="preserve">that </w:t>
      </w:r>
      <w:r w:rsidR="003846B7" w:rsidRPr="007B0913">
        <w:rPr>
          <w:rFonts w:ascii="Times New Roman" w:hAnsi="Times New Roman" w:cs="Times New Roman"/>
          <w:sz w:val="24"/>
          <w:szCs w:val="24"/>
        </w:rPr>
        <w:t>h</w:t>
      </w:r>
      <w:r w:rsidR="00AE6755" w:rsidRPr="007B0913">
        <w:rPr>
          <w:rFonts w:ascii="Times New Roman" w:hAnsi="Times New Roman" w:cs="Times New Roman"/>
          <w:sz w:val="24"/>
          <w:szCs w:val="24"/>
        </w:rPr>
        <w:t xml:space="preserve">er Honour did not find it necessary </w:t>
      </w:r>
      <w:r w:rsidR="005F4FFE" w:rsidRPr="007B0913">
        <w:rPr>
          <w:rFonts w:ascii="Times New Roman" w:hAnsi="Times New Roman" w:cs="Times New Roman"/>
          <w:sz w:val="24"/>
          <w:szCs w:val="24"/>
        </w:rPr>
        <w:t xml:space="preserve">in </w:t>
      </w:r>
      <w:proofErr w:type="spellStart"/>
      <w:r w:rsidR="005F4FFE" w:rsidRPr="007B0913">
        <w:rPr>
          <w:rFonts w:ascii="Times New Roman" w:hAnsi="Times New Roman" w:cs="Times New Roman"/>
          <w:i/>
          <w:sz w:val="24"/>
          <w:szCs w:val="24"/>
        </w:rPr>
        <w:t>Taha</w:t>
      </w:r>
      <w:proofErr w:type="spellEnd"/>
      <w:r w:rsidR="005F4FFE" w:rsidRPr="007B0913">
        <w:rPr>
          <w:rFonts w:ascii="Times New Roman" w:hAnsi="Times New Roman" w:cs="Times New Roman"/>
          <w:i/>
          <w:sz w:val="24"/>
          <w:szCs w:val="24"/>
        </w:rPr>
        <w:t xml:space="preserve"> </w:t>
      </w:r>
      <w:r w:rsidR="00AE6755" w:rsidRPr="007B0913">
        <w:rPr>
          <w:rFonts w:ascii="Times New Roman" w:hAnsi="Times New Roman" w:cs="Times New Roman"/>
          <w:sz w:val="24"/>
          <w:szCs w:val="24"/>
        </w:rPr>
        <w:t xml:space="preserve">to finally determine that matter since it was ‘sufficient to treat s 32 … as </w:t>
      </w:r>
      <w:r w:rsidR="00AE6755" w:rsidRPr="007B0913">
        <w:rPr>
          <w:rFonts w:ascii="Times New Roman" w:hAnsi="Times New Roman" w:cs="Times New Roman"/>
          <w:i/>
          <w:sz w:val="24"/>
          <w:szCs w:val="24"/>
        </w:rPr>
        <w:t>at least</w:t>
      </w:r>
      <w:r w:rsidR="00AE6755" w:rsidRPr="007B0913">
        <w:rPr>
          <w:rFonts w:ascii="Times New Roman" w:hAnsi="Times New Roman" w:cs="Times New Roman"/>
          <w:sz w:val="24"/>
          <w:szCs w:val="24"/>
        </w:rPr>
        <w:t xml:space="preserve"> reflecting the common law principle of legality’.</w:t>
      </w:r>
      <w:r w:rsidR="00AE6755" w:rsidRPr="007B0913">
        <w:rPr>
          <w:rStyle w:val="FootnoteReference"/>
          <w:rFonts w:ascii="Times New Roman" w:hAnsi="Times New Roman" w:cs="Times New Roman"/>
          <w:sz w:val="24"/>
          <w:szCs w:val="24"/>
        </w:rPr>
        <w:footnoteReference w:id="65"/>
      </w:r>
      <w:r w:rsidR="00AE6755" w:rsidRPr="007B0913">
        <w:rPr>
          <w:rFonts w:ascii="Times New Roman" w:hAnsi="Times New Roman" w:cs="Times New Roman"/>
          <w:sz w:val="24"/>
          <w:szCs w:val="24"/>
        </w:rPr>
        <w:t xml:space="preserve">  </w:t>
      </w:r>
    </w:p>
    <w:p w14:paraId="13167E25" w14:textId="77777777" w:rsidR="001D796C" w:rsidRPr="007B0913" w:rsidRDefault="00622D06"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It has been suggested</w:t>
      </w:r>
      <w:r w:rsidR="000F2C82" w:rsidRPr="007B0913">
        <w:rPr>
          <w:rFonts w:ascii="Times New Roman" w:hAnsi="Times New Roman" w:cs="Times New Roman"/>
          <w:sz w:val="24"/>
          <w:szCs w:val="24"/>
        </w:rPr>
        <w:t xml:space="preserve"> by one commentator</w:t>
      </w:r>
      <w:r w:rsidRPr="007B0913">
        <w:rPr>
          <w:rFonts w:ascii="Times New Roman" w:hAnsi="Times New Roman" w:cs="Times New Roman"/>
          <w:sz w:val="24"/>
          <w:szCs w:val="24"/>
        </w:rPr>
        <w:t xml:space="preserve"> that such ‘nuanced observations’ </w:t>
      </w:r>
      <w:r w:rsidR="00C25B83" w:rsidRPr="007B0913">
        <w:rPr>
          <w:rFonts w:ascii="Times New Roman" w:hAnsi="Times New Roman" w:cs="Times New Roman"/>
          <w:sz w:val="24"/>
          <w:szCs w:val="24"/>
        </w:rPr>
        <w:t>concerning the Charter are welcome.</w:t>
      </w:r>
      <w:r w:rsidR="00D60DD3" w:rsidRPr="007B0913">
        <w:rPr>
          <w:rStyle w:val="FootnoteReference"/>
          <w:rFonts w:ascii="Times New Roman" w:hAnsi="Times New Roman" w:cs="Times New Roman"/>
          <w:sz w:val="24"/>
          <w:szCs w:val="24"/>
        </w:rPr>
        <w:footnoteReference w:id="66"/>
      </w:r>
      <w:r w:rsidR="00C25B83" w:rsidRPr="007B0913">
        <w:rPr>
          <w:rFonts w:ascii="Times New Roman" w:hAnsi="Times New Roman" w:cs="Times New Roman"/>
          <w:sz w:val="24"/>
          <w:szCs w:val="24"/>
        </w:rPr>
        <w:t xml:space="preserve">  </w:t>
      </w:r>
      <w:r w:rsidR="001D796C" w:rsidRPr="007B0913">
        <w:rPr>
          <w:rFonts w:ascii="Times New Roman" w:hAnsi="Times New Roman" w:cs="Times New Roman"/>
          <w:sz w:val="24"/>
          <w:szCs w:val="24"/>
        </w:rPr>
        <w:t>In</w:t>
      </w:r>
      <w:r w:rsidR="00D60DD3" w:rsidRPr="007B0913">
        <w:rPr>
          <w:rFonts w:ascii="Times New Roman" w:hAnsi="Times New Roman" w:cs="Times New Roman"/>
          <w:sz w:val="24"/>
          <w:szCs w:val="24"/>
        </w:rPr>
        <w:t xml:space="preserve"> one sense</w:t>
      </w:r>
      <w:r w:rsidR="001D796C" w:rsidRPr="007B0913">
        <w:rPr>
          <w:rFonts w:ascii="Times New Roman" w:hAnsi="Times New Roman" w:cs="Times New Roman"/>
          <w:sz w:val="24"/>
          <w:szCs w:val="24"/>
        </w:rPr>
        <w:t>, that is of course true</w:t>
      </w:r>
      <w:r w:rsidR="00D60DD3" w:rsidRPr="007B0913">
        <w:rPr>
          <w:rFonts w:ascii="Times New Roman" w:hAnsi="Times New Roman" w:cs="Times New Roman"/>
          <w:sz w:val="24"/>
          <w:szCs w:val="24"/>
        </w:rPr>
        <w:t>.  Rigorous analysis</w:t>
      </w:r>
      <w:r w:rsidR="001D796C" w:rsidRPr="007B0913">
        <w:rPr>
          <w:rFonts w:ascii="Times New Roman" w:hAnsi="Times New Roman" w:cs="Times New Roman"/>
          <w:sz w:val="24"/>
          <w:szCs w:val="24"/>
        </w:rPr>
        <w:t>, with scrupulous attention being given to subtle refinements,</w:t>
      </w:r>
      <w:r w:rsidR="00D60DD3" w:rsidRPr="007B0913">
        <w:rPr>
          <w:rFonts w:ascii="Times New Roman" w:hAnsi="Times New Roman" w:cs="Times New Roman"/>
          <w:sz w:val="24"/>
          <w:szCs w:val="24"/>
        </w:rPr>
        <w:t xml:space="preserve"> is a</w:t>
      </w:r>
      <w:r w:rsidR="001D796C" w:rsidRPr="007B0913">
        <w:rPr>
          <w:rFonts w:ascii="Times New Roman" w:hAnsi="Times New Roman" w:cs="Times New Roman"/>
          <w:sz w:val="24"/>
          <w:szCs w:val="24"/>
        </w:rPr>
        <w:t>lmost always</w:t>
      </w:r>
      <w:r w:rsidR="00D60DD3" w:rsidRPr="007B0913">
        <w:rPr>
          <w:rFonts w:ascii="Times New Roman" w:hAnsi="Times New Roman" w:cs="Times New Roman"/>
          <w:sz w:val="24"/>
          <w:szCs w:val="24"/>
        </w:rPr>
        <w:t xml:space="preserve"> </w:t>
      </w:r>
      <w:r w:rsidR="001D796C" w:rsidRPr="007B0913">
        <w:rPr>
          <w:rFonts w:ascii="Times New Roman" w:hAnsi="Times New Roman" w:cs="Times New Roman"/>
          <w:sz w:val="24"/>
          <w:szCs w:val="24"/>
        </w:rPr>
        <w:t xml:space="preserve">beneficial.  </w:t>
      </w:r>
    </w:p>
    <w:p w14:paraId="75629FF2" w14:textId="61038F35" w:rsidR="00622D06" w:rsidRPr="007B0913" w:rsidRDefault="001D796C"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In the</w:t>
      </w:r>
      <w:r w:rsidR="00D60DD3" w:rsidRPr="007B0913">
        <w:rPr>
          <w:rFonts w:ascii="Times New Roman" w:hAnsi="Times New Roman" w:cs="Times New Roman"/>
          <w:sz w:val="24"/>
          <w:szCs w:val="24"/>
        </w:rPr>
        <w:t xml:space="preserve"> context</w:t>
      </w:r>
      <w:r w:rsidRPr="007B0913">
        <w:rPr>
          <w:rFonts w:ascii="Times New Roman" w:hAnsi="Times New Roman" w:cs="Times New Roman"/>
          <w:sz w:val="24"/>
          <w:szCs w:val="24"/>
        </w:rPr>
        <w:t xml:space="preserve"> of a broad-ranging statutory Bill of Rights</w:t>
      </w:r>
      <w:r w:rsidR="00D60DD3" w:rsidRPr="007B0913">
        <w:rPr>
          <w:rFonts w:ascii="Times New Roman" w:hAnsi="Times New Roman" w:cs="Times New Roman"/>
          <w:sz w:val="24"/>
          <w:szCs w:val="24"/>
        </w:rPr>
        <w:t xml:space="preserve">, however, the contrary view may also be </w:t>
      </w:r>
      <w:r w:rsidRPr="007B0913">
        <w:rPr>
          <w:rFonts w:ascii="Times New Roman" w:hAnsi="Times New Roman" w:cs="Times New Roman"/>
          <w:sz w:val="24"/>
          <w:szCs w:val="24"/>
        </w:rPr>
        <w:t xml:space="preserve">tenable.  Any statute, such as the Charter, </w:t>
      </w:r>
      <w:r w:rsidR="001F4357" w:rsidRPr="007B0913">
        <w:rPr>
          <w:rFonts w:ascii="Times New Roman" w:hAnsi="Times New Roman" w:cs="Times New Roman"/>
          <w:sz w:val="24"/>
          <w:szCs w:val="24"/>
        </w:rPr>
        <w:t>that</w:t>
      </w:r>
      <w:r w:rsidR="000A64AD" w:rsidRPr="007B0913">
        <w:rPr>
          <w:rFonts w:ascii="Times New Roman" w:hAnsi="Times New Roman" w:cs="Times New Roman"/>
          <w:sz w:val="24"/>
          <w:szCs w:val="24"/>
        </w:rPr>
        <w:t xml:space="preserve"> can only be understood by engaging in a </w:t>
      </w:r>
      <w:r w:rsidR="004D7A50" w:rsidRPr="007B0913">
        <w:rPr>
          <w:rFonts w:ascii="Times New Roman" w:hAnsi="Times New Roman" w:cs="Times New Roman"/>
          <w:sz w:val="24"/>
          <w:szCs w:val="24"/>
        </w:rPr>
        <w:t>‘</w:t>
      </w:r>
      <w:r w:rsidR="001F4357" w:rsidRPr="007B0913">
        <w:rPr>
          <w:rFonts w:ascii="Times New Roman" w:hAnsi="Times New Roman" w:cs="Times New Roman"/>
          <w:sz w:val="24"/>
          <w:szCs w:val="24"/>
        </w:rPr>
        <w:t>nuanced</w:t>
      </w:r>
      <w:r w:rsidR="004D7A50" w:rsidRPr="007B0913">
        <w:rPr>
          <w:rFonts w:ascii="Times New Roman" w:hAnsi="Times New Roman" w:cs="Times New Roman"/>
          <w:sz w:val="24"/>
          <w:szCs w:val="24"/>
        </w:rPr>
        <w:t>’</w:t>
      </w:r>
      <w:r w:rsidR="001F4357" w:rsidRPr="007B0913">
        <w:rPr>
          <w:rFonts w:ascii="Times New Roman" w:hAnsi="Times New Roman" w:cs="Times New Roman"/>
          <w:sz w:val="24"/>
          <w:szCs w:val="24"/>
        </w:rPr>
        <w:t xml:space="preserve"> reading of </w:t>
      </w:r>
      <w:r w:rsidR="004D7A50" w:rsidRPr="007B0913">
        <w:rPr>
          <w:rFonts w:ascii="Times New Roman" w:hAnsi="Times New Roman" w:cs="Times New Roman"/>
          <w:sz w:val="24"/>
          <w:szCs w:val="24"/>
        </w:rPr>
        <w:t>a</w:t>
      </w:r>
      <w:r w:rsidRPr="007B0913">
        <w:rPr>
          <w:rFonts w:ascii="Times New Roman" w:hAnsi="Times New Roman" w:cs="Times New Roman"/>
          <w:sz w:val="24"/>
          <w:szCs w:val="24"/>
        </w:rPr>
        <w:t xml:space="preserve"> case such as </w:t>
      </w:r>
      <w:proofErr w:type="spellStart"/>
      <w:r w:rsidRPr="007B0913">
        <w:rPr>
          <w:rFonts w:ascii="Times New Roman" w:hAnsi="Times New Roman" w:cs="Times New Roman"/>
          <w:i/>
          <w:sz w:val="24"/>
          <w:szCs w:val="24"/>
        </w:rPr>
        <w:t>Momcilovic</w:t>
      </w:r>
      <w:proofErr w:type="spellEnd"/>
      <w:r w:rsidRPr="007B0913">
        <w:rPr>
          <w:rFonts w:ascii="Times New Roman" w:hAnsi="Times New Roman" w:cs="Times New Roman"/>
          <w:sz w:val="24"/>
          <w:szCs w:val="24"/>
        </w:rPr>
        <w:t>, as well as a</w:t>
      </w:r>
      <w:r w:rsidR="004D7A50" w:rsidRPr="007B0913">
        <w:rPr>
          <w:rFonts w:ascii="Times New Roman" w:hAnsi="Times New Roman" w:cs="Times New Roman"/>
          <w:sz w:val="24"/>
          <w:szCs w:val="24"/>
        </w:rPr>
        <w:t xml:space="preserve"> series of</w:t>
      </w:r>
      <w:r w:rsidRPr="007B0913">
        <w:rPr>
          <w:rFonts w:ascii="Times New Roman" w:hAnsi="Times New Roman" w:cs="Times New Roman"/>
          <w:sz w:val="24"/>
          <w:szCs w:val="24"/>
        </w:rPr>
        <w:t xml:space="preserve"> appellate judgments </w:t>
      </w:r>
      <w:r w:rsidRPr="007B0913">
        <w:rPr>
          <w:rFonts w:ascii="Times New Roman" w:hAnsi="Times New Roman" w:cs="Times New Roman"/>
          <w:sz w:val="24"/>
          <w:szCs w:val="24"/>
        </w:rPr>
        <w:lastRenderedPageBreak/>
        <w:t>(</w:t>
      </w:r>
      <w:r w:rsidR="001F4357" w:rsidRPr="007B0913">
        <w:rPr>
          <w:rFonts w:ascii="Times New Roman" w:hAnsi="Times New Roman" w:cs="Times New Roman"/>
          <w:sz w:val="24"/>
          <w:szCs w:val="24"/>
        </w:rPr>
        <w:t xml:space="preserve">many of which are </w:t>
      </w:r>
      <w:r w:rsidRPr="007B0913">
        <w:rPr>
          <w:rFonts w:ascii="Times New Roman" w:hAnsi="Times New Roman" w:cs="Times New Roman"/>
          <w:sz w:val="24"/>
          <w:szCs w:val="24"/>
        </w:rPr>
        <w:t xml:space="preserve">difficult to reconcile </w:t>
      </w:r>
      <w:r w:rsidR="004D7A50" w:rsidRPr="007B0913">
        <w:rPr>
          <w:rFonts w:ascii="Times New Roman" w:hAnsi="Times New Roman" w:cs="Times New Roman"/>
          <w:sz w:val="24"/>
          <w:szCs w:val="24"/>
        </w:rPr>
        <w:t>with each other</w:t>
      </w:r>
      <w:r w:rsidRPr="007B0913">
        <w:rPr>
          <w:rFonts w:ascii="Times New Roman" w:hAnsi="Times New Roman" w:cs="Times New Roman"/>
          <w:sz w:val="24"/>
          <w:szCs w:val="24"/>
        </w:rPr>
        <w:t>)</w:t>
      </w:r>
      <w:r w:rsidR="00F53B33" w:rsidRPr="007B0913">
        <w:rPr>
          <w:rFonts w:ascii="Times New Roman" w:hAnsi="Times New Roman" w:cs="Times New Roman"/>
          <w:sz w:val="24"/>
          <w:szCs w:val="24"/>
        </w:rPr>
        <w:t xml:space="preserve"> can</w:t>
      </w:r>
      <w:r w:rsidR="002823DC" w:rsidRPr="007B0913">
        <w:rPr>
          <w:rFonts w:ascii="Times New Roman" w:hAnsi="Times New Roman" w:cs="Times New Roman"/>
          <w:sz w:val="24"/>
          <w:szCs w:val="24"/>
        </w:rPr>
        <w:t xml:space="preserve"> hardly </w:t>
      </w:r>
      <w:r w:rsidR="00F53B33" w:rsidRPr="007B0913">
        <w:rPr>
          <w:rFonts w:ascii="Times New Roman" w:hAnsi="Times New Roman" w:cs="Times New Roman"/>
          <w:sz w:val="24"/>
          <w:szCs w:val="24"/>
        </w:rPr>
        <w:t>be said to have contributed</w:t>
      </w:r>
      <w:r w:rsidR="002823DC" w:rsidRPr="007B0913">
        <w:rPr>
          <w:rFonts w:ascii="Times New Roman" w:hAnsi="Times New Roman" w:cs="Times New Roman"/>
          <w:sz w:val="24"/>
          <w:szCs w:val="24"/>
        </w:rPr>
        <w:t xml:space="preserve"> to </w:t>
      </w:r>
      <w:r w:rsidR="00147D51" w:rsidRPr="007B0913">
        <w:rPr>
          <w:rFonts w:ascii="Times New Roman" w:hAnsi="Times New Roman" w:cs="Times New Roman"/>
          <w:sz w:val="24"/>
          <w:szCs w:val="24"/>
        </w:rPr>
        <w:t xml:space="preserve">the </w:t>
      </w:r>
      <w:r w:rsidRPr="007B0913">
        <w:rPr>
          <w:rFonts w:ascii="Times New Roman" w:hAnsi="Times New Roman" w:cs="Times New Roman"/>
          <w:sz w:val="24"/>
          <w:szCs w:val="24"/>
        </w:rPr>
        <w:t xml:space="preserve">advancement of our understanding of basic principles.  </w:t>
      </w:r>
      <w:r w:rsidR="00147D51" w:rsidRPr="007B0913">
        <w:rPr>
          <w:rFonts w:ascii="Times New Roman" w:hAnsi="Times New Roman" w:cs="Times New Roman"/>
          <w:sz w:val="24"/>
          <w:szCs w:val="24"/>
        </w:rPr>
        <w:t xml:space="preserve">  </w:t>
      </w:r>
    </w:p>
    <w:p w14:paraId="7D97558D" w14:textId="6483117B" w:rsidR="00136C5E" w:rsidRPr="007B0913" w:rsidRDefault="00B920B1"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Of course, </w:t>
      </w:r>
      <w:r w:rsidR="009F3D0F" w:rsidRPr="007B0913">
        <w:rPr>
          <w:rFonts w:ascii="Times New Roman" w:hAnsi="Times New Roman" w:cs="Times New Roman"/>
          <w:sz w:val="24"/>
          <w:szCs w:val="24"/>
        </w:rPr>
        <w:t xml:space="preserve">despite the Charter’s limited application in relation to the right to a fair trial, it may still have </w:t>
      </w:r>
      <w:r w:rsidRPr="007B0913">
        <w:rPr>
          <w:rFonts w:ascii="Times New Roman" w:hAnsi="Times New Roman" w:cs="Times New Roman"/>
          <w:sz w:val="24"/>
          <w:szCs w:val="24"/>
        </w:rPr>
        <w:t>an important role</w:t>
      </w:r>
      <w:r w:rsidR="00C249A4" w:rsidRPr="007B0913">
        <w:rPr>
          <w:rFonts w:ascii="Times New Roman" w:hAnsi="Times New Roman" w:cs="Times New Roman"/>
          <w:sz w:val="24"/>
          <w:szCs w:val="24"/>
        </w:rPr>
        <w:t xml:space="preserve"> in relation to</w:t>
      </w:r>
      <w:r w:rsidR="009F3D0F" w:rsidRPr="007B0913">
        <w:rPr>
          <w:rFonts w:ascii="Times New Roman" w:hAnsi="Times New Roman" w:cs="Times New Roman"/>
          <w:sz w:val="24"/>
          <w:szCs w:val="24"/>
        </w:rPr>
        <w:t xml:space="preserve"> ancillary rights</w:t>
      </w:r>
      <w:r w:rsidRPr="007B0913">
        <w:rPr>
          <w:rFonts w:ascii="Times New Roman" w:hAnsi="Times New Roman" w:cs="Times New Roman"/>
          <w:sz w:val="24"/>
          <w:szCs w:val="24"/>
        </w:rPr>
        <w:t xml:space="preserve">.  </w:t>
      </w:r>
      <w:r w:rsidR="00B246EA" w:rsidRPr="007B0913">
        <w:rPr>
          <w:rFonts w:ascii="Times New Roman" w:hAnsi="Times New Roman" w:cs="Times New Roman"/>
          <w:sz w:val="24"/>
          <w:szCs w:val="24"/>
        </w:rPr>
        <w:t>For example</w:t>
      </w:r>
      <w:r w:rsidR="00E83AF1" w:rsidRPr="007B0913">
        <w:rPr>
          <w:rFonts w:ascii="Times New Roman" w:hAnsi="Times New Roman" w:cs="Times New Roman"/>
          <w:sz w:val="24"/>
          <w:szCs w:val="24"/>
        </w:rPr>
        <w:t xml:space="preserve">, the Charter has </w:t>
      </w:r>
      <w:r w:rsidR="009F3D0F" w:rsidRPr="007B0913">
        <w:rPr>
          <w:rFonts w:ascii="Times New Roman" w:hAnsi="Times New Roman" w:cs="Times New Roman"/>
          <w:sz w:val="24"/>
          <w:szCs w:val="24"/>
        </w:rPr>
        <w:t>been recently invoked</w:t>
      </w:r>
      <w:r w:rsidR="00E83AF1" w:rsidRPr="007B0913">
        <w:rPr>
          <w:rFonts w:ascii="Times New Roman" w:hAnsi="Times New Roman" w:cs="Times New Roman"/>
          <w:sz w:val="24"/>
          <w:szCs w:val="24"/>
        </w:rPr>
        <w:t xml:space="preserve"> in an </w:t>
      </w:r>
      <w:r w:rsidR="009F3D0F" w:rsidRPr="007B0913">
        <w:rPr>
          <w:rFonts w:ascii="Times New Roman" w:hAnsi="Times New Roman" w:cs="Times New Roman"/>
          <w:sz w:val="24"/>
          <w:szCs w:val="24"/>
        </w:rPr>
        <w:t>(unsuccessful</w:t>
      </w:r>
      <w:r w:rsidR="005D178C" w:rsidRPr="007B0913">
        <w:rPr>
          <w:rFonts w:ascii="Times New Roman" w:hAnsi="Times New Roman" w:cs="Times New Roman"/>
          <w:sz w:val="24"/>
          <w:szCs w:val="24"/>
        </w:rPr>
        <w:t xml:space="preserve"> in that case</w:t>
      </w:r>
      <w:r w:rsidR="009F3D0F" w:rsidRPr="007B0913">
        <w:rPr>
          <w:rFonts w:ascii="Times New Roman" w:hAnsi="Times New Roman" w:cs="Times New Roman"/>
          <w:sz w:val="24"/>
          <w:szCs w:val="24"/>
        </w:rPr>
        <w:t xml:space="preserve">) </w:t>
      </w:r>
      <w:r w:rsidR="00E83AF1" w:rsidRPr="007B0913">
        <w:rPr>
          <w:rFonts w:ascii="Times New Roman" w:hAnsi="Times New Roman" w:cs="Times New Roman"/>
          <w:sz w:val="24"/>
          <w:szCs w:val="24"/>
        </w:rPr>
        <w:t>attempt to query the liability to registration as a sex offender under legislation requiring such offenders to keep police informed of their whereabouts and personal details.</w:t>
      </w:r>
      <w:r w:rsidR="00E83AF1" w:rsidRPr="007B0913">
        <w:rPr>
          <w:rStyle w:val="FootnoteReference"/>
          <w:rFonts w:ascii="Times New Roman" w:hAnsi="Times New Roman" w:cs="Times New Roman"/>
          <w:sz w:val="24"/>
          <w:szCs w:val="24"/>
        </w:rPr>
        <w:footnoteReference w:id="67"/>
      </w:r>
      <w:r w:rsidR="00E83AF1" w:rsidRPr="007B0913">
        <w:rPr>
          <w:rFonts w:ascii="Times New Roman" w:hAnsi="Times New Roman" w:cs="Times New Roman"/>
          <w:sz w:val="24"/>
          <w:szCs w:val="24"/>
        </w:rPr>
        <w:t xml:space="preserve"> </w:t>
      </w:r>
    </w:p>
    <w:p w14:paraId="577E225C" w14:textId="70CBC1CC" w:rsidR="00A20952" w:rsidRPr="007B0913" w:rsidRDefault="005D178C"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Justice Tate contends that </w:t>
      </w:r>
      <w:r w:rsidR="00F10338" w:rsidRPr="007B0913">
        <w:rPr>
          <w:rFonts w:ascii="Times New Roman" w:hAnsi="Times New Roman" w:cs="Times New Roman"/>
          <w:sz w:val="24"/>
          <w:szCs w:val="24"/>
        </w:rPr>
        <w:t xml:space="preserve">the principle </w:t>
      </w:r>
      <w:r w:rsidR="003B53C7" w:rsidRPr="007B0913">
        <w:rPr>
          <w:rFonts w:ascii="Times New Roman" w:hAnsi="Times New Roman" w:cs="Times New Roman"/>
          <w:sz w:val="24"/>
          <w:szCs w:val="24"/>
        </w:rPr>
        <w:t>of legality</w:t>
      </w:r>
      <w:r w:rsidR="00F10338" w:rsidRPr="007B0913">
        <w:rPr>
          <w:rFonts w:ascii="Times New Roman" w:hAnsi="Times New Roman" w:cs="Times New Roman"/>
          <w:sz w:val="24"/>
          <w:szCs w:val="24"/>
        </w:rPr>
        <w:t xml:space="preserve"> </w:t>
      </w:r>
      <w:r w:rsidRPr="007B0913">
        <w:rPr>
          <w:rFonts w:ascii="Times New Roman" w:hAnsi="Times New Roman" w:cs="Times New Roman"/>
          <w:sz w:val="24"/>
          <w:szCs w:val="24"/>
        </w:rPr>
        <w:t>does not go nearly as far, in protecting basic rights, as the interpretive principle in the Charter.  She notes, for example that the principle of legality has its limitations</w:t>
      </w:r>
      <w:r w:rsidR="00787BF5" w:rsidRPr="007B0913">
        <w:rPr>
          <w:rFonts w:ascii="Times New Roman" w:hAnsi="Times New Roman" w:cs="Times New Roman"/>
          <w:sz w:val="24"/>
          <w:szCs w:val="24"/>
        </w:rPr>
        <w:t xml:space="preserve">.  </w:t>
      </w:r>
      <w:r w:rsidRPr="007B0913">
        <w:rPr>
          <w:rFonts w:ascii="Times New Roman" w:hAnsi="Times New Roman" w:cs="Times New Roman"/>
          <w:sz w:val="24"/>
          <w:szCs w:val="24"/>
        </w:rPr>
        <w:t xml:space="preserve">In </w:t>
      </w:r>
      <w:r w:rsidRPr="007B0913">
        <w:rPr>
          <w:rFonts w:ascii="Times New Roman" w:hAnsi="Times New Roman" w:cs="Times New Roman"/>
          <w:i/>
          <w:sz w:val="24"/>
          <w:szCs w:val="24"/>
        </w:rPr>
        <w:t>Lee</w:t>
      </w:r>
      <w:r w:rsidR="00AC3B99" w:rsidRPr="007B0913">
        <w:rPr>
          <w:rFonts w:ascii="Times New Roman" w:hAnsi="Times New Roman" w:cs="Times New Roman"/>
          <w:sz w:val="24"/>
          <w:szCs w:val="24"/>
        </w:rPr>
        <w:t>,</w:t>
      </w:r>
      <w:r w:rsidR="00FC75D8" w:rsidRPr="007B0913">
        <w:rPr>
          <w:rStyle w:val="FootnoteReference"/>
          <w:rFonts w:ascii="Times New Roman" w:hAnsi="Times New Roman" w:cs="Times New Roman"/>
          <w:sz w:val="24"/>
          <w:szCs w:val="24"/>
        </w:rPr>
        <w:footnoteReference w:id="68"/>
      </w:r>
      <w:r w:rsidR="00AC3B99" w:rsidRPr="007B0913">
        <w:rPr>
          <w:rFonts w:ascii="Times New Roman" w:hAnsi="Times New Roman" w:cs="Times New Roman"/>
          <w:sz w:val="24"/>
          <w:szCs w:val="24"/>
        </w:rPr>
        <w:t xml:space="preserve"> </w:t>
      </w:r>
      <w:proofErr w:type="spellStart"/>
      <w:r w:rsidR="00AC3B99" w:rsidRPr="007B0913">
        <w:rPr>
          <w:rFonts w:ascii="Times New Roman" w:hAnsi="Times New Roman" w:cs="Times New Roman"/>
          <w:sz w:val="24"/>
          <w:szCs w:val="24"/>
        </w:rPr>
        <w:t>Gageler</w:t>
      </w:r>
      <w:proofErr w:type="spellEnd"/>
      <w:r w:rsidR="00AC3B99" w:rsidRPr="007B0913">
        <w:rPr>
          <w:rFonts w:ascii="Times New Roman" w:hAnsi="Times New Roman" w:cs="Times New Roman"/>
          <w:sz w:val="24"/>
          <w:szCs w:val="24"/>
        </w:rPr>
        <w:t xml:space="preserve"> and Keane JJ</w:t>
      </w:r>
      <w:r w:rsidR="00A20952" w:rsidRPr="007B0913">
        <w:rPr>
          <w:rFonts w:ascii="Times New Roman" w:hAnsi="Times New Roman" w:cs="Times New Roman"/>
          <w:sz w:val="24"/>
          <w:szCs w:val="24"/>
        </w:rPr>
        <w:t xml:space="preserve"> qualified their endorsement of the principle by adding </w:t>
      </w:r>
      <w:proofErr w:type="gramStart"/>
      <w:r w:rsidR="00A20952" w:rsidRPr="007B0913">
        <w:rPr>
          <w:rFonts w:ascii="Times New Roman" w:hAnsi="Times New Roman" w:cs="Times New Roman"/>
          <w:sz w:val="24"/>
          <w:szCs w:val="24"/>
        </w:rPr>
        <w:t>that  it</w:t>
      </w:r>
      <w:proofErr w:type="gramEnd"/>
      <w:r w:rsidR="00A20952" w:rsidRPr="007B0913">
        <w:rPr>
          <w:rFonts w:ascii="Times New Roman" w:hAnsi="Times New Roman" w:cs="Times New Roman"/>
          <w:sz w:val="24"/>
          <w:szCs w:val="24"/>
        </w:rPr>
        <w:t xml:space="preserve"> ought not be extended beyond its rationale.  Their Honours said that the principle:</w:t>
      </w:r>
    </w:p>
    <w:p w14:paraId="7ADBD846" w14:textId="6B796F43" w:rsidR="00A20952" w:rsidRPr="007B0913" w:rsidRDefault="00A20952" w:rsidP="002279C4">
      <w:pPr>
        <w:spacing w:after="240" w:line="240" w:lineRule="auto"/>
        <w:ind w:left="720"/>
        <w:jc w:val="both"/>
        <w:rPr>
          <w:rFonts w:ascii="Times New Roman" w:hAnsi="Times New Roman" w:cs="Times New Roman"/>
        </w:rPr>
      </w:pPr>
      <w:proofErr w:type="gramStart"/>
      <w:r w:rsidRPr="007B0913">
        <w:rPr>
          <w:rFonts w:ascii="Times New Roman" w:hAnsi="Times New Roman" w:cs="Times New Roman"/>
        </w:rPr>
        <w:t>exists</w:t>
      </w:r>
      <w:proofErr w:type="gramEnd"/>
      <w:r w:rsidRPr="007B0913">
        <w:rPr>
          <w:rFonts w:ascii="Times New Roman" w:hAnsi="Times New Roman" w:cs="Times New Roman"/>
        </w:rPr>
        <w:t xml:space="preserve"> to protect </w:t>
      </w:r>
      <w:r w:rsidR="007B052D" w:rsidRPr="007B0913">
        <w:rPr>
          <w:rFonts w:ascii="Times New Roman" w:hAnsi="Times New Roman" w:cs="Times New Roman"/>
        </w:rPr>
        <w:t xml:space="preserve">from </w:t>
      </w:r>
      <w:r w:rsidR="003B53C7" w:rsidRPr="007B0913">
        <w:rPr>
          <w:rFonts w:ascii="Times New Roman" w:hAnsi="Times New Roman" w:cs="Times New Roman"/>
        </w:rPr>
        <w:t>inadvertent and collateral alteration</w:t>
      </w:r>
      <w:r w:rsidRPr="007B0913">
        <w:rPr>
          <w:rFonts w:ascii="Times New Roman" w:hAnsi="Times New Roman" w:cs="Times New Roman"/>
        </w:rPr>
        <w:t xml:space="preserve"> </w:t>
      </w:r>
      <w:r w:rsidR="003B53C7" w:rsidRPr="007B0913">
        <w:rPr>
          <w:rFonts w:ascii="Times New Roman" w:hAnsi="Times New Roman" w:cs="Times New Roman"/>
        </w:rPr>
        <w:t>rights</w:t>
      </w:r>
      <w:r w:rsidRPr="007B0913">
        <w:rPr>
          <w:rFonts w:ascii="Times New Roman" w:hAnsi="Times New Roman" w:cs="Times New Roman"/>
        </w:rPr>
        <w:t xml:space="preserve">, </w:t>
      </w:r>
      <w:r w:rsidR="003B53C7" w:rsidRPr="007B0913">
        <w:rPr>
          <w:rFonts w:ascii="Times New Roman" w:hAnsi="Times New Roman" w:cs="Times New Roman"/>
        </w:rPr>
        <w:t>freedoms</w:t>
      </w:r>
      <w:r w:rsidRPr="007B0913">
        <w:rPr>
          <w:rFonts w:ascii="Times New Roman" w:hAnsi="Times New Roman" w:cs="Times New Roman"/>
        </w:rPr>
        <w:t>, immunities, principles and values that are important within our system of representative and responsible government</w:t>
      </w:r>
      <w:r w:rsidR="003B53C7" w:rsidRPr="007B0913">
        <w:rPr>
          <w:rFonts w:ascii="Times New Roman" w:hAnsi="Times New Roman" w:cs="Times New Roman"/>
        </w:rPr>
        <w:t xml:space="preserve"> under the rule of law</w:t>
      </w:r>
      <w:r w:rsidR="007B052D" w:rsidRPr="007B0913">
        <w:rPr>
          <w:rFonts w:ascii="Times New Roman" w:hAnsi="Times New Roman" w:cs="Times New Roman"/>
        </w:rPr>
        <w:t>…</w:t>
      </w:r>
      <w:r w:rsidRPr="007B0913">
        <w:rPr>
          <w:rStyle w:val="FootnoteReference"/>
          <w:rFonts w:ascii="Times New Roman" w:hAnsi="Times New Roman" w:cs="Times New Roman"/>
        </w:rPr>
        <w:footnoteReference w:id="69"/>
      </w:r>
      <w:r w:rsidR="004E046A" w:rsidRPr="007B0913">
        <w:rPr>
          <w:rFonts w:ascii="Times New Roman" w:hAnsi="Times New Roman" w:cs="Times New Roman"/>
        </w:rPr>
        <w:t xml:space="preserve">  </w:t>
      </w:r>
    </w:p>
    <w:p w14:paraId="4C00D9D0" w14:textId="4BE0008A" w:rsidR="003B53C7" w:rsidRPr="007B0913" w:rsidRDefault="002007BB"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Their Honours went on to say that the principle does not exist to </w:t>
      </w:r>
      <w:r w:rsidR="003B53C7" w:rsidRPr="007B0913">
        <w:rPr>
          <w:rFonts w:ascii="Times New Roman" w:hAnsi="Times New Roman" w:cs="Times New Roman"/>
          <w:sz w:val="24"/>
          <w:szCs w:val="24"/>
        </w:rPr>
        <w:t xml:space="preserve">shield rights </w:t>
      </w:r>
      <w:r w:rsidRPr="007B0913">
        <w:rPr>
          <w:rFonts w:ascii="Times New Roman" w:hAnsi="Times New Roman" w:cs="Times New Roman"/>
          <w:sz w:val="24"/>
          <w:szCs w:val="24"/>
        </w:rPr>
        <w:t>from being specifically affected in the pursuit of clearly identified legislative objects by means within the constitutional competence of the enacting legislature</w:t>
      </w:r>
      <w:r w:rsidR="008D636E" w:rsidRPr="007B0913">
        <w:rPr>
          <w:rFonts w:ascii="Times New Roman" w:hAnsi="Times New Roman" w:cs="Times New Roman"/>
          <w:sz w:val="24"/>
          <w:szCs w:val="24"/>
        </w:rPr>
        <w:t>.</w:t>
      </w:r>
      <w:r w:rsidRPr="007B0913">
        <w:rPr>
          <w:rStyle w:val="FootnoteReference"/>
          <w:rFonts w:ascii="Times New Roman" w:hAnsi="Times New Roman" w:cs="Times New Roman"/>
          <w:sz w:val="24"/>
          <w:szCs w:val="24"/>
        </w:rPr>
        <w:footnoteReference w:id="70"/>
      </w:r>
      <w:r w:rsidR="008D636E" w:rsidRPr="007B0913">
        <w:rPr>
          <w:rFonts w:ascii="Times New Roman" w:hAnsi="Times New Roman" w:cs="Times New Roman"/>
          <w:sz w:val="24"/>
          <w:szCs w:val="24"/>
        </w:rPr>
        <w:t xml:space="preserve">  Thus, </w:t>
      </w:r>
      <w:r w:rsidRPr="007B0913">
        <w:rPr>
          <w:rFonts w:ascii="Times New Roman" w:hAnsi="Times New Roman" w:cs="Times New Roman"/>
          <w:sz w:val="24"/>
          <w:szCs w:val="24"/>
        </w:rPr>
        <w:t xml:space="preserve">in their Honours’ view, </w:t>
      </w:r>
      <w:r w:rsidR="008D636E" w:rsidRPr="007B0913">
        <w:rPr>
          <w:rFonts w:ascii="Times New Roman" w:hAnsi="Times New Roman" w:cs="Times New Roman"/>
          <w:sz w:val="24"/>
          <w:szCs w:val="24"/>
        </w:rPr>
        <w:t>th</w:t>
      </w:r>
      <w:r w:rsidR="004E046A" w:rsidRPr="007B0913">
        <w:rPr>
          <w:rFonts w:ascii="Times New Roman" w:hAnsi="Times New Roman" w:cs="Times New Roman"/>
          <w:sz w:val="24"/>
          <w:szCs w:val="24"/>
        </w:rPr>
        <w:t xml:space="preserve">e legislature can, </w:t>
      </w:r>
      <w:r w:rsidR="00790919" w:rsidRPr="007B0913">
        <w:rPr>
          <w:rFonts w:ascii="Times New Roman" w:hAnsi="Times New Roman" w:cs="Times New Roman"/>
          <w:sz w:val="24"/>
          <w:szCs w:val="24"/>
        </w:rPr>
        <w:t>consistently with the</w:t>
      </w:r>
      <w:r w:rsidR="008D636E" w:rsidRPr="007B0913">
        <w:rPr>
          <w:rFonts w:ascii="Times New Roman" w:hAnsi="Times New Roman" w:cs="Times New Roman"/>
          <w:sz w:val="24"/>
          <w:szCs w:val="24"/>
        </w:rPr>
        <w:t xml:space="preserve"> principle</w:t>
      </w:r>
      <w:r w:rsidRPr="007B0913">
        <w:rPr>
          <w:rFonts w:ascii="Times New Roman" w:hAnsi="Times New Roman" w:cs="Times New Roman"/>
          <w:sz w:val="24"/>
          <w:szCs w:val="24"/>
        </w:rPr>
        <w:t xml:space="preserve"> of legality</w:t>
      </w:r>
      <w:r w:rsidR="008D636E" w:rsidRPr="007B0913">
        <w:rPr>
          <w:rFonts w:ascii="Times New Roman" w:hAnsi="Times New Roman" w:cs="Times New Roman"/>
          <w:sz w:val="24"/>
          <w:szCs w:val="24"/>
        </w:rPr>
        <w:t xml:space="preserve">, enact </w:t>
      </w:r>
      <w:r w:rsidRPr="007B0913">
        <w:rPr>
          <w:rFonts w:ascii="Times New Roman" w:hAnsi="Times New Roman" w:cs="Times New Roman"/>
          <w:sz w:val="24"/>
          <w:szCs w:val="24"/>
        </w:rPr>
        <w:t xml:space="preserve">clearly </w:t>
      </w:r>
      <w:r w:rsidR="008D636E" w:rsidRPr="007B0913">
        <w:rPr>
          <w:rFonts w:ascii="Times New Roman" w:hAnsi="Times New Roman" w:cs="Times New Roman"/>
          <w:sz w:val="24"/>
          <w:szCs w:val="24"/>
        </w:rPr>
        <w:t>worded but</w:t>
      </w:r>
      <w:r w:rsidRPr="007B0913">
        <w:rPr>
          <w:rFonts w:ascii="Times New Roman" w:hAnsi="Times New Roman" w:cs="Times New Roman"/>
          <w:sz w:val="24"/>
          <w:szCs w:val="24"/>
        </w:rPr>
        <w:t xml:space="preserve"> thoroughly</w:t>
      </w:r>
      <w:r w:rsidR="008D636E" w:rsidRPr="007B0913">
        <w:rPr>
          <w:rFonts w:ascii="Times New Roman" w:hAnsi="Times New Roman" w:cs="Times New Roman"/>
          <w:sz w:val="24"/>
          <w:szCs w:val="24"/>
        </w:rPr>
        <w:t xml:space="preserve"> oppressive provisions</w:t>
      </w:r>
      <w:r w:rsidRPr="007B0913">
        <w:rPr>
          <w:rFonts w:ascii="Times New Roman" w:hAnsi="Times New Roman" w:cs="Times New Roman"/>
          <w:sz w:val="24"/>
          <w:szCs w:val="24"/>
        </w:rPr>
        <w:t>, in breach of at least some human rights that are recognised, for example, in the Charter.</w:t>
      </w:r>
      <w:r w:rsidR="008D636E" w:rsidRPr="007B0913">
        <w:rPr>
          <w:rStyle w:val="FootnoteReference"/>
          <w:rFonts w:ascii="Times New Roman" w:hAnsi="Times New Roman" w:cs="Times New Roman"/>
          <w:sz w:val="24"/>
          <w:szCs w:val="24"/>
        </w:rPr>
        <w:footnoteReference w:id="71"/>
      </w:r>
      <w:r w:rsidR="003B53C7" w:rsidRPr="007B0913">
        <w:rPr>
          <w:rFonts w:ascii="Times New Roman" w:hAnsi="Times New Roman" w:cs="Times New Roman"/>
          <w:sz w:val="24"/>
          <w:szCs w:val="24"/>
        </w:rPr>
        <w:t xml:space="preserve"> </w:t>
      </w:r>
      <w:r w:rsidR="008D636E" w:rsidRPr="007B0913">
        <w:rPr>
          <w:rFonts w:ascii="Times New Roman" w:hAnsi="Times New Roman" w:cs="Times New Roman"/>
          <w:sz w:val="24"/>
          <w:szCs w:val="24"/>
        </w:rPr>
        <w:t xml:space="preserve"> </w:t>
      </w:r>
      <w:r w:rsidR="008B4B9F" w:rsidRPr="007B0913">
        <w:rPr>
          <w:rFonts w:ascii="Times New Roman" w:hAnsi="Times New Roman" w:cs="Times New Roman"/>
          <w:sz w:val="24"/>
          <w:szCs w:val="24"/>
        </w:rPr>
        <w:t>It is</w:t>
      </w:r>
      <w:r w:rsidRPr="007B0913">
        <w:rPr>
          <w:rFonts w:ascii="Times New Roman" w:hAnsi="Times New Roman" w:cs="Times New Roman"/>
          <w:sz w:val="24"/>
          <w:szCs w:val="24"/>
        </w:rPr>
        <w:t>, of course,</w:t>
      </w:r>
      <w:r w:rsidR="008B4B9F" w:rsidRPr="007B0913">
        <w:rPr>
          <w:rFonts w:ascii="Times New Roman" w:hAnsi="Times New Roman" w:cs="Times New Roman"/>
          <w:sz w:val="24"/>
          <w:szCs w:val="24"/>
        </w:rPr>
        <w:t xml:space="preserve"> a matter of debate </w:t>
      </w:r>
      <w:r w:rsidR="00FC2945" w:rsidRPr="007B0913">
        <w:rPr>
          <w:rFonts w:ascii="Times New Roman" w:hAnsi="Times New Roman" w:cs="Times New Roman"/>
          <w:sz w:val="24"/>
          <w:szCs w:val="24"/>
        </w:rPr>
        <w:t xml:space="preserve">whether unelected judges, as </w:t>
      </w:r>
      <w:r w:rsidR="00FC2945" w:rsidRPr="007B0913">
        <w:rPr>
          <w:rFonts w:ascii="Times New Roman" w:hAnsi="Times New Roman" w:cs="Times New Roman"/>
          <w:sz w:val="24"/>
          <w:szCs w:val="24"/>
        </w:rPr>
        <w:lastRenderedPageBreak/>
        <w:t>Charter sceptics would describe them,</w:t>
      </w:r>
      <w:r w:rsidRPr="007B0913">
        <w:rPr>
          <w:rFonts w:ascii="Times New Roman" w:hAnsi="Times New Roman" w:cs="Times New Roman"/>
          <w:sz w:val="24"/>
          <w:szCs w:val="24"/>
        </w:rPr>
        <w:t xml:space="preserve"> should have the power to</w:t>
      </w:r>
      <w:r w:rsidR="00FC2945" w:rsidRPr="007B0913">
        <w:rPr>
          <w:rFonts w:ascii="Times New Roman" w:hAnsi="Times New Roman" w:cs="Times New Roman"/>
          <w:sz w:val="24"/>
          <w:szCs w:val="24"/>
        </w:rPr>
        <w:t xml:space="preserve"> set aside what the Parliament itself has chosen to enact.  </w:t>
      </w:r>
    </w:p>
    <w:p w14:paraId="1FB4954D" w14:textId="04CC9795" w:rsidR="004A6F49" w:rsidRPr="007B0913" w:rsidRDefault="00A9589D"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Returning to the</w:t>
      </w:r>
      <w:r w:rsidR="00F12F63" w:rsidRPr="007B0913">
        <w:rPr>
          <w:rFonts w:ascii="Times New Roman" w:hAnsi="Times New Roman" w:cs="Times New Roman"/>
          <w:sz w:val="24"/>
          <w:szCs w:val="24"/>
        </w:rPr>
        <w:t xml:space="preserve"> </w:t>
      </w:r>
      <w:r w:rsidRPr="007B0913">
        <w:rPr>
          <w:rFonts w:ascii="Times New Roman" w:hAnsi="Times New Roman" w:cs="Times New Roman"/>
          <w:sz w:val="24"/>
          <w:szCs w:val="24"/>
        </w:rPr>
        <w:t>right of an accused to a fair</w:t>
      </w:r>
      <w:r w:rsidR="00F12F63" w:rsidRPr="007B0913">
        <w:rPr>
          <w:rFonts w:ascii="Times New Roman" w:hAnsi="Times New Roman" w:cs="Times New Roman"/>
          <w:sz w:val="24"/>
          <w:szCs w:val="24"/>
        </w:rPr>
        <w:t xml:space="preserve"> trial, </w:t>
      </w:r>
      <w:r w:rsidRPr="007B0913">
        <w:rPr>
          <w:rFonts w:ascii="Times New Roman" w:hAnsi="Times New Roman" w:cs="Times New Roman"/>
          <w:sz w:val="24"/>
          <w:szCs w:val="24"/>
        </w:rPr>
        <w:t>the High Court</w:t>
      </w:r>
      <w:r w:rsidR="009757B3" w:rsidRPr="007B0913">
        <w:rPr>
          <w:rFonts w:ascii="Times New Roman" w:hAnsi="Times New Roman" w:cs="Times New Roman"/>
          <w:sz w:val="24"/>
          <w:szCs w:val="24"/>
        </w:rPr>
        <w:t xml:space="preserve"> has</w:t>
      </w:r>
      <w:r w:rsidRPr="007B0913">
        <w:rPr>
          <w:rFonts w:ascii="Times New Roman" w:hAnsi="Times New Roman" w:cs="Times New Roman"/>
          <w:sz w:val="24"/>
          <w:szCs w:val="24"/>
        </w:rPr>
        <w:t xml:space="preserve">, through its interpretation of Chapter III of the </w:t>
      </w:r>
      <w:r w:rsidRPr="007B0913">
        <w:rPr>
          <w:rFonts w:ascii="Times New Roman" w:hAnsi="Times New Roman" w:cs="Times New Roman"/>
          <w:i/>
          <w:sz w:val="24"/>
          <w:szCs w:val="24"/>
        </w:rPr>
        <w:t>Constitution</w:t>
      </w:r>
      <w:r w:rsidR="009757B3" w:rsidRPr="007B0913">
        <w:rPr>
          <w:rFonts w:ascii="Times New Roman" w:hAnsi="Times New Roman" w:cs="Times New Roman"/>
          <w:sz w:val="24"/>
          <w:szCs w:val="24"/>
        </w:rPr>
        <w:t>, made</w:t>
      </w:r>
      <w:r w:rsidRPr="007B0913">
        <w:rPr>
          <w:rFonts w:ascii="Times New Roman" w:hAnsi="Times New Roman" w:cs="Times New Roman"/>
          <w:sz w:val="24"/>
          <w:szCs w:val="24"/>
        </w:rPr>
        <w:t xml:space="preserve"> clear that </w:t>
      </w:r>
      <w:r w:rsidR="009757B3" w:rsidRPr="007B0913">
        <w:rPr>
          <w:rFonts w:ascii="Times New Roman" w:hAnsi="Times New Roman" w:cs="Times New Roman"/>
          <w:sz w:val="24"/>
          <w:szCs w:val="24"/>
        </w:rPr>
        <w:t>there are</w:t>
      </w:r>
      <w:r w:rsidR="00970240" w:rsidRPr="007B0913">
        <w:rPr>
          <w:rFonts w:ascii="Times New Roman" w:hAnsi="Times New Roman" w:cs="Times New Roman"/>
          <w:sz w:val="24"/>
          <w:szCs w:val="24"/>
        </w:rPr>
        <w:t xml:space="preserve"> limits upon what a legislature (</w:t>
      </w:r>
      <w:r w:rsidR="003F7101" w:rsidRPr="007B0913">
        <w:rPr>
          <w:rFonts w:ascii="Times New Roman" w:hAnsi="Times New Roman" w:cs="Times New Roman"/>
          <w:sz w:val="24"/>
          <w:szCs w:val="24"/>
        </w:rPr>
        <w:t xml:space="preserve">federal or </w:t>
      </w:r>
      <w:r w:rsidR="00970240" w:rsidRPr="007B0913">
        <w:rPr>
          <w:rFonts w:ascii="Times New Roman" w:hAnsi="Times New Roman" w:cs="Times New Roman"/>
          <w:sz w:val="24"/>
          <w:szCs w:val="24"/>
        </w:rPr>
        <w:t>state)</w:t>
      </w:r>
      <w:r w:rsidR="009757B3" w:rsidRPr="007B0913">
        <w:rPr>
          <w:rFonts w:ascii="Times New Roman" w:hAnsi="Times New Roman" w:cs="Times New Roman"/>
          <w:sz w:val="24"/>
          <w:szCs w:val="24"/>
        </w:rPr>
        <w:t xml:space="preserve"> can do to impinge upon that right</w:t>
      </w:r>
      <w:r w:rsidR="003F7101" w:rsidRPr="007B0913">
        <w:rPr>
          <w:rFonts w:ascii="Times New Roman" w:hAnsi="Times New Roman" w:cs="Times New Roman"/>
          <w:sz w:val="24"/>
          <w:szCs w:val="24"/>
        </w:rPr>
        <w:t xml:space="preserve">.  </w:t>
      </w:r>
      <w:r w:rsidR="00280A68" w:rsidRPr="007B0913">
        <w:rPr>
          <w:rFonts w:ascii="Times New Roman" w:hAnsi="Times New Roman" w:cs="Times New Roman"/>
          <w:sz w:val="24"/>
          <w:szCs w:val="24"/>
        </w:rPr>
        <w:t>Of course, a</w:t>
      </w:r>
      <w:r w:rsidR="00A076D3" w:rsidRPr="007B0913">
        <w:rPr>
          <w:rFonts w:ascii="Times New Roman" w:hAnsi="Times New Roman" w:cs="Times New Roman"/>
          <w:sz w:val="24"/>
          <w:szCs w:val="24"/>
        </w:rPr>
        <w:t xml:space="preserve">ny </w:t>
      </w:r>
      <w:r w:rsidR="003F7101" w:rsidRPr="007B0913">
        <w:rPr>
          <w:rFonts w:ascii="Times New Roman" w:hAnsi="Times New Roman" w:cs="Times New Roman"/>
          <w:sz w:val="24"/>
          <w:szCs w:val="24"/>
        </w:rPr>
        <w:t>law</w:t>
      </w:r>
      <w:r w:rsidR="00A076D3" w:rsidRPr="007B0913">
        <w:rPr>
          <w:rFonts w:ascii="Times New Roman" w:hAnsi="Times New Roman" w:cs="Times New Roman"/>
          <w:sz w:val="24"/>
          <w:szCs w:val="24"/>
        </w:rPr>
        <w:t xml:space="preserve"> that</w:t>
      </w:r>
      <w:r w:rsidR="004A40A0" w:rsidRPr="007B0913">
        <w:rPr>
          <w:rFonts w:ascii="Times New Roman" w:hAnsi="Times New Roman" w:cs="Times New Roman"/>
          <w:sz w:val="24"/>
          <w:szCs w:val="24"/>
        </w:rPr>
        <w:t xml:space="preserve"> </w:t>
      </w:r>
      <w:r w:rsidR="00951EE6" w:rsidRPr="007B0913">
        <w:rPr>
          <w:rFonts w:ascii="Times New Roman" w:hAnsi="Times New Roman" w:cs="Times New Roman"/>
          <w:sz w:val="24"/>
          <w:szCs w:val="24"/>
        </w:rPr>
        <w:t>interfere</w:t>
      </w:r>
      <w:r w:rsidR="002A2FC4" w:rsidRPr="007B0913">
        <w:rPr>
          <w:rFonts w:ascii="Times New Roman" w:hAnsi="Times New Roman" w:cs="Times New Roman"/>
          <w:sz w:val="24"/>
          <w:szCs w:val="24"/>
        </w:rPr>
        <w:t>s</w:t>
      </w:r>
      <w:r w:rsidR="004A40A0" w:rsidRPr="007B0913">
        <w:rPr>
          <w:rFonts w:ascii="Times New Roman" w:hAnsi="Times New Roman" w:cs="Times New Roman"/>
          <w:sz w:val="24"/>
          <w:szCs w:val="24"/>
        </w:rPr>
        <w:t xml:space="preserve"> significantly</w:t>
      </w:r>
      <w:r w:rsidR="00951EE6" w:rsidRPr="007B0913">
        <w:rPr>
          <w:rFonts w:ascii="Times New Roman" w:hAnsi="Times New Roman" w:cs="Times New Roman"/>
          <w:sz w:val="24"/>
          <w:szCs w:val="24"/>
        </w:rPr>
        <w:t xml:space="preserve"> with</w:t>
      </w:r>
      <w:r w:rsidR="002A2FC4" w:rsidRPr="007B0913">
        <w:rPr>
          <w:rFonts w:ascii="Times New Roman" w:hAnsi="Times New Roman" w:cs="Times New Roman"/>
          <w:sz w:val="24"/>
          <w:szCs w:val="24"/>
        </w:rPr>
        <w:t xml:space="preserve"> the</w:t>
      </w:r>
      <w:r w:rsidR="00951EE6" w:rsidRPr="007B0913">
        <w:rPr>
          <w:rFonts w:ascii="Times New Roman" w:hAnsi="Times New Roman" w:cs="Times New Roman"/>
          <w:sz w:val="24"/>
          <w:szCs w:val="24"/>
        </w:rPr>
        <w:t xml:space="preserve"> </w:t>
      </w:r>
      <w:r w:rsidR="007E79F5" w:rsidRPr="007B0913">
        <w:rPr>
          <w:rFonts w:ascii="Times New Roman" w:hAnsi="Times New Roman" w:cs="Times New Roman"/>
          <w:sz w:val="24"/>
          <w:szCs w:val="24"/>
        </w:rPr>
        <w:t xml:space="preserve">actual </w:t>
      </w:r>
      <w:r w:rsidR="004A40A0" w:rsidRPr="007B0913">
        <w:rPr>
          <w:rFonts w:ascii="Times New Roman" w:hAnsi="Times New Roman" w:cs="Times New Roman"/>
          <w:sz w:val="24"/>
          <w:szCs w:val="24"/>
        </w:rPr>
        <w:t>conduct</w:t>
      </w:r>
      <w:r w:rsidR="002A2FC4" w:rsidRPr="007B0913">
        <w:rPr>
          <w:rFonts w:ascii="Times New Roman" w:hAnsi="Times New Roman" w:cs="Times New Roman"/>
          <w:sz w:val="24"/>
          <w:szCs w:val="24"/>
        </w:rPr>
        <w:t xml:space="preserve"> </w:t>
      </w:r>
      <w:r w:rsidR="007E79F5" w:rsidRPr="007B0913">
        <w:rPr>
          <w:rFonts w:ascii="Times New Roman" w:hAnsi="Times New Roman" w:cs="Times New Roman"/>
          <w:sz w:val="24"/>
          <w:szCs w:val="24"/>
        </w:rPr>
        <w:t>of</w:t>
      </w:r>
      <w:r w:rsidR="004A40A0" w:rsidRPr="007B0913">
        <w:rPr>
          <w:rFonts w:ascii="Times New Roman" w:hAnsi="Times New Roman" w:cs="Times New Roman"/>
          <w:sz w:val="24"/>
          <w:szCs w:val="24"/>
        </w:rPr>
        <w:t xml:space="preserve"> a criminal trial </w:t>
      </w:r>
      <w:r w:rsidR="009757B3" w:rsidRPr="007B0913">
        <w:rPr>
          <w:rFonts w:ascii="Times New Roman" w:hAnsi="Times New Roman" w:cs="Times New Roman"/>
          <w:sz w:val="24"/>
          <w:szCs w:val="24"/>
        </w:rPr>
        <w:t>is likely to</w:t>
      </w:r>
      <w:r w:rsidR="00951EE6" w:rsidRPr="007B0913">
        <w:rPr>
          <w:rFonts w:ascii="Times New Roman" w:hAnsi="Times New Roman" w:cs="Times New Roman"/>
          <w:sz w:val="24"/>
          <w:szCs w:val="24"/>
        </w:rPr>
        <w:t xml:space="preserve"> be </w:t>
      </w:r>
      <w:r w:rsidR="009757B3" w:rsidRPr="007B0913">
        <w:rPr>
          <w:rFonts w:ascii="Times New Roman" w:hAnsi="Times New Roman" w:cs="Times New Roman"/>
          <w:sz w:val="24"/>
          <w:szCs w:val="24"/>
        </w:rPr>
        <w:t>‘</w:t>
      </w:r>
      <w:r w:rsidR="00951EE6" w:rsidRPr="007B0913">
        <w:rPr>
          <w:rFonts w:ascii="Times New Roman" w:hAnsi="Times New Roman" w:cs="Times New Roman"/>
          <w:sz w:val="24"/>
          <w:szCs w:val="24"/>
        </w:rPr>
        <w:t>read down</w:t>
      </w:r>
      <w:r w:rsidR="009757B3" w:rsidRPr="007B0913">
        <w:rPr>
          <w:rFonts w:ascii="Times New Roman" w:hAnsi="Times New Roman" w:cs="Times New Roman"/>
          <w:sz w:val="24"/>
          <w:szCs w:val="24"/>
        </w:rPr>
        <w:t>’</w:t>
      </w:r>
      <w:r w:rsidR="004A40A0" w:rsidRPr="007B0913">
        <w:rPr>
          <w:rFonts w:ascii="Times New Roman" w:hAnsi="Times New Roman" w:cs="Times New Roman"/>
          <w:sz w:val="24"/>
          <w:szCs w:val="24"/>
        </w:rPr>
        <w:t>, at least</w:t>
      </w:r>
      <w:r w:rsidR="00951EE6" w:rsidRPr="007B0913">
        <w:rPr>
          <w:rFonts w:ascii="Times New Roman" w:hAnsi="Times New Roman" w:cs="Times New Roman"/>
          <w:sz w:val="24"/>
          <w:szCs w:val="24"/>
        </w:rPr>
        <w:t xml:space="preserve"> to the extent that any constructional choice permits.  </w:t>
      </w:r>
      <w:r w:rsidR="00280A68" w:rsidRPr="007B0913">
        <w:rPr>
          <w:rFonts w:ascii="Times New Roman" w:hAnsi="Times New Roman" w:cs="Times New Roman"/>
          <w:sz w:val="24"/>
          <w:szCs w:val="24"/>
        </w:rPr>
        <w:t xml:space="preserve">Beyond that, </w:t>
      </w:r>
      <w:r w:rsidR="004A40A0" w:rsidRPr="007B0913">
        <w:rPr>
          <w:rFonts w:ascii="Times New Roman" w:hAnsi="Times New Roman" w:cs="Times New Roman"/>
          <w:sz w:val="24"/>
          <w:szCs w:val="24"/>
        </w:rPr>
        <w:t xml:space="preserve">in an appropriate </w:t>
      </w:r>
      <w:r w:rsidR="007A0848" w:rsidRPr="007B0913">
        <w:rPr>
          <w:rFonts w:ascii="Times New Roman" w:hAnsi="Times New Roman" w:cs="Times New Roman"/>
          <w:sz w:val="24"/>
          <w:szCs w:val="24"/>
        </w:rPr>
        <w:t xml:space="preserve">case, the law itself </w:t>
      </w:r>
      <w:r w:rsidR="004A40A0" w:rsidRPr="007B0913">
        <w:rPr>
          <w:rFonts w:ascii="Times New Roman" w:hAnsi="Times New Roman" w:cs="Times New Roman"/>
          <w:sz w:val="24"/>
          <w:szCs w:val="24"/>
        </w:rPr>
        <w:t>may be</w:t>
      </w:r>
      <w:r w:rsidR="007A0848" w:rsidRPr="007B0913">
        <w:rPr>
          <w:rFonts w:ascii="Times New Roman" w:hAnsi="Times New Roman" w:cs="Times New Roman"/>
          <w:sz w:val="24"/>
          <w:szCs w:val="24"/>
        </w:rPr>
        <w:t xml:space="preserve"> struck down.  </w:t>
      </w:r>
    </w:p>
    <w:p w14:paraId="075C0903" w14:textId="2179F195" w:rsidR="00951EE6" w:rsidRPr="007B0913" w:rsidRDefault="00753FB1"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Under the</w:t>
      </w:r>
      <w:r w:rsidR="0027148C" w:rsidRPr="007B0913">
        <w:rPr>
          <w:rFonts w:ascii="Times New Roman" w:hAnsi="Times New Roman" w:cs="Times New Roman"/>
          <w:sz w:val="24"/>
          <w:szCs w:val="24"/>
        </w:rPr>
        <w:t xml:space="preserve"> </w:t>
      </w:r>
      <w:r w:rsidRPr="007B0913">
        <w:rPr>
          <w:rFonts w:ascii="Times New Roman" w:hAnsi="Times New Roman" w:cs="Times New Roman"/>
          <w:i/>
          <w:sz w:val="24"/>
          <w:szCs w:val="24"/>
        </w:rPr>
        <w:t>‘</w:t>
      </w:r>
      <w:proofErr w:type="spellStart"/>
      <w:r w:rsidR="0027148C" w:rsidRPr="007B0913">
        <w:rPr>
          <w:rFonts w:ascii="Times New Roman" w:hAnsi="Times New Roman" w:cs="Times New Roman"/>
          <w:i/>
          <w:sz w:val="24"/>
          <w:szCs w:val="24"/>
        </w:rPr>
        <w:t>Kable</w:t>
      </w:r>
      <w:proofErr w:type="spellEnd"/>
      <w:r w:rsidR="0027148C" w:rsidRPr="007B0913">
        <w:rPr>
          <w:rFonts w:ascii="Times New Roman" w:hAnsi="Times New Roman" w:cs="Times New Roman"/>
          <w:i/>
          <w:sz w:val="24"/>
          <w:szCs w:val="24"/>
        </w:rPr>
        <w:t xml:space="preserve"> </w:t>
      </w:r>
      <w:r w:rsidR="0027148C" w:rsidRPr="007B0913">
        <w:rPr>
          <w:rFonts w:ascii="Times New Roman" w:hAnsi="Times New Roman" w:cs="Times New Roman"/>
          <w:sz w:val="24"/>
          <w:szCs w:val="24"/>
        </w:rPr>
        <w:t>principle</w:t>
      </w:r>
      <w:r w:rsidRPr="007B0913">
        <w:rPr>
          <w:rFonts w:ascii="Times New Roman" w:hAnsi="Times New Roman" w:cs="Times New Roman"/>
          <w:sz w:val="24"/>
          <w:szCs w:val="24"/>
        </w:rPr>
        <w:t>’</w:t>
      </w:r>
      <w:r w:rsidR="0027148C" w:rsidRPr="007B0913">
        <w:rPr>
          <w:rFonts w:ascii="Times New Roman" w:hAnsi="Times New Roman" w:cs="Times New Roman"/>
          <w:sz w:val="24"/>
          <w:szCs w:val="24"/>
        </w:rPr>
        <w:t xml:space="preserve">, no state legislature can enact valid laws </w:t>
      </w:r>
      <w:r w:rsidR="00B304B8" w:rsidRPr="007B0913">
        <w:rPr>
          <w:rFonts w:ascii="Times New Roman" w:hAnsi="Times New Roman" w:cs="Times New Roman"/>
          <w:sz w:val="24"/>
          <w:szCs w:val="24"/>
        </w:rPr>
        <w:t xml:space="preserve">which operate to impair, or detract from, the institutional independence of any court that is a repository of federal jurisdiction.  </w:t>
      </w:r>
      <w:r w:rsidR="00673B56" w:rsidRPr="007B0913">
        <w:rPr>
          <w:rFonts w:ascii="Times New Roman" w:hAnsi="Times New Roman" w:cs="Times New Roman"/>
          <w:sz w:val="24"/>
          <w:szCs w:val="24"/>
        </w:rPr>
        <w:t xml:space="preserve">In recent years, </w:t>
      </w:r>
      <w:proofErr w:type="spellStart"/>
      <w:r w:rsidR="00673B56" w:rsidRPr="007B0913">
        <w:rPr>
          <w:rFonts w:ascii="Times New Roman" w:hAnsi="Times New Roman" w:cs="Times New Roman"/>
          <w:i/>
          <w:sz w:val="24"/>
          <w:szCs w:val="24"/>
        </w:rPr>
        <w:t>Kable</w:t>
      </w:r>
      <w:proofErr w:type="spellEnd"/>
      <w:r w:rsidR="00673B56" w:rsidRPr="007B0913">
        <w:rPr>
          <w:rFonts w:ascii="Times New Roman" w:hAnsi="Times New Roman" w:cs="Times New Roman"/>
          <w:sz w:val="24"/>
          <w:szCs w:val="24"/>
        </w:rPr>
        <w:t xml:space="preserve"> has </w:t>
      </w:r>
      <w:r w:rsidR="001172A1" w:rsidRPr="007B0913">
        <w:rPr>
          <w:rFonts w:ascii="Times New Roman" w:hAnsi="Times New Roman" w:cs="Times New Roman"/>
          <w:sz w:val="24"/>
          <w:szCs w:val="24"/>
        </w:rPr>
        <w:t>seen a significant</w:t>
      </w:r>
      <w:r w:rsidR="00224B8A" w:rsidRPr="007B0913">
        <w:rPr>
          <w:rFonts w:ascii="Times New Roman" w:hAnsi="Times New Roman" w:cs="Times New Roman"/>
          <w:sz w:val="24"/>
          <w:szCs w:val="24"/>
        </w:rPr>
        <w:t xml:space="preserve"> revival,</w:t>
      </w:r>
      <w:r w:rsidR="00F94E82" w:rsidRPr="007B0913">
        <w:rPr>
          <w:rStyle w:val="FootnoteReference"/>
          <w:rFonts w:ascii="Times New Roman" w:hAnsi="Times New Roman" w:cs="Times New Roman"/>
          <w:sz w:val="24"/>
          <w:szCs w:val="24"/>
        </w:rPr>
        <w:footnoteReference w:id="72"/>
      </w:r>
      <w:r w:rsidR="00673B56" w:rsidRPr="007B0913">
        <w:rPr>
          <w:rFonts w:ascii="Times New Roman" w:hAnsi="Times New Roman" w:cs="Times New Roman"/>
          <w:sz w:val="24"/>
          <w:szCs w:val="24"/>
        </w:rPr>
        <w:t xml:space="preserve"> and</w:t>
      </w:r>
      <w:r w:rsidR="00224B8A" w:rsidRPr="007B0913">
        <w:rPr>
          <w:rFonts w:ascii="Times New Roman" w:hAnsi="Times New Roman" w:cs="Times New Roman"/>
          <w:sz w:val="24"/>
          <w:szCs w:val="24"/>
        </w:rPr>
        <w:t xml:space="preserve"> may</w:t>
      </w:r>
      <w:r w:rsidRPr="007B0913">
        <w:rPr>
          <w:rFonts w:ascii="Times New Roman" w:hAnsi="Times New Roman" w:cs="Times New Roman"/>
          <w:sz w:val="24"/>
          <w:szCs w:val="24"/>
        </w:rPr>
        <w:t xml:space="preserve"> </w:t>
      </w:r>
      <w:r w:rsidR="00673B56" w:rsidRPr="007B0913">
        <w:rPr>
          <w:rFonts w:ascii="Times New Roman" w:hAnsi="Times New Roman" w:cs="Times New Roman"/>
          <w:sz w:val="24"/>
          <w:szCs w:val="24"/>
        </w:rPr>
        <w:t>now</w:t>
      </w:r>
      <w:r w:rsidRPr="007B0913">
        <w:rPr>
          <w:rFonts w:ascii="Times New Roman" w:hAnsi="Times New Roman" w:cs="Times New Roman"/>
          <w:sz w:val="24"/>
          <w:szCs w:val="24"/>
        </w:rPr>
        <w:t xml:space="preserve"> be regarded as</w:t>
      </w:r>
      <w:r w:rsidR="00673B56" w:rsidRPr="007B0913">
        <w:rPr>
          <w:rFonts w:ascii="Times New Roman" w:hAnsi="Times New Roman" w:cs="Times New Roman"/>
          <w:sz w:val="24"/>
          <w:szCs w:val="24"/>
        </w:rPr>
        <w:t xml:space="preserve"> a </w:t>
      </w:r>
      <w:r w:rsidR="00224B8A" w:rsidRPr="007B0913">
        <w:rPr>
          <w:rFonts w:ascii="Times New Roman" w:hAnsi="Times New Roman" w:cs="Times New Roman"/>
          <w:sz w:val="24"/>
          <w:szCs w:val="24"/>
        </w:rPr>
        <w:t xml:space="preserve">true </w:t>
      </w:r>
      <w:r w:rsidR="007E79F5" w:rsidRPr="007B0913">
        <w:rPr>
          <w:rFonts w:ascii="Times New Roman" w:hAnsi="Times New Roman" w:cs="Times New Roman"/>
          <w:sz w:val="24"/>
          <w:szCs w:val="24"/>
        </w:rPr>
        <w:t>safeguard</w:t>
      </w:r>
      <w:r w:rsidR="00224B8A" w:rsidRPr="007B0913">
        <w:rPr>
          <w:rFonts w:ascii="Times New Roman" w:hAnsi="Times New Roman" w:cs="Times New Roman"/>
          <w:sz w:val="24"/>
          <w:szCs w:val="24"/>
        </w:rPr>
        <w:t xml:space="preserve"> </w:t>
      </w:r>
      <w:r w:rsidRPr="007B0913">
        <w:rPr>
          <w:rFonts w:ascii="Times New Roman" w:hAnsi="Times New Roman" w:cs="Times New Roman"/>
          <w:sz w:val="24"/>
          <w:szCs w:val="24"/>
        </w:rPr>
        <w:t xml:space="preserve">so far as the right to a fair trial is concerned.  </w:t>
      </w:r>
    </w:p>
    <w:p w14:paraId="2833D704" w14:textId="384B9D3F" w:rsidR="00406DBF" w:rsidRPr="007B0913" w:rsidRDefault="00753FB1"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Outside </w:t>
      </w:r>
      <w:r w:rsidR="00A57CE0" w:rsidRPr="007B0913">
        <w:rPr>
          <w:rFonts w:ascii="Times New Roman" w:hAnsi="Times New Roman" w:cs="Times New Roman"/>
          <w:sz w:val="24"/>
          <w:szCs w:val="24"/>
        </w:rPr>
        <w:t>the ambit of the incidents of a fair trial</w:t>
      </w:r>
      <w:r w:rsidRPr="007B0913">
        <w:rPr>
          <w:rFonts w:ascii="Times New Roman" w:hAnsi="Times New Roman" w:cs="Times New Roman"/>
          <w:sz w:val="24"/>
          <w:szCs w:val="24"/>
        </w:rPr>
        <w:t>, t</w:t>
      </w:r>
      <w:r w:rsidR="00E23783" w:rsidRPr="007B0913">
        <w:rPr>
          <w:rFonts w:ascii="Times New Roman" w:hAnsi="Times New Roman" w:cs="Times New Roman"/>
          <w:sz w:val="24"/>
          <w:szCs w:val="24"/>
        </w:rPr>
        <w:t xml:space="preserve">here are a number of </w:t>
      </w:r>
      <w:r w:rsidRPr="007B0913">
        <w:rPr>
          <w:rFonts w:ascii="Times New Roman" w:hAnsi="Times New Roman" w:cs="Times New Roman"/>
          <w:sz w:val="24"/>
          <w:szCs w:val="24"/>
        </w:rPr>
        <w:t>issues yet to be resolved when considering</w:t>
      </w:r>
      <w:r w:rsidR="00406DBF" w:rsidRPr="007B0913">
        <w:rPr>
          <w:rFonts w:ascii="Times New Roman" w:hAnsi="Times New Roman" w:cs="Times New Roman"/>
          <w:sz w:val="24"/>
          <w:szCs w:val="24"/>
        </w:rPr>
        <w:t xml:space="preserve"> whether the Charter</w:t>
      </w:r>
      <w:r w:rsidR="00A57CE0" w:rsidRPr="007B0913">
        <w:rPr>
          <w:rFonts w:ascii="Times New Roman" w:hAnsi="Times New Roman" w:cs="Times New Roman"/>
          <w:sz w:val="24"/>
          <w:szCs w:val="24"/>
        </w:rPr>
        <w:t xml:space="preserve"> </w:t>
      </w:r>
      <w:r w:rsidR="0025245E" w:rsidRPr="007B0913">
        <w:rPr>
          <w:rFonts w:ascii="Times New Roman" w:hAnsi="Times New Roman" w:cs="Times New Roman"/>
          <w:sz w:val="24"/>
          <w:szCs w:val="24"/>
        </w:rPr>
        <w:t xml:space="preserve">really </w:t>
      </w:r>
      <w:r w:rsidR="00A57CE0" w:rsidRPr="007B0913">
        <w:rPr>
          <w:rFonts w:ascii="Times New Roman" w:hAnsi="Times New Roman" w:cs="Times New Roman"/>
          <w:sz w:val="24"/>
          <w:szCs w:val="24"/>
        </w:rPr>
        <w:t xml:space="preserve">does </w:t>
      </w:r>
      <w:r w:rsidR="008D4D77" w:rsidRPr="007B0913">
        <w:rPr>
          <w:rFonts w:ascii="Times New Roman" w:hAnsi="Times New Roman" w:cs="Times New Roman"/>
          <w:sz w:val="24"/>
          <w:szCs w:val="24"/>
        </w:rPr>
        <w:t>add</w:t>
      </w:r>
      <w:r w:rsidR="0025245E" w:rsidRPr="007B0913">
        <w:rPr>
          <w:rFonts w:ascii="Times New Roman" w:hAnsi="Times New Roman" w:cs="Times New Roman"/>
          <w:sz w:val="24"/>
          <w:szCs w:val="24"/>
        </w:rPr>
        <w:t xml:space="preserve"> much to </w:t>
      </w:r>
      <w:r w:rsidRPr="007B0913">
        <w:rPr>
          <w:rFonts w:ascii="Times New Roman" w:hAnsi="Times New Roman" w:cs="Times New Roman"/>
          <w:sz w:val="24"/>
          <w:szCs w:val="24"/>
        </w:rPr>
        <w:t xml:space="preserve">the protection of </w:t>
      </w:r>
      <w:r w:rsidR="00A57CE0" w:rsidRPr="007B0913">
        <w:rPr>
          <w:rFonts w:ascii="Times New Roman" w:hAnsi="Times New Roman" w:cs="Times New Roman"/>
          <w:sz w:val="24"/>
          <w:szCs w:val="24"/>
        </w:rPr>
        <w:t>the</w:t>
      </w:r>
      <w:r w:rsidRPr="007B0913">
        <w:rPr>
          <w:rFonts w:ascii="Times New Roman" w:hAnsi="Times New Roman" w:cs="Times New Roman"/>
          <w:sz w:val="24"/>
          <w:szCs w:val="24"/>
        </w:rPr>
        <w:t xml:space="preserve"> rights</w:t>
      </w:r>
      <w:r w:rsidR="00A57CE0" w:rsidRPr="007B0913">
        <w:rPr>
          <w:rFonts w:ascii="Times New Roman" w:hAnsi="Times New Roman" w:cs="Times New Roman"/>
          <w:sz w:val="24"/>
          <w:szCs w:val="24"/>
        </w:rPr>
        <w:t xml:space="preserve"> of those accused of serious crime. </w:t>
      </w:r>
    </w:p>
    <w:p w14:paraId="61711AE5" w14:textId="2449E41E" w:rsidR="0008108D" w:rsidRPr="007B0913" w:rsidRDefault="00753FB1"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We have yet to discover the extent to which the protection afforded </w:t>
      </w:r>
      <w:r w:rsidR="00406DBF" w:rsidRPr="007B0913">
        <w:rPr>
          <w:rFonts w:ascii="Times New Roman" w:hAnsi="Times New Roman" w:cs="Times New Roman"/>
          <w:sz w:val="24"/>
          <w:szCs w:val="24"/>
        </w:rPr>
        <w:t>by the Charter</w:t>
      </w:r>
      <w:r w:rsidR="00782958" w:rsidRPr="007B0913">
        <w:rPr>
          <w:rFonts w:ascii="Times New Roman" w:hAnsi="Times New Roman" w:cs="Times New Roman"/>
          <w:sz w:val="24"/>
          <w:szCs w:val="24"/>
        </w:rPr>
        <w:t xml:space="preserve"> operates in relation to a series of problems that arise on a regular basis in the course of the </w:t>
      </w:r>
      <w:r w:rsidR="000D0643" w:rsidRPr="007B0913">
        <w:rPr>
          <w:rFonts w:ascii="Times New Roman" w:hAnsi="Times New Roman" w:cs="Times New Roman"/>
          <w:sz w:val="24"/>
          <w:szCs w:val="24"/>
        </w:rPr>
        <w:t>criminal justice system.  In particular, what impact, if any, does the Charter have</w:t>
      </w:r>
      <w:r w:rsidR="00AE4F32" w:rsidRPr="007B0913">
        <w:rPr>
          <w:rFonts w:ascii="Times New Roman" w:hAnsi="Times New Roman" w:cs="Times New Roman"/>
          <w:sz w:val="24"/>
          <w:szCs w:val="24"/>
        </w:rPr>
        <w:t xml:space="preserve"> </w:t>
      </w:r>
      <w:proofErr w:type="gramStart"/>
      <w:r w:rsidR="00AE4F32" w:rsidRPr="007B0913">
        <w:rPr>
          <w:rFonts w:ascii="Times New Roman" w:hAnsi="Times New Roman" w:cs="Times New Roman"/>
          <w:sz w:val="24"/>
          <w:szCs w:val="24"/>
        </w:rPr>
        <w:t>upon</w:t>
      </w:r>
      <w:r w:rsidR="000D0643" w:rsidRPr="007B0913">
        <w:rPr>
          <w:rFonts w:ascii="Times New Roman" w:hAnsi="Times New Roman" w:cs="Times New Roman"/>
          <w:sz w:val="24"/>
          <w:szCs w:val="24"/>
        </w:rPr>
        <w:t>:</w:t>
      </w:r>
      <w:proofErr w:type="gramEnd"/>
    </w:p>
    <w:p w14:paraId="08CA5E3A" w14:textId="41C12518" w:rsidR="0008108D" w:rsidRPr="007B0913" w:rsidRDefault="000D0643" w:rsidP="002279C4">
      <w:pPr>
        <w:pStyle w:val="ListParagraph"/>
        <w:numPr>
          <w:ilvl w:val="0"/>
          <w:numId w:val="3"/>
        </w:numPr>
        <w:spacing w:after="240" w:line="360" w:lineRule="auto"/>
        <w:ind w:left="1440" w:hanging="720"/>
        <w:jc w:val="both"/>
        <w:rPr>
          <w:rFonts w:ascii="Times New Roman" w:hAnsi="Times New Roman" w:cs="Times New Roman"/>
          <w:sz w:val="24"/>
          <w:szCs w:val="24"/>
        </w:rPr>
      </w:pPr>
      <w:r w:rsidRPr="007B0913">
        <w:rPr>
          <w:rFonts w:ascii="Times New Roman" w:hAnsi="Times New Roman" w:cs="Times New Roman"/>
          <w:sz w:val="24"/>
          <w:szCs w:val="24"/>
        </w:rPr>
        <w:t xml:space="preserve">powers of arrest, bearing in mind the prohibition against ‘arbitrary detention’; </w:t>
      </w:r>
    </w:p>
    <w:p w14:paraId="01158B2C" w14:textId="7545CE9B" w:rsidR="0008108D" w:rsidRPr="007B0913" w:rsidRDefault="000D0643" w:rsidP="002279C4">
      <w:pPr>
        <w:pStyle w:val="ListParagraph"/>
        <w:numPr>
          <w:ilvl w:val="0"/>
          <w:numId w:val="3"/>
        </w:numPr>
        <w:spacing w:after="240" w:line="360" w:lineRule="auto"/>
        <w:ind w:left="1440" w:hanging="720"/>
        <w:jc w:val="both"/>
        <w:rPr>
          <w:rFonts w:ascii="Times New Roman" w:hAnsi="Times New Roman" w:cs="Times New Roman"/>
          <w:sz w:val="24"/>
          <w:szCs w:val="24"/>
        </w:rPr>
      </w:pPr>
      <w:r w:rsidRPr="007B0913">
        <w:rPr>
          <w:rFonts w:ascii="Times New Roman" w:hAnsi="Times New Roman" w:cs="Times New Roman"/>
          <w:sz w:val="24"/>
          <w:szCs w:val="24"/>
        </w:rPr>
        <w:t xml:space="preserve">rights </w:t>
      </w:r>
      <w:r w:rsidR="0008108D" w:rsidRPr="007B0913">
        <w:rPr>
          <w:rFonts w:ascii="Times New Roman" w:hAnsi="Times New Roman" w:cs="Times New Roman"/>
          <w:sz w:val="24"/>
          <w:szCs w:val="24"/>
        </w:rPr>
        <w:t>regarding bail</w:t>
      </w:r>
      <w:r w:rsidRPr="007B0913">
        <w:rPr>
          <w:rFonts w:ascii="Times New Roman" w:hAnsi="Times New Roman" w:cs="Times New Roman"/>
          <w:sz w:val="24"/>
          <w:szCs w:val="24"/>
        </w:rPr>
        <w:t xml:space="preserve">, and the interpretation of the </w:t>
      </w:r>
      <w:r w:rsidRPr="007B0913">
        <w:rPr>
          <w:rFonts w:ascii="Times New Roman" w:hAnsi="Times New Roman" w:cs="Times New Roman"/>
          <w:i/>
          <w:sz w:val="24"/>
          <w:szCs w:val="24"/>
        </w:rPr>
        <w:t xml:space="preserve">Bail Act 1977 </w:t>
      </w:r>
      <w:r w:rsidRPr="007B0913">
        <w:rPr>
          <w:rFonts w:ascii="Times New Roman" w:hAnsi="Times New Roman" w:cs="Times New Roman"/>
          <w:sz w:val="24"/>
          <w:szCs w:val="24"/>
        </w:rPr>
        <w:t>(Vic)</w:t>
      </w:r>
      <w:r w:rsidR="0008108D" w:rsidRPr="007B0913">
        <w:rPr>
          <w:rFonts w:ascii="Times New Roman" w:hAnsi="Times New Roman" w:cs="Times New Roman"/>
          <w:sz w:val="24"/>
          <w:szCs w:val="24"/>
        </w:rPr>
        <w:t>;</w:t>
      </w:r>
      <w:r w:rsidR="0069425A" w:rsidRPr="007B0913">
        <w:rPr>
          <w:rStyle w:val="FootnoteReference"/>
          <w:rFonts w:ascii="Times New Roman" w:hAnsi="Times New Roman" w:cs="Times New Roman"/>
          <w:sz w:val="24"/>
          <w:szCs w:val="24"/>
        </w:rPr>
        <w:footnoteReference w:id="73"/>
      </w:r>
    </w:p>
    <w:p w14:paraId="387D604E" w14:textId="5BF946D1" w:rsidR="0008108D" w:rsidRPr="007B0913" w:rsidRDefault="000D0643" w:rsidP="002279C4">
      <w:pPr>
        <w:pStyle w:val="ListParagraph"/>
        <w:numPr>
          <w:ilvl w:val="0"/>
          <w:numId w:val="3"/>
        </w:numPr>
        <w:spacing w:after="240" w:line="360" w:lineRule="auto"/>
        <w:ind w:left="1440" w:hanging="720"/>
        <w:jc w:val="both"/>
        <w:rPr>
          <w:rFonts w:ascii="Times New Roman" w:hAnsi="Times New Roman" w:cs="Times New Roman"/>
          <w:sz w:val="24"/>
          <w:szCs w:val="24"/>
        </w:rPr>
      </w:pPr>
      <w:r w:rsidRPr="007B0913">
        <w:rPr>
          <w:rFonts w:ascii="Times New Roman" w:hAnsi="Times New Roman" w:cs="Times New Roman"/>
          <w:sz w:val="24"/>
          <w:szCs w:val="24"/>
        </w:rPr>
        <w:t>the e</w:t>
      </w:r>
      <w:r w:rsidR="004B1AF0" w:rsidRPr="007B0913">
        <w:rPr>
          <w:rFonts w:ascii="Times New Roman" w:hAnsi="Times New Roman" w:cs="Times New Roman"/>
          <w:sz w:val="24"/>
          <w:szCs w:val="24"/>
        </w:rPr>
        <w:t xml:space="preserve">xercise </w:t>
      </w:r>
      <w:r w:rsidRPr="007B0913">
        <w:rPr>
          <w:rFonts w:ascii="Times New Roman" w:hAnsi="Times New Roman" w:cs="Times New Roman"/>
          <w:sz w:val="24"/>
          <w:szCs w:val="24"/>
        </w:rPr>
        <w:t xml:space="preserve">by various law enforcement authorities </w:t>
      </w:r>
      <w:r w:rsidR="004B1AF0" w:rsidRPr="007B0913">
        <w:rPr>
          <w:rFonts w:ascii="Times New Roman" w:hAnsi="Times New Roman" w:cs="Times New Roman"/>
          <w:sz w:val="24"/>
          <w:szCs w:val="24"/>
        </w:rPr>
        <w:t xml:space="preserve">of </w:t>
      </w:r>
      <w:r w:rsidRPr="007B0913">
        <w:rPr>
          <w:rFonts w:ascii="Times New Roman" w:hAnsi="Times New Roman" w:cs="Times New Roman"/>
          <w:sz w:val="24"/>
          <w:szCs w:val="24"/>
        </w:rPr>
        <w:t xml:space="preserve">statutory </w:t>
      </w:r>
      <w:r w:rsidR="00F050CF" w:rsidRPr="007B0913">
        <w:rPr>
          <w:rFonts w:ascii="Times New Roman" w:hAnsi="Times New Roman" w:cs="Times New Roman"/>
          <w:sz w:val="24"/>
          <w:szCs w:val="24"/>
        </w:rPr>
        <w:t xml:space="preserve">coercive powers, including the execution of </w:t>
      </w:r>
      <w:r w:rsidR="004B1AF0" w:rsidRPr="007B0913">
        <w:rPr>
          <w:rFonts w:ascii="Times New Roman" w:hAnsi="Times New Roman" w:cs="Times New Roman"/>
          <w:sz w:val="24"/>
          <w:szCs w:val="24"/>
        </w:rPr>
        <w:t>warrants of various kinds</w:t>
      </w:r>
      <w:r w:rsidR="0008108D" w:rsidRPr="007B0913">
        <w:rPr>
          <w:rFonts w:ascii="Times New Roman" w:hAnsi="Times New Roman" w:cs="Times New Roman"/>
          <w:sz w:val="24"/>
          <w:szCs w:val="24"/>
        </w:rPr>
        <w:t>;</w:t>
      </w:r>
      <w:r w:rsidR="007040AE" w:rsidRPr="007B0913">
        <w:rPr>
          <w:rStyle w:val="FootnoteReference"/>
          <w:rFonts w:ascii="Times New Roman" w:hAnsi="Times New Roman" w:cs="Times New Roman"/>
          <w:sz w:val="24"/>
          <w:szCs w:val="24"/>
        </w:rPr>
        <w:footnoteReference w:id="74"/>
      </w:r>
      <w:r w:rsidR="007B1646" w:rsidRPr="007B0913">
        <w:rPr>
          <w:rFonts w:ascii="Times New Roman" w:hAnsi="Times New Roman" w:cs="Times New Roman"/>
          <w:sz w:val="24"/>
          <w:szCs w:val="24"/>
        </w:rPr>
        <w:t xml:space="preserve">  </w:t>
      </w:r>
    </w:p>
    <w:p w14:paraId="23891053" w14:textId="47EDC3D7" w:rsidR="0008108D" w:rsidRPr="007B0913" w:rsidRDefault="000D0643" w:rsidP="002279C4">
      <w:pPr>
        <w:pStyle w:val="ListParagraph"/>
        <w:numPr>
          <w:ilvl w:val="0"/>
          <w:numId w:val="3"/>
        </w:numPr>
        <w:spacing w:after="240" w:line="360" w:lineRule="auto"/>
        <w:ind w:left="1440" w:hanging="720"/>
        <w:jc w:val="both"/>
        <w:rPr>
          <w:rFonts w:ascii="Times New Roman" w:hAnsi="Times New Roman" w:cs="Times New Roman"/>
          <w:sz w:val="24"/>
          <w:szCs w:val="24"/>
        </w:rPr>
      </w:pPr>
      <w:r w:rsidRPr="007B0913">
        <w:rPr>
          <w:rFonts w:ascii="Times New Roman" w:hAnsi="Times New Roman" w:cs="Times New Roman"/>
          <w:sz w:val="24"/>
          <w:szCs w:val="24"/>
        </w:rPr>
        <w:t xml:space="preserve">the protection afforded against abuse of process </w:t>
      </w:r>
      <w:r w:rsidR="004B1AF0" w:rsidRPr="007B0913">
        <w:rPr>
          <w:rFonts w:ascii="Times New Roman" w:hAnsi="Times New Roman" w:cs="Times New Roman"/>
          <w:sz w:val="24"/>
          <w:szCs w:val="24"/>
        </w:rPr>
        <w:t>in cases of ‘</w:t>
      </w:r>
      <w:r w:rsidR="00F050CF" w:rsidRPr="007B0913">
        <w:rPr>
          <w:rFonts w:ascii="Times New Roman" w:hAnsi="Times New Roman" w:cs="Times New Roman"/>
          <w:sz w:val="24"/>
          <w:szCs w:val="24"/>
        </w:rPr>
        <w:t>unreasonable delay</w:t>
      </w:r>
      <w:r w:rsidR="004B1AF0" w:rsidRPr="007B0913">
        <w:rPr>
          <w:rFonts w:ascii="Times New Roman" w:hAnsi="Times New Roman" w:cs="Times New Roman"/>
          <w:sz w:val="24"/>
          <w:szCs w:val="24"/>
        </w:rPr>
        <w:t>’</w:t>
      </w:r>
      <w:r w:rsidR="0008108D" w:rsidRPr="007B0913">
        <w:rPr>
          <w:rFonts w:ascii="Times New Roman" w:hAnsi="Times New Roman" w:cs="Times New Roman"/>
          <w:sz w:val="24"/>
          <w:szCs w:val="24"/>
        </w:rPr>
        <w:t>;</w:t>
      </w:r>
    </w:p>
    <w:p w14:paraId="37904B15" w14:textId="6D6D0C55" w:rsidR="0008108D" w:rsidRPr="007B0913" w:rsidRDefault="00C24E1E" w:rsidP="002279C4">
      <w:pPr>
        <w:pStyle w:val="ListParagraph"/>
        <w:numPr>
          <w:ilvl w:val="0"/>
          <w:numId w:val="3"/>
        </w:numPr>
        <w:spacing w:after="240" w:line="360" w:lineRule="auto"/>
        <w:ind w:left="1440" w:hanging="720"/>
        <w:jc w:val="both"/>
        <w:rPr>
          <w:rFonts w:ascii="Times New Roman" w:hAnsi="Times New Roman" w:cs="Times New Roman"/>
          <w:sz w:val="24"/>
          <w:szCs w:val="24"/>
        </w:rPr>
      </w:pPr>
      <w:r w:rsidRPr="007B0913">
        <w:rPr>
          <w:rFonts w:ascii="Times New Roman" w:hAnsi="Times New Roman" w:cs="Times New Roman"/>
          <w:sz w:val="24"/>
          <w:szCs w:val="24"/>
        </w:rPr>
        <w:lastRenderedPageBreak/>
        <w:t>the rights of</w:t>
      </w:r>
      <w:r w:rsidR="004B1AF0" w:rsidRPr="007B0913">
        <w:rPr>
          <w:rFonts w:ascii="Times New Roman" w:hAnsi="Times New Roman" w:cs="Times New Roman"/>
          <w:sz w:val="24"/>
          <w:szCs w:val="24"/>
        </w:rPr>
        <w:t xml:space="preserve"> accused persons </w:t>
      </w:r>
      <w:r w:rsidRPr="007B0913">
        <w:rPr>
          <w:rFonts w:ascii="Times New Roman" w:hAnsi="Times New Roman" w:cs="Times New Roman"/>
          <w:sz w:val="24"/>
          <w:szCs w:val="24"/>
        </w:rPr>
        <w:t>as</w:t>
      </w:r>
      <w:r w:rsidR="00F050CF" w:rsidRPr="007B0913">
        <w:rPr>
          <w:rFonts w:ascii="Times New Roman" w:hAnsi="Times New Roman" w:cs="Times New Roman"/>
          <w:sz w:val="24"/>
          <w:szCs w:val="24"/>
        </w:rPr>
        <w:t xml:space="preserve"> set out in s</w:t>
      </w:r>
      <w:r w:rsidR="00327EF5" w:rsidRPr="007B0913">
        <w:rPr>
          <w:rFonts w:ascii="Times New Roman" w:hAnsi="Times New Roman" w:cs="Times New Roman"/>
          <w:sz w:val="24"/>
          <w:szCs w:val="24"/>
        </w:rPr>
        <w:t xml:space="preserve"> </w:t>
      </w:r>
      <w:r w:rsidR="008F2E8B" w:rsidRPr="007B0913">
        <w:rPr>
          <w:rFonts w:ascii="Times New Roman" w:hAnsi="Times New Roman" w:cs="Times New Roman"/>
          <w:sz w:val="24"/>
          <w:szCs w:val="24"/>
        </w:rPr>
        <w:t xml:space="preserve">25 </w:t>
      </w:r>
      <w:r w:rsidR="004B1AF0" w:rsidRPr="007B0913">
        <w:rPr>
          <w:rFonts w:ascii="Times New Roman" w:hAnsi="Times New Roman" w:cs="Times New Roman"/>
          <w:sz w:val="24"/>
          <w:szCs w:val="24"/>
        </w:rPr>
        <w:t>including</w:t>
      </w:r>
      <w:r w:rsidR="008F2E8B" w:rsidRPr="007B0913">
        <w:rPr>
          <w:rFonts w:ascii="Times New Roman" w:hAnsi="Times New Roman" w:cs="Times New Roman"/>
          <w:sz w:val="24"/>
          <w:szCs w:val="24"/>
        </w:rPr>
        <w:t>, in particular,</w:t>
      </w:r>
      <w:r w:rsidRPr="007B0913">
        <w:rPr>
          <w:rFonts w:ascii="Times New Roman" w:hAnsi="Times New Roman" w:cs="Times New Roman"/>
          <w:sz w:val="24"/>
          <w:szCs w:val="24"/>
        </w:rPr>
        <w:t xml:space="preserve"> the right to counsel,</w:t>
      </w:r>
      <w:r w:rsidRPr="007B0913">
        <w:rPr>
          <w:rStyle w:val="FootnoteReference"/>
          <w:rFonts w:ascii="Times New Roman" w:hAnsi="Times New Roman" w:cs="Times New Roman"/>
          <w:sz w:val="24"/>
          <w:szCs w:val="24"/>
        </w:rPr>
        <w:footnoteReference w:id="75"/>
      </w:r>
      <w:r w:rsidRPr="007B0913">
        <w:rPr>
          <w:rFonts w:ascii="Times New Roman" w:hAnsi="Times New Roman" w:cs="Times New Roman"/>
          <w:sz w:val="24"/>
          <w:szCs w:val="24"/>
        </w:rPr>
        <w:t xml:space="preserve"> </w:t>
      </w:r>
      <w:r w:rsidR="004B1AF0" w:rsidRPr="007B0913">
        <w:rPr>
          <w:rFonts w:ascii="Times New Roman" w:hAnsi="Times New Roman" w:cs="Times New Roman"/>
          <w:sz w:val="24"/>
          <w:szCs w:val="24"/>
        </w:rPr>
        <w:t>and</w:t>
      </w:r>
      <w:r w:rsidR="00F050CF" w:rsidRPr="007B0913">
        <w:rPr>
          <w:rFonts w:ascii="Times New Roman" w:hAnsi="Times New Roman" w:cs="Times New Roman"/>
          <w:sz w:val="24"/>
          <w:szCs w:val="24"/>
        </w:rPr>
        <w:t xml:space="preserve"> legal </w:t>
      </w:r>
      <w:r w:rsidR="0008108D" w:rsidRPr="007B0913">
        <w:rPr>
          <w:rFonts w:ascii="Times New Roman" w:hAnsi="Times New Roman" w:cs="Times New Roman"/>
          <w:sz w:val="24"/>
          <w:szCs w:val="24"/>
        </w:rPr>
        <w:t>aid;</w:t>
      </w:r>
    </w:p>
    <w:p w14:paraId="337AB511" w14:textId="7323D599" w:rsidR="0008108D" w:rsidRPr="007B0913" w:rsidRDefault="00F925BC" w:rsidP="002279C4">
      <w:pPr>
        <w:pStyle w:val="ListParagraph"/>
        <w:numPr>
          <w:ilvl w:val="0"/>
          <w:numId w:val="3"/>
        </w:numPr>
        <w:spacing w:after="240" w:line="360" w:lineRule="auto"/>
        <w:ind w:left="1440" w:hanging="720"/>
        <w:jc w:val="both"/>
        <w:rPr>
          <w:rFonts w:ascii="Times New Roman" w:hAnsi="Times New Roman" w:cs="Times New Roman"/>
          <w:sz w:val="24"/>
          <w:szCs w:val="24"/>
        </w:rPr>
      </w:pPr>
      <w:r w:rsidRPr="007B0913">
        <w:rPr>
          <w:rFonts w:ascii="Times New Roman" w:hAnsi="Times New Roman" w:cs="Times New Roman"/>
          <w:sz w:val="24"/>
          <w:szCs w:val="24"/>
        </w:rPr>
        <w:t>the</w:t>
      </w:r>
      <w:r w:rsidR="004B1AF0" w:rsidRPr="007B0913">
        <w:rPr>
          <w:rFonts w:ascii="Times New Roman" w:hAnsi="Times New Roman" w:cs="Times New Roman"/>
          <w:sz w:val="24"/>
          <w:szCs w:val="24"/>
        </w:rPr>
        <w:t xml:space="preserve"> various exceptions to the hearsay rule in criminal cases which</w:t>
      </w:r>
      <w:r w:rsidRPr="007B0913">
        <w:rPr>
          <w:rFonts w:ascii="Times New Roman" w:hAnsi="Times New Roman" w:cs="Times New Roman"/>
          <w:sz w:val="24"/>
          <w:szCs w:val="24"/>
        </w:rPr>
        <w:t>, inter alia,</w:t>
      </w:r>
      <w:r w:rsidR="004B1AF0" w:rsidRPr="007B0913">
        <w:rPr>
          <w:rFonts w:ascii="Times New Roman" w:hAnsi="Times New Roman" w:cs="Times New Roman"/>
          <w:sz w:val="24"/>
          <w:szCs w:val="24"/>
        </w:rPr>
        <w:t xml:space="preserve"> allow</w:t>
      </w:r>
      <w:r w:rsidR="00406DBF" w:rsidRPr="007B0913">
        <w:rPr>
          <w:rFonts w:ascii="Times New Roman" w:hAnsi="Times New Roman" w:cs="Times New Roman"/>
          <w:sz w:val="24"/>
          <w:szCs w:val="24"/>
        </w:rPr>
        <w:t xml:space="preserve"> those</w:t>
      </w:r>
      <w:r w:rsidR="0008108D" w:rsidRPr="007B0913">
        <w:rPr>
          <w:rFonts w:ascii="Times New Roman" w:hAnsi="Times New Roman" w:cs="Times New Roman"/>
          <w:sz w:val="24"/>
          <w:szCs w:val="24"/>
        </w:rPr>
        <w:t xml:space="preserve"> </w:t>
      </w:r>
      <w:r w:rsidR="004B1AF0" w:rsidRPr="007B0913">
        <w:rPr>
          <w:rFonts w:ascii="Times New Roman" w:hAnsi="Times New Roman" w:cs="Times New Roman"/>
          <w:sz w:val="24"/>
          <w:szCs w:val="24"/>
        </w:rPr>
        <w:t>accused</w:t>
      </w:r>
      <w:r w:rsidR="00406DBF" w:rsidRPr="007B0913">
        <w:rPr>
          <w:rFonts w:ascii="Times New Roman" w:hAnsi="Times New Roman" w:cs="Times New Roman"/>
          <w:sz w:val="24"/>
          <w:szCs w:val="24"/>
        </w:rPr>
        <w:t xml:space="preserve"> of serious offences to be convicted</w:t>
      </w:r>
      <w:r w:rsidRPr="007B0913">
        <w:rPr>
          <w:rFonts w:ascii="Times New Roman" w:hAnsi="Times New Roman" w:cs="Times New Roman"/>
          <w:sz w:val="24"/>
          <w:szCs w:val="24"/>
        </w:rPr>
        <w:t>, arguably</w:t>
      </w:r>
      <w:r w:rsidR="00406DBF" w:rsidRPr="007B0913">
        <w:rPr>
          <w:rFonts w:ascii="Times New Roman" w:hAnsi="Times New Roman" w:cs="Times New Roman"/>
          <w:sz w:val="24"/>
          <w:szCs w:val="24"/>
        </w:rPr>
        <w:t xml:space="preserve"> </w:t>
      </w:r>
      <w:r w:rsidR="004B1AF0" w:rsidRPr="007B0913">
        <w:rPr>
          <w:rFonts w:ascii="Times New Roman" w:hAnsi="Times New Roman" w:cs="Times New Roman"/>
          <w:sz w:val="24"/>
          <w:szCs w:val="24"/>
        </w:rPr>
        <w:t xml:space="preserve">without </w:t>
      </w:r>
      <w:r w:rsidR="00406DBF" w:rsidRPr="007B0913">
        <w:rPr>
          <w:rFonts w:ascii="Times New Roman" w:hAnsi="Times New Roman" w:cs="Times New Roman"/>
          <w:sz w:val="24"/>
          <w:szCs w:val="24"/>
        </w:rPr>
        <w:t>any effective</w:t>
      </w:r>
      <w:r w:rsidR="004B1AF0" w:rsidRPr="007B0913">
        <w:rPr>
          <w:rFonts w:ascii="Times New Roman" w:hAnsi="Times New Roman" w:cs="Times New Roman"/>
          <w:sz w:val="24"/>
          <w:szCs w:val="24"/>
        </w:rPr>
        <w:t xml:space="preserve"> capacity to challenge the </w:t>
      </w:r>
      <w:r w:rsidR="00406DBF" w:rsidRPr="007B0913">
        <w:rPr>
          <w:rFonts w:ascii="Times New Roman" w:hAnsi="Times New Roman" w:cs="Times New Roman"/>
          <w:sz w:val="24"/>
          <w:szCs w:val="24"/>
        </w:rPr>
        <w:t xml:space="preserve">evidence </w:t>
      </w:r>
      <w:r w:rsidRPr="007B0913">
        <w:rPr>
          <w:rFonts w:ascii="Times New Roman" w:hAnsi="Times New Roman" w:cs="Times New Roman"/>
          <w:sz w:val="24"/>
          <w:szCs w:val="24"/>
        </w:rPr>
        <w:t xml:space="preserve">led </w:t>
      </w:r>
      <w:r w:rsidR="0008108D" w:rsidRPr="007B0913">
        <w:rPr>
          <w:rFonts w:ascii="Times New Roman" w:hAnsi="Times New Roman" w:cs="Times New Roman"/>
          <w:sz w:val="24"/>
          <w:szCs w:val="24"/>
        </w:rPr>
        <w:t>against them;</w:t>
      </w:r>
      <w:r w:rsidR="00883B8B" w:rsidRPr="007B0913">
        <w:rPr>
          <w:rStyle w:val="FootnoteReference"/>
          <w:rFonts w:ascii="Times New Roman" w:hAnsi="Times New Roman" w:cs="Times New Roman"/>
          <w:sz w:val="24"/>
          <w:szCs w:val="24"/>
        </w:rPr>
        <w:footnoteReference w:id="76"/>
      </w:r>
      <w:r w:rsidR="00406DBF" w:rsidRPr="007B0913">
        <w:rPr>
          <w:rFonts w:ascii="Times New Roman" w:hAnsi="Times New Roman" w:cs="Times New Roman"/>
          <w:sz w:val="24"/>
          <w:szCs w:val="24"/>
        </w:rPr>
        <w:t xml:space="preserve">  </w:t>
      </w:r>
    </w:p>
    <w:p w14:paraId="27CEB3C6" w14:textId="11A340E5" w:rsidR="0008108D" w:rsidRPr="007B0913" w:rsidRDefault="00F90814" w:rsidP="002279C4">
      <w:pPr>
        <w:pStyle w:val="ListParagraph"/>
        <w:numPr>
          <w:ilvl w:val="0"/>
          <w:numId w:val="3"/>
        </w:numPr>
        <w:spacing w:after="240" w:line="360" w:lineRule="auto"/>
        <w:ind w:left="1440" w:hanging="720"/>
        <w:jc w:val="both"/>
        <w:rPr>
          <w:rFonts w:ascii="Times New Roman" w:hAnsi="Times New Roman" w:cs="Times New Roman"/>
          <w:sz w:val="24"/>
          <w:szCs w:val="24"/>
        </w:rPr>
      </w:pPr>
      <w:r w:rsidRPr="007B0913">
        <w:rPr>
          <w:rFonts w:ascii="Times New Roman" w:hAnsi="Times New Roman" w:cs="Times New Roman"/>
          <w:sz w:val="24"/>
          <w:szCs w:val="24"/>
        </w:rPr>
        <w:t>many of the</w:t>
      </w:r>
      <w:r w:rsidR="00AC59CC" w:rsidRPr="007B0913">
        <w:rPr>
          <w:rFonts w:ascii="Times New Roman" w:hAnsi="Times New Roman" w:cs="Times New Roman"/>
          <w:sz w:val="24"/>
          <w:szCs w:val="24"/>
        </w:rPr>
        <w:t xml:space="preserve"> </w:t>
      </w:r>
      <w:r w:rsidR="004B1AF0" w:rsidRPr="007B0913">
        <w:rPr>
          <w:rFonts w:ascii="Times New Roman" w:hAnsi="Times New Roman" w:cs="Times New Roman"/>
          <w:sz w:val="24"/>
          <w:szCs w:val="24"/>
        </w:rPr>
        <w:t>highly technical</w:t>
      </w:r>
      <w:r w:rsidR="00AC59CC" w:rsidRPr="007B0913">
        <w:rPr>
          <w:rFonts w:ascii="Times New Roman" w:hAnsi="Times New Roman" w:cs="Times New Roman"/>
          <w:sz w:val="24"/>
          <w:szCs w:val="24"/>
        </w:rPr>
        <w:t>,</w:t>
      </w:r>
      <w:r w:rsidR="004B1AF0" w:rsidRPr="007B0913">
        <w:rPr>
          <w:rFonts w:ascii="Times New Roman" w:hAnsi="Times New Roman" w:cs="Times New Roman"/>
          <w:sz w:val="24"/>
          <w:szCs w:val="24"/>
        </w:rPr>
        <w:t xml:space="preserve"> and </w:t>
      </w:r>
      <w:r w:rsidR="003C3A08" w:rsidRPr="007B0913">
        <w:rPr>
          <w:rFonts w:ascii="Times New Roman" w:hAnsi="Times New Roman" w:cs="Times New Roman"/>
          <w:sz w:val="24"/>
          <w:szCs w:val="24"/>
        </w:rPr>
        <w:t xml:space="preserve">arguably </w:t>
      </w:r>
      <w:r w:rsidR="004B1AF0" w:rsidRPr="007B0913">
        <w:rPr>
          <w:rFonts w:ascii="Times New Roman" w:hAnsi="Times New Roman" w:cs="Times New Roman"/>
          <w:sz w:val="24"/>
          <w:szCs w:val="24"/>
        </w:rPr>
        <w:t>oppressive, provisions dealing with s</w:t>
      </w:r>
      <w:r w:rsidR="00F050CF" w:rsidRPr="007B0913">
        <w:rPr>
          <w:rFonts w:ascii="Times New Roman" w:hAnsi="Times New Roman" w:cs="Times New Roman"/>
          <w:sz w:val="24"/>
          <w:szCs w:val="24"/>
        </w:rPr>
        <w:t>entencing</w:t>
      </w:r>
      <w:r w:rsidR="009C138D" w:rsidRPr="007B0913">
        <w:rPr>
          <w:rFonts w:ascii="Times New Roman" w:hAnsi="Times New Roman" w:cs="Times New Roman"/>
          <w:sz w:val="24"/>
          <w:szCs w:val="24"/>
        </w:rPr>
        <w:t xml:space="preserve"> which are now to be found in </w:t>
      </w:r>
      <w:r w:rsidR="00E16138" w:rsidRPr="007B0913">
        <w:rPr>
          <w:rFonts w:ascii="Times New Roman" w:hAnsi="Times New Roman" w:cs="Times New Roman"/>
          <w:sz w:val="24"/>
          <w:szCs w:val="24"/>
        </w:rPr>
        <w:t>Victorian sentencing law</w:t>
      </w:r>
      <w:r w:rsidR="0008108D" w:rsidRPr="007B0913">
        <w:rPr>
          <w:rFonts w:ascii="Times New Roman" w:hAnsi="Times New Roman" w:cs="Times New Roman"/>
          <w:sz w:val="24"/>
          <w:szCs w:val="24"/>
        </w:rPr>
        <w:t>;</w:t>
      </w:r>
      <w:r w:rsidR="003C3A08" w:rsidRPr="007B0913">
        <w:rPr>
          <w:rStyle w:val="FootnoteReference"/>
          <w:rFonts w:ascii="Times New Roman" w:hAnsi="Times New Roman" w:cs="Times New Roman"/>
          <w:sz w:val="24"/>
          <w:szCs w:val="24"/>
        </w:rPr>
        <w:footnoteReference w:id="77"/>
      </w:r>
      <w:r w:rsidR="0071309B" w:rsidRPr="007B0913">
        <w:rPr>
          <w:rFonts w:ascii="Times New Roman" w:hAnsi="Times New Roman" w:cs="Times New Roman"/>
          <w:sz w:val="24"/>
          <w:szCs w:val="24"/>
        </w:rPr>
        <w:t xml:space="preserve">  </w:t>
      </w:r>
    </w:p>
    <w:p w14:paraId="6750DC01" w14:textId="7007A11D" w:rsidR="0008108D" w:rsidRPr="007B0913" w:rsidRDefault="00112769" w:rsidP="002279C4">
      <w:pPr>
        <w:pStyle w:val="ListParagraph"/>
        <w:numPr>
          <w:ilvl w:val="0"/>
          <w:numId w:val="3"/>
        </w:numPr>
        <w:spacing w:after="240" w:line="360" w:lineRule="auto"/>
        <w:ind w:left="1440" w:hanging="720"/>
        <w:jc w:val="both"/>
        <w:rPr>
          <w:rFonts w:ascii="Times New Roman" w:hAnsi="Times New Roman" w:cs="Times New Roman"/>
          <w:sz w:val="24"/>
          <w:szCs w:val="24"/>
        </w:rPr>
      </w:pPr>
      <w:r w:rsidRPr="007B0913">
        <w:rPr>
          <w:rFonts w:ascii="Times New Roman" w:hAnsi="Times New Roman" w:cs="Times New Roman"/>
          <w:sz w:val="24"/>
          <w:szCs w:val="24"/>
        </w:rPr>
        <w:t>the rights of</w:t>
      </w:r>
      <w:r w:rsidR="0071309B" w:rsidRPr="007B0913">
        <w:rPr>
          <w:rFonts w:ascii="Times New Roman" w:hAnsi="Times New Roman" w:cs="Times New Roman"/>
          <w:sz w:val="24"/>
          <w:szCs w:val="24"/>
        </w:rPr>
        <w:t xml:space="preserve"> </w:t>
      </w:r>
      <w:r w:rsidR="00A41E33" w:rsidRPr="007B0913">
        <w:rPr>
          <w:rFonts w:ascii="Times New Roman" w:hAnsi="Times New Roman" w:cs="Times New Roman"/>
          <w:sz w:val="24"/>
          <w:szCs w:val="24"/>
        </w:rPr>
        <w:t>those in custody,</w:t>
      </w:r>
      <w:r w:rsidR="00A41E33" w:rsidRPr="007B0913">
        <w:rPr>
          <w:rStyle w:val="FootnoteReference"/>
          <w:rFonts w:ascii="Times New Roman" w:hAnsi="Times New Roman" w:cs="Times New Roman"/>
          <w:sz w:val="24"/>
          <w:szCs w:val="24"/>
        </w:rPr>
        <w:footnoteReference w:id="78"/>
      </w:r>
      <w:r w:rsidR="00A41E33" w:rsidRPr="007B0913">
        <w:rPr>
          <w:rFonts w:ascii="Times New Roman" w:hAnsi="Times New Roman" w:cs="Times New Roman"/>
          <w:sz w:val="24"/>
          <w:szCs w:val="24"/>
        </w:rPr>
        <w:t xml:space="preserve"> including serving prisoners</w:t>
      </w:r>
      <w:r w:rsidR="0008108D" w:rsidRPr="007B0913">
        <w:rPr>
          <w:rFonts w:ascii="Times New Roman" w:hAnsi="Times New Roman" w:cs="Times New Roman"/>
          <w:sz w:val="24"/>
          <w:szCs w:val="24"/>
        </w:rPr>
        <w:t>; and</w:t>
      </w:r>
      <w:r w:rsidR="007B1646" w:rsidRPr="007B0913">
        <w:rPr>
          <w:rFonts w:ascii="Times New Roman" w:hAnsi="Times New Roman" w:cs="Times New Roman"/>
          <w:sz w:val="24"/>
          <w:szCs w:val="24"/>
        </w:rPr>
        <w:t xml:space="preserve">  </w:t>
      </w:r>
    </w:p>
    <w:p w14:paraId="6470BEF3" w14:textId="2C24C8E0" w:rsidR="00F050CF" w:rsidRPr="007B0913" w:rsidRDefault="0071309B" w:rsidP="002279C4">
      <w:pPr>
        <w:pStyle w:val="ListParagraph"/>
        <w:numPr>
          <w:ilvl w:val="0"/>
          <w:numId w:val="3"/>
        </w:numPr>
        <w:spacing w:after="240" w:line="360" w:lineRule="auto"/>
        <w:ind w:left="1440" w:hanging="720"/>
        <w:jc w:val="both"/>
        <w:rPr>
          <w:rFonts w:ascii="Times New Roman" w:hAnsi="Times New Roman" w:cs="Times New Roman"/>
          <w:sz w:val="24"/>
          <w:szCs w:val="24"/>
        </w:rPr>
      </w:pPr>
      <w:proofErr w:type="gramStart"/>
      <w:r w:rsidRPr="007B0913">
        <w:rPr>
          <w:rFonts w:ascii="Times New Roman" w:hAnsi="Times New Roman" w:cs="Times New Roman"/>
          <w:sz w:val="24"/>
          <w:szCs w:val="24"/>
        </w:rPr>
        <w:t>the</w:t>
      </w:r>
      <w:proofErr w:type="gramEnd"/>
      <w:r w:rsidRPr="007B0913">
        <w:rPr>
          <w:rFonts w:ascii="Times New Roman" w:hAnsi="Times New Roman" w:cs="Times New Roman"/>
          <w:sz w:val="24"/>
          <w:szCs w:val="24"/>
        </w:rPr>
        <w:t xml:space="preserve"> rights of those who have been convicted, and sentenced, to challenge </w:t>
      </w:r>
      <w:r w:rsidR="00112769" w:rsidRPr="007B0913">
        <w:rPr>
          <w:rFonts w:ascii="Times New Roman" w:hAnsi="Times New Roman" w:cs="Times New Roman"/>
          <w:sz w:val="24"/>
          <w:szCs w:val="24"/>
        </w:rPr>
        <w:t xml:space="preserve">these outcomes on appeal. </w:t>
      </w:r>
      <w:r w:rsidRPr="007B0913">
        <w:rPr>
          <w:rFonts w:ascii="Times New Roman" w:hAnsi="Times New Roman" w:cs="Times New Roman"/>
          <w:sz w:val="24"/>
          <w:szCs w:val="24"/>
        </w:rPr>
        <w:t xml:space="preserve">  </w:t>
      </w:r>
    </w:p>
    <w:p w14:paraId="702D15CC" w14:textId="569255F9" w:rsidR="00965486" w:rsidRPr="007B0913" w:rsidRDefault="00AA5866"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In addition, it is by no means clear to what extent various provisions creating criminal offences will be </w:t>
      </w:r>
      <w:r w:rsidR="00826784" w:rsidRPr="007B0913">
        <w:rPr>
          <w:rFonts w:ascii="Times New Roman" w:hAnsi="Times New Roman" w:cs="Times New Roman"/>
          <w:sz w:val="24"/>
          <w:szCs w:val="24"/>
        </w:rPr>
        <w:t xml:space="preserve">‘read down’ by reason of various rights contained within the Charter outside the scope of </w:t>
      </w:r>
      <w:proofErr w:type="spellStart"/>
      <w:r w:rsidR="00826784" w:rsidRPr="007B0913">
        <w:rPr>
          <w:rFonts w:ascii="Times New Roman" w:hAnsi="Times New Roman" w:cs="Times New Roman"/>
          <w:sz w:val="24"/>
          <w:szCs w:val="24"/>
        </w:rPr>
        <w:t>ss</w:t>
      </w:r>
      <w:proofErr w:type="spellEnd"/>
      <w:r w:rsidR="00826784" w:rsidRPr="007B0913">
        <w:rPr>
          <w:rFonts w:ascii="Times New Roman" w:hAnsi="Times New Roman" w:cs="Times New Roman"/>
          <w:sz w:val="24"/>
          <w:szCs w:val="24"/>
        </w:rPr>
        <w:t xml:space="preserve"> 21 to 27.  For example, </w:t>
      </w:r>
      <w:r w:rsidR="00FC4B86" w:rsidRPr="007B0913">
        <w:rPr>
          <w:rFonts w:ascii="Times New Roman" w:hAnsi="Times New Roman" w:cs="Times New Roman"/>
          <w:sz w:val="24"/>
          <w:szCs w:val="24"/>
        </w:rPr>
        <w:t xml:space="preserve">in </w:t>
      </w:r>
      <w:r w:rsidR="00FC4B86" w:rsidRPr="007B0913">
        <w:rPr>
          <w:rFonts w:ascii="Times New Roman" w:hAnsi="Times New Roman" w:cs="Times New Roman"/>
          <w:i/>
          <w:sz w:val="24"/>
          <w:szCs w:val="24"/>
        </w:rPr>
        <w:t>Magee v Delaney</w:t>
      </w:r>
      <w:r w:rsidR="00FC4B86" w:rsidRPr="007B0913">
        <w:rPr>
          <w:rFonts w:ascii="Times New Roman" w:hAnsi="Times New Roman" w:cs="Times New Roman"/>
          <w:sz w:val="24"/>
          <w:szCs w:val="24"/>
        </w:rPr>
        <w:t>,</w:t>
      </w:r>
      <w:r w:rsidR="00FC4B86" w:rsidRPr="007B0913">
        <w:rPr>
          <w:rStyle w:val="FootnoteReference"/>
          <w:rFonts w:ascii="Times New Roman" w:hAnsi="Times New Roman" w:cs="Times New Roman"/>
          <w:sz w:val="24"/>
          <w:szCs w:val="24"/>
        </w:rPr>
        <w:footnoteReference w:id="79"/>
      </w:r>
      <w:r w:rsidR="00FC4B86" w:rsidRPr="007B0913">
        <w:rPr>
          <w:rFonts w:ascii="Times New Roman" w:hAnsi="Times New Roman" w:cs="Times New Roman"/>
          <w:sz w:val="24"/>
          <w:szCs w:val="24"/>
        </w:rPr>
        <w:t xml:space="preserve"> </w:t>
      </w:r>
      <w:proofErr w:type="spellStart"/>
      <w:r w:rsidR="00FC4B86" w:rsidRPr="007B0913">
        <w:rPr>
          <w:rFonts w:ascii="Times New Roman" w:hAnsi="Times New Roman" w:cs="Times New Roman"/>
          <w:sz w:val="24"/>
          <w:szCs w:val="24"/>
        </w:rPr>
        <w:t>Kyrou</w:t>
      </w:r>
      <w:proofErr w:type="spellEnd"/>
      <w:r w:rsidR="00FC4B86" w:rsidRPr="007B0913">
        <w:rPr>
          <w:rFonts w:ascii="Times New Roman" w:hAnsi="Times New Roman" w:cs="Times New Roman"/>
          <w:sz w:val="24"/>
          <w:szCs w:val="24"/>
        </w:rPr>
        <w:t xml:space="preserve"> J, as his Honour then was, considered the operation of s 15(2) of the Charter, and its protection of the right to freedom of expression, as a possible answer to a charge of damaging property as an anti-advertising protest.  </w:t>
      </w:r>
    </w:p>
    <w:p w14:paraId="1A06E607" w14:textId="735233C3" w:rsidR="00EA4AFF" w:rsidRPr="007B0913" w:rsidRDefault="00586FA9"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S</w:t>
      </w:r>
      <w:r w:rsidR="00A839CA" w:rsidRPr="007B0913">
        <w:rPr>
          <w:rFonts w:ascii="Times New Roman" w:hAnsi="Times New Roman" w:cs="Times New Roman"/>
          <w:sz w:val="24"/>
          <w:szCs w:val="24"/>
        </w:rPr>
        <w:t xml:space="preserve">urprisingly </w:t>
      </w:r>
      <w:r w:rsidR="004E7217" w:rsidRPr="007B0913">
        <w:rPr>
          <w:rFonts w:ascii="Times New Roman" w:hAnsi="Times New Roman" w:cs="Times New Roman"/>
          <w:sz w:val="24"/>
          <w:szCs w:val="24"/>
        </w:rPr>
        <w:t xml:space="preserve">perhaps, </w:t>
      </w:r>
      <w:r w:rsidR="002D4BCA" w:rsidRPr="007B0913">
        <w:rPr>
          <w:rFonts w:ascii="Times New Roman" w:hAnsi="Times New Roman" w:cs="Times New Roman"/>
          <w:sz w:val="24"/>
          <w:szCs w:val="24"/>
        </w:rPr>
        <w:t>despite the fact that almost 10</w:t>
      </w:r>
      <w:r w:rsidR="002C6142" w:rsidRPr="007B0913">
        <w:rPr>
          <w:rFonts w:ascii="Times New Roman" w:hAnsi="Times New Roman" w:cs="Times New Roman"/>
          <w:sz w:val="24"/>
          <w:szCs w:val="24"/>
        </w:rPr>
        <w:t xml:space="preserve"> years </w:t>
      </w:r>
      <w:r w:rsidR="004E7217" w:rsidRPr="007B0913">
        <w:rPr>
          <w:rFonts w:ascii="Times New Roman" w:hAnsi="Times New Roman" w:cs="Times New Roman"/>
          <w:sz w:val="24"/>
          <w:szCs w:val="24"/>
        </w:rPr>
        <w:t>have now</w:t>
      </w:r>
      <w:r w:rsidRPr="007B0913">
        <w:rPr>
          <w:rFonts w:ascii="Times New Roman" w:hAnsi="Times New Roman" w:cs="Times New Roman"/>
          <w:sz w:val="24"/>
          <w:szCs w:val="24"/>
        </w:rPr>
        <w:t xml:space="preserve"> </w:t>
      </w:r>
      <w:r w:rsidR="0008108D" w:rsidRPr="007B0913">
        <w:rPr>
          <w:rFonts w:ascii="Times New Roman" w:hAnsi="Times New Roman" w:cs="Times New Roman"/>
          <w:sz w:val="24"/>
          <w:szCs w:val="24"/>
        </w:rPr>
        <w:t>elapsed</w:t>
      </w:r>
      <w:r w:rsidRPr="007B0913">
        <w:rPr>
          <w:rFonts w:ascii="Times New Roman" w:hAnsi="Times New Roman" w:cs="Times New Roman"/>
          <w:sz w:val="24"/>
          <w:szCs w:val="24"/>
        </w:rPr>
        <w:t xml:space="preserve"> since the </w:t>
      </w:r>
      <w:r w:rsidR="00A839CA" w:rsidRPr="007B0913">
        <w:rPr>
          <w:rFonts w:ascii="Times New Roman" w:hAnsi="Times New Roman" w:cs="Times New Roman"/>
          <w:sz w:val="24"/>
          <w:szCs w:val="24"/>
        </w:rPr>
        <w:t xml:space="preserve">enactment of the Charter, it is still too </w:t>
      </w:r>
      <w:r w:rsidR="006B726D" w:rsidRPr="007B0913">
        <w:rPr>
          <w:rFonts w:ascii="Times New Roman" w:hAnsi="Times New Roman" w:cs="Times New Roman"/>
          <w:sz w:val="24"/>
          <w:szCs w:val="24"/>
        </w:rPr>
        <w:t>early</w:t>
      </w:r>
      <w:r w:rsidR="004E7217" w:rsidRPr="007B0913">
        <w:rPr>
          <w:rFonts w:ascii="Times New Roman" w:hAnsi="Times New Roman" w:cs="Times New Roman"/>
          <w:sz w:val="24"/>
          <w:szCs w:val="24"/>
        </w:rPr>
        <w:t xml:space="preserve"> </w:t>
      </w:r>
      <w:r w:rsidR="006B726D" w:rsidRPr="007B0913">
        <w:rPr>
          <w:rFonts w:ascii="Times New Roman" w:hAnsi="Times New Roman" w:cs="Times New Roman"/>
          <w:sz w:val="24"/>
          <w:szCs w:val="24"/>
        </w:rPr>
        <w:t>to</w:t>
      </w:r>
      <w:r w:rsidR="004E7217" w:rsidRPr="007B0913">
        <w:rPr>
          <w:rFonts w:ascii="Times New Roman" w:hAnsi="Times New Roman" w:cs="Times New Roman"/>
          <w:sz w:val="24"/>
          <w:szCs w:val="24"/>
        </w:rPr>
        <w:t xml:space="preserve"> attempt </w:t>
      </w:r>
      <w:r w:rsidR="004749BB" w:rsidRPr="007B0913">
        <w:rPr>
          <w:rFonts w:ascii="Times New Roman" w:hAnsi="Times New Roman" w:cs="Times New Roman"/>
          <w:sz w:val="24"/>
          <w:szCs w:val="24"/>
        </w:rPr>
        <w:t>answers to</w:t>
      </w:r>
      <w:r w:rsidR="00A839CA" w:rsidRPr="007B0913">
        <w:rPr>
          <w:rFonts w:ascii="Times New Roman" w:hAnsi="Times New Roman" w:cs="Times New Roman"/>
          <w:sz w:val="24"/>
          <w:szCs w:val="24"/>
        </w:rPr>
        <w:t xml:space="preserve"> many of</w:t>
      </w:r>
      <w:r w:rsidR="006B726D" w:rsidRPr="007B0913">
        <w:rPr>
          <w:rFonts w:ascii="Times New Roman" w:hAnsi="Times New Roman" w:cs="Times New Roman"/>
          <w:sz w:val="24"/>
          <w:szCs w:val="24"/>
        </w:rPr>
        <w:t xml:space="preserve"> the</w:t>
      </w:r>
      <w:r w:rsidR="002A4D5C" w:rsidRPr="007B0913">
        <w:rPr>
          <w:rFonts w:ascii="Times New Roman" w:hAnsi="Times New Roman" w:cs="Times New Roman"/>
          <w:sz w:val="24"/>
          <w:szCs w:val="24"/>
        </w:rPr>
        <w:t xml:space="preserve"> questions posed above. </w:t>
      </w:r>
    </w:p>
    <w:p w14:paraId="4030BD95" w14:textId="4CC2284E" w:rsidR="00E26A21" w:rsidRPr="007B0913" w:rsidRDefault="004E7217"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It should be noted</w:t>
      </w:r>
      <w:r w:rsidR="00BB5A6B" w:rsidRPr="007B0913">
        <w:rPr>
          <w:rFonts w:ascii="Times New Roman" w:hAnsi="Times New Roman" w:cs="Times New Roman"/>
          <w:sz w:val="24"/>
          <w:szCs w:val="24"/>
        </w:rPr>
        <w:t>, as previously indicated,</w:t>
      </w:r>
      <w:r w:rsidRPr="007B0913">
        <w:rPr>
          <w:rFonts w:ascii="Times New Roman" w:hAnsi="Times New Roman" w:cs="Times New Roman"/>
          <w:sz w:val="24"/>
          <w:szCs w:val="24"/>
        </w:rPr>
        <w:t xml:space="preserve"> that t</w:t>
      </w:r>
      <w:r w:rsidR="006B726D" w:rsidRPr="007B0913">
        <w:rPr>
          <w:rFonts w:ascii="Times New Roman" w:hAnsi="Times New Roman" w:cs="Times New Roman"/>
          <w:sz w:val="24"/>
          <w:szCs w:val="24"/>
        </w:rPr>
        <w:t xml:space="preserve">he Charter </w:t>
      </w:r>
      <w:r w:rsidR="00611622" w:rsidRPr="007B0913">
        <w:rPr>
          <w:rFonts w:ascii="Times New Roman" w:hAnsi="Times New Roman" w:cs="Times New Roman"/>
          <w:sz w:val="24"/>
          <w:szCs w:val="24"/>
        </w:rPr>
        <w:t>is pres</w:t>
      </w:r>
      <w:r w:rsidR="00EA4AFF" w:rsidRPr="007B0913">
        <w:rPr>
          <w:rFonts w:ascii="Times New Roman" w:hAnsi="Times New Roman" w:cs="Times New Roman"/>
          <w:sz w:val="24"/>
          <w:szCs w:val="24"/>
        </w:rPr>
        <w:t>ently under review</w:t>
      </w:r>
      <w:r w:rsidR="00A839CA" w:rsidRPr="007B0913">
        <w:rPr>
          <w:rFonts w:ascii="Times New Roman" w:hAnsi="Times New Roman" w:cs="Times New Roman"/>
          <w:sz w:val="24"/>
          <w:szCs w:val="24"/>
        </w:rPr>
        <w:t xml:space="preserve">.  </w:t>
      </w:r>
      <w:r w:rsidR="00611622" w:rsidRPr="007B0913">
        <w:rPr>
          <w:rFonts w:ascii="Times New Roman" w:hAnsi="Times New Roman" w:cs="Times New Roman"/>
          <w:sz w:val="24"/>
          <w:szCs w:val="24"/>
        </w:rPr>
        <w:t>I</w:t>
      </w:r>
      <w:r w:rsidR="00BB5A6B" w:rsidRPr="007B0913">
        <w:rPr>
          <w:rFonts w:ascii="Times New Roman" w:hAnsi="Times New Roman" w:cs="Times New Roman"/>
          <w:sz w:val="24"/>
          <w:szCs w:val="24"/>
        </w:rPr>
        <w:t>t seems</w:t>
      </w:r>
      <w:r w:rsidR="00E26A21" w:rsidRPr="007B0913">
        <w:rPr>
          <w:rFonts w:ascii="Times New Roman" w:hAnsi="Times New Roman" w:cs="Times New Roman"/>
          <w:sz w:val="24"/>
          <w:szCs w:val="24"/>
        </w:rPr>
        <w:t xml:space="preserve"> </w:t>
      </w:r>
      <w:r w:rsidR="00291E4D" w:rsidRPr="007B0913">
        <w:rPr>
          <w:rFonts w:ascii="Times New Roman" w:hAnsi="Times New Roman" w:cs="Times New Roman"/>
          <w:sz w:val="24"/>
          <w:szCs w:val="24"/>
        </w:rPr>
        <w:t>almost certain</w:t>
      </w:r>
      <w:r w:rsidR="00A839CA" w:rsidRPr="007B0913">
        <w:rPr>
          <w:rFonts w:ascii="Times New Roman" w:hAnsi="Times New Roman" w:cs="Times New Roman"/>
          <w:sz w:val="24"/>
          <w:szCs w:val="24"/>
        </w:rPr>
        <w:t xml:space="preserve"> that </w:t>
      </w:r>
      <w:r w:rsidR="00926CFB" w:rsidRPr="007B0913">
        <w:rPr>
          <w:rFonts w:ascii="Times New Roman" w:hAnsi="Times New Roman" w:cs="Times New Roman"/>
          <w:sz w:val="24"/>
          <w:szCs w:val="24"/>
        </w:rPr>
        <w:t>it</w:t>
      </w:r>
      <w:r w:rsidR="00611622" w:rsidRPr="007B0913">
        <w:rPr>
          <w:rFonts w:ascii="Times New Roman" w:hAnsi="Times New Roman" w:cs="Times New Roman"/>
          <w:sz w:val="24"/>
          <w:szCs w:val="24"/>
        </w:rPr>
        <w:t xml:space="preserve"> will be amended </w:t>
      </w:r>
      <w:r w:rsidR="00291E4D" w:rsidRPr="007B0913">
        <w:rPr>
          <w:rFonts w:ascii="Times New Roman" w:hAnsi="Times New Roman" w:cs="Times New Roman"/>
          <w:sz w:val="24"/>
          <w:szCs w:val="24"/>
        </w:rPr>
        <w:t xml:space="preserve">in the near future </w:t>
      </w:r>
      <w:r w:rsidR="00611622" w:rsidRPr="007B0913">
        <w:rPr>
          <w:rFonts w:ascii="Times New Roman" w:hAnsi="Times New Roman" w:cs="Times New Roman"/>
          <w:sz w:val="24"/>
          <w:szCs w:val="24"/>
        </w:rPr>
        <w:t xml:space="preserve">to overcome </w:t>
      </w:r>
      <w:r w:rsidR="00F73EEB" w:rsidRPr="007B0913">
        <w:rPr>
          <w:rFonts w:ascii="Times New Roman" w:hAnsi="Times New Roman" w:cs="Times New Roman"/>
          <w:sz w:val="24"/>
          <w:szCs w:val="24"/>
        </w:rPr>
        <w:t xml:space="preserve">at least </w:t>
      </w:r>
      <w:r w:rsidR="00611622" w:rsidRPr="007B0913">
        <w:rPr>
          <w:rFonts w:ascii="Times New Roman" w:hAnsi="Times New Roman" w:cs="Times New Roman"/>
          <w:sz w:val="24"/>
          <w:szCs w:val="24"/>
        </w:rPr>
        <w:t>some of the difficulties associated with the</w:t>
      </w:r>
      <w:r w:rsidR="00676513" w:rsidRPr="007B0913">
        <w:rPr>
          <w:rFonts w:ascii="Times New Roman" w:hAnsi="Times New Roman" w:cs="Times New Roman"/>
          <w:sz w:val="24"/>
          <w:szCs w:val="24"/>
        </w:rPr>
        <w:t xml:space="preserve"> </w:t>
      </w:r>
      <w:r w:rsidR="00611622" w:rsidRPr="007B0913">
        <w:rPr>
          <w:rFonts w:ascii="Times New Roman" w:hAnsi="Times New Roman" w:cs="Times New Roman"/>
          <w:sz w:val="24"/>
          <w:szCs w:val="24"/>
        </w:rPr>
        <w:t>drafting of s 32</w:t>
      </w:r>
      <w:r w:rsidR="00E26A21" w:rsidRPr="007B0913">
        <w:rPr>
          <w:rFonts w:ascii="Times New Roman" w:hAnsi="Times New Roman" w:cs="Times New Roman"/>
          <w:sz w:val="24"/>
          <w:szCs w:val="24"/>
        </w:rPr>
        <w:t>(1)</w:t>
      </w:r>
      <w:r w:rsidR="00611622" w:rsidRPr="007B0913">
        <w:rPr>
          <w:rFonts w:ascii="Times New Roman" w:hAnsi="Times New Roman" w:cs="Times New Roman"/>
          <w:sz w:val="24"/>
          <w:szCs w:val="24"/>
        </w:rPr>
        <w:t xml:space="preserve">, </w:t>
      </w:r>
      <w:r w:rsidR="00F73EEB" w:rsidRPr="007B0913">
        <w:rPr>
          <w:rFonts w:ascii="Times New Roman" w:hAnsi="Times New Roman" w:cs="Times New Roman"/>
          <w:sz w:val="24"/>
          <w:szCs w:val="24"/>
        </w:rPr>
        <w:t>as well as</w:t>
      </w:r>
      <w:r w:rsidR="00BB5A6B" w:rsidRPr="007B0913">
        <w:rPr>
          <w:rFonts w:ascii="Times New Roman" w:hAnsi="Times New Roman" w:cs="Times New Roman"/>
          <w:sz w:val="24"/>
          <w:szCs w:val="24"/>
        </w:rPr>
        <w:t xml:space="preserve"> the</w:t>
      </w:r>
      <w:r w:rsidR="00926CFB" w:rsidRPr="007B0913">
        <w:rPr>
          <w:rFonts w:ascii="Times New Roman" w:hAnsi="Times New Roman" w:cs="Times New Roman"/>
          <w:sz w:val="24"/>
          <w:szCs w:val="24"/>
        </w:rPr>
        <w:t xml:space="preserve"> problems generated by </w:t>
      </w:r>
      <w:r w:rsidR="00676513" w:rsidRPr="007B0913">
        <w:rPr>
          <w:rFonts w:ascii="Times New Roman" w:hAnsi="Times New Roman" w:cs="Times New Roman"/>
          <w:sz w:val="24"/>
          <w:szCs w:val="24"/>
        </w:rPr>
        <w:t>s 39.</w:t>
      </w:r>
      <w:r w:rsidR="00611622" w:rsidRPr="007B0913">
        <w:rPr>
          <w:rFonts w:ascii="Times New Roman" w:hAnsi="Times New Roman" w:cs="Times New Roman"/>
          <w:sz w:val="24"/>
          <w:szCs w:val="24"/>
        </w:rPr>
        <w:t xml:space="preserve">  </w:t>
      </w:r>
    </w:p>
    <w:p w14:paraId="52BB24B3" w14:textId="77777777" w:rsidR="000440A7" w:rsidRDefault="000440A7" w:rsidP="006B2E41">
      <w:pPr>
        <w:spacing w:after="240" w:line="360" w:lineRule="auto"/>
        <w:jc w:val="both"/>
        <w:rPr>
          <w:rFonts w:ascii="Times New Roman" w:hAnsi="Times New Roman" w:cs="Times New Roman"/>
          <w:b/>
          <w:i/>
          <w:sz w:val="24"/>
          <w:szCs w:val="24"/>
        </w:rPr>
      </w:pPr>
    </w:p>
    <w:p w14:paraId="3D82655A" w14:textId="17EF6141" w:rsidR="003B62F0" w:rsidRPr="000440A7" w:rsidRDefault="00246B98" w:rsidP="006B2E41">
      <w:pPr>
        <w:spacing w:after="240" w:line="360" w:lineRule="auto"/>
        <w:jc w:val="both"/>
        <w:rPr>
          <w:rFonts w:ascii="Times New Roman" w:hAnsi="Times New Roman" w:cs="Times New Roman"/>
          <w:sz w:val="24"/>
          <w:szCs w:val="24"/>
        </w:rPr>
      </w:pPr>
      <w:bookmarkStart w:id="4" w:name="_GoBack"/>
      <w:r w:rsidRPr="000440A7">
        <w:rPr>
          <w:rFonts w:ascii="Times New Roman" w:hAnsi="Times New Roman" w:cs="Times New Roman"/>
          <w:b/>
          <w:sz w:val="24"/>
          <w:szCs w:val="24"/>
        </w:rPr>
        <w:lastRenderedPageBreak/>
        <w:t xml:space="preserve">Conclusion </w:t>
      </w:r>
    </w:p>
    <w:bookmarkEnd w:id="4"/>
    <w:p w14:paraId="1DA63489" w14:textId="63AFDD95" w:rsidR="00925DC0" w:rsidRPr="007B0913" w:rsidRDefault="00676513"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 xml:space="preserve">Overall, </w:t>
      </w:r>
      <w:r w:rsidR="004763AA" w:rsidRPr="007B0913">
        <w:rPr>
          <w:rFonts w:ascii="Times New Roman" w:hAnsi="Times New Roman" w:cs="Times New Roman"/>
          <w:sz w:val="24"/>
          <w:szCs w:val="24"/>
        </w:rPr>
        <w:t>it is fair to say that</w:t>
      </w:r>
      <w:r w:rsidRPr="007B0913">
        <w:rPr>
          <w:rFonts w:ascii="Times New Roman" w:hAnsi="Times New Roman" w:cs="Times New Roman"/>
          <w:sz w:val="24"/>
          <w:szCs w:val="24"/>
        </w:rPr>
        <w:t xml:space="preserve"> the Charter has </w:t>
      </w:r>
      <w:r w:rsidR="00436C1F" w:rsidRPr="007B0913">
        <w:rPr>
          <w:rFonts w:ascii="Times New Roman" w:hAnsi="Times New Roman" w:cs="Times New Roman"/>
          <w:sz w:val="24"/>
          <w:szCs w:val="24"/>
        </w:rPr>
        <w:t>been beneficial</w:t>
      </w:r>
      <w:r w:rsidRPr="007B0913">
        <w:rPr>
          <w:rFonts w:ascii="Times New Roman" w:hAnsi="Times New Roman" w:cs="Times New Roman"/>
          <w:sz w:val="24"/>
          <w:szCs w:val="24"/>
        </w:rPr>
        <w:t xml:space="preserve"> in </w:t>
      </w:r>
      <w:r w:rsidR="001A28C0" w:rsidRPr="007B0913">
        <w:rPr>
          <w:rFonts w:ascii="Times New Roman" w:hAnsi="Times New Roman" w:cs="Times New Roman"/>
          <w:sz w:val="24"/>
          <w:szCs w:val="24"/>
        </w:rPr>
        <w:t>a number of areas</w:t>
      </w:r>
      <w:r w:rsidR="008534F6" w:rsidRPr="007B0913">
        <w:rPr>
          <w:rFonts w:ascii="Times New Roman" w:hAnsi="Times New Roman" w:cs="Times New Roman"/>
          <w:sz w:val="24"/>
          <w:szCs w:val="24"/>
        </w:rPr>
        <w:t>.  It</w:t>
      </w:r>
      <w:r w:rsidR="00925DC0" w:rsidRPr="007B0913">
        <w:rPr>
          <w:rFonts w:ascii="Times New Roman" w:hAnsi="Times New Roman" w:cs="Times New Roman"/>
          <w:sz w:val="24"/>
          <w:szCs w:val="24"/>
        </w:rPr>
        <w:t xml:space="preserve"> is </w:t>
      </w:r>
      <w:r w:rsidR="004763AA" w:rsidRPr="007B0913">
        <w:rPr>
          <w:rFonts w:ascii="Times New Roman" w:hAnsi="Times New Roman" w:cs="Times New Roman"/>
          <w:sz w:val="24"/>
          <w:szCs w:val="24"/>
        </w:rPr>
        <w:t xml:space="preserve">generally accepted </w:t>
      </w:r>
      <w:r w:rsidR="00925DC0" w:rsidRPr="007B0913">
        <w:rPr>
          <w:rFonts w:ascii="Times New Roman" w:hAnsi="Times New Roman" w:cs="Times New Roman"/>
          <w:sz w:val="24"/>
          <w:szCs w:val="24"/>
        </w:rPr>
        <w:t xml:space="preserve">that it has had a significant impact upon the way in which decision makers who are public authorities approach their daily tasks.  </w:t>
      </w:r>
    </w:p>
    <w:p w14:paraId="35EDD59C" w14:textId="72047167" w:rsidR="00436C1F" w:rsidRPr="007B0913" w:rsidRDefault="00925DC0"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However, the Charter has b</w:t>
      </w:r>
      <w:r w:rsidR="008534F6" w:rsidRPr="007B0913">
        <w:rPr>
          <w:rFonts w:ascii="Times New Roman" w:hAnsi="Times New Roman" w:cs="Times New Roman"/>
          <w:sz w:val="24"/>
          <w:szCs w:val="24"/>
        </w:rPr>
        <w:t>een le</w:t>
      </w:r>
      <w:r w:rsidR="004763AA" w:rsidRPr="007B0913">
        <w:rPr>
          <w:rFonts w:ascii="Times New Roman" w:hAnsi="Times New Roman" w:cs="Times New Roman"/>
          <w:sz w:val="24"/>
          <w:szCs w:val="24"/>
        </w:rPr>
        <w:t>ss</w:t>
      </w:r>
      <w:r w:rsidR="008534F6" w:rsidRPr="007B0913">
        <w:rPr>
          <w:rFonts w:ascii="Times New Roman" w:hAnsi="Times New Roman" w:cs="Times New Roman"/>
          <w:sz w:val="24"/>
          <w:szCs w:val="24"/>
        </w:rPr>
        <w:t xml:space="preserve"> effective </w:t>
      </w:r>
      <w:r w:rsidRPr="007B0913">
        <w:rPr>
          <w:rFonts w:ascii="Times New Roman" w:hAnsi="Times New Roman" w:cs="Times New Roman"/>
          <w:sz w:val="24"/>
          <w:szCs w:val="24"/>
        </w:rPr>
        <w:t>in</w:t>
      </w:r>
      <w:r w:rsidR="008534F6" w:rsidRPr="007B0913">
        <w:rPr>
          <w:rFonts w:ascii="Times New Roman" w:hAnsi="Times New Roman" w:cs="Times New Roman"/>
          <w:sz w:val="24"/>
          <w:szCs w:val="24"/>
        </w:rPr>
        <w:t xml:space="preserve"> facilitating </w:t>
      </w:r>
      <w:r w:rsidR="00436C1F" w:rsidRPr="007B0913">
        <w:rPr>
          <w:rFonts w:ascii="Times New Roman" w:hAnsi="Times New Roman" w:cs="Times New Roman"/>
          <w:sz w:val="24"/>
          <w:szCs w:val="24"/>
        </w:rPr>
        <w:t>legal challenges based upon breach of Charter rights.</w:t>
      </w:r>
      <w:r w:rsidR="00404E1E" w:rsidRPr="007B0913">
        <w:rPr>
          <w:rStyle w:val="FootnoteReference"/>
          <w:rFonts w:ascii="Times New Roman" w:hAnsi="Times New Roman" w:cs="Times New Roman"/>
          <w:sz w:val="24"/>
          <w:szCs w:val="24"/>
        </w:rPr>
        <w:footnoteReference w:id="80"/>
      </w:r>
      <w:r w:rsidRPr="007B0913">
        <w:rPr>
          <w:rFonts w:ascii="Times New Roman" w:hAnsi="Times New Roman" w:cs="Times New Roman"/>
          <w:sz w:val="24"/>
          <w:szCs w:val="24"/>
        </w:rPr>
        <w:t xml:space="preserve">  Of course, t</w:t>
      </w:r>
      <w:r w:rsidR="00CA05FB" w:rsidRPr="007B0913">
        <w:rPr>
          <w:rFonts w:ascii="Times New Roman" w:hAnsi="Times New Roman" w:cs="Times New Roman"/>
          <w:sz w:val="24"/>
          <w:szCs w:val="24"/>
        </w:rPr>
        <w:t>hat</w:t>
      </w:r>
      <w:r w:rsidR="00436C1F" w:rsidRPr="007B0913">
        <w:rPr>
          <w:rFonts w:ascii="Times New Roman" w:hAnsi="Times New Roman" w:cs="Times New Roman"/>
          <w:sz w:val="24"/>
          <w:szCs w:val="24"/>
        </w:rPr>
        <w:t xml:space="preserve"> was </w:t>
      </w:r>
      <w:r w:rsidR="001B4E0F" w:rsidRPr="007B0913">
        <w:rPr>
          <w:rFonts w:ascii="Times New Roman" w:hAnsi="Times New Roman" w:cs="Times New Roman"/>
          <w:sz w:val="24"/>
          <w:szCs w:val="24"/>
        </w:rPr>
        <w:t>to some extent anticipated</w:t>
      </w:r>
      <w:r w:rsidRPr="007B0913">
        <w:rPr>
          <w:rFonts w:ascii="Times New Roman" w:hAnsi="Times New Roman" w:cs="Times New Roman"/>
          <w:sz w:val="24"/>
          <w:szCs w:val="24"/>
        </w:rPr>
        <w:t xml:space="preserve">, and </w:t>
      </w:r>
      <w:r w:rsidR="00CA05FB" w:rsidRPr="007B0913">
        <w:rPr>
          <w:rFonts w:ascii="Times New Roman" w:hAnsi="Times New Roman" w:cs="Times New Roman"/>
          <w:sz w:val="24"/>
          <w:szCs w:val="24"/>
        </w:rPr>
        <w:t xml:space="preserve">perhaps </w:t>
      </w:r>
      <w:r w:rsidRPr="007B0913">
        <w:rPr>
          <w:rFonts w:ascii="Times New Roman" w:hAnsi="Times New Roman" w:cs="Times New Roman"/>
          <w:sz w:val="24"/>
          <w:szCs w:val="24"/>
        </w:rPr>
        <w:t xml:space="preserve">even </w:t>
      </w:r>
      <w:r w:rsidR="001B4E0F" w:rsidRPr="007B0913">
        <w:rPr>
          <w:rFonts w:ascii="Times New Roman" w:hAnsi="Times New Roman" w:cs="Times New Roman"/>
          <w:sz w:val="24"/>
          <w:szCs w:val="24"/>
        </w:rPr>
        <w:t xml:space="preserve">intended.  </w:t>
      </w:r>
    </w:p>
    <w:p w14:paraId="1433A8E2" w14:textId="77777777" w:rsidR="004D77F0" w:rsidRPr="007B0913" w:rsidRDefault="00204E59"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For my part, I find it surprising that</w:t>
      </w:r>
      <w:r w:rsidR="004D77F0" w:rsidRPr="007B0913">
        <w:rPr>
          <w:rFonts w:ascii="Times New Roman" w:hAnsi="Times New Roman" w:cs="Times New Roman"/>
          <w:sz w:val="24"/>
          <w:szCs w:val="24"/>
        </w:rPr>
        <w:t xml:space="preserve"> the Charter has had such</w:t>
      </w:r>
      <w:r w:rsidR="0053068E" w:rsidRPr="007B0913">
        <w:rPr>
          <w:rFonts w:ascii="Times New Roman" w:hAnsi="Times New Roman" w:cs="Times New Roman"/>
          <w:sz w:val="24"/>
          <w:szCs w:val="24"/>
        </w:rPr>
        <w:t xml:space="preserve"> little impact upon the</w:t>
      </w:r>
      <w:r w:rsidRPr="007B0913">
        <w:rPr>
          <w:rFonts w:ascii="Times New Roman" w:hAnsi="Times New Roman" w:cs="Times New Roman"/>
          <w:sz w:val="24"/>
          <w:szCs w:val="24"/>
        </w:rPr>
        <w:t xml:space="preserve"> work of the courts in the</w:t>
      </w:r>
      <w:r w:rsidR="0053068E" w:rsidRPr="007B0913">
        <w:rPr>
          <w:rFonts w:ascii="Times New Roman" w:hAnsi="Times New Roman" w:cs="Times New Roman"/>
          <w:sz w:val="24"/>
          <w:szCs w:val="24"/>
        </w:rPr>
        <w:t xml:space="preserve"> day to day administration of criminal justice.  </w:t>
      </w:r>
      <w:r w:rsidR="004D77F0" w:rsidRPr="007B0913">
        <w:rPr>
          <w:rFonts w:ascii="Times New Roman" w:hAnsi="Times New Roman" w:cs="Times New Roman"/>
          <w:sz w:val="24"/>
          <w:szCs w:val="24"/>
        </w:rPr>
        <w:t>Of course, t</w:t>
      </w:r>
      <w:r w:rsidR="0053068E" w:rsidRPr="007B0913">
        <w:rPr>
          <w:rFonts w:ascii="Times New Roman" w:hAnsi="Times New Roman" w:cs="Times New Roman"/>
          <w:sz w:val="24"/>
          <w:szCs w:val="24"/>
        </w:rPr>
        <w:t>hat is not necessarily a bad thing.</w:t>
      </w:r>
      <w:r w:rsidR="009605A7" w:rsidRPr="007B0913">
        <w:rPr>
          <w:rFonts w:ascii="Times New Roman" w:hAnsi="Times New Roman" w:cs="Times New Roman"/>
          <w:sz w:val="24"/>
          <w:szCs w:val="24"/>
        </w:rPr>
        <w:t xml:space="preserve">  It may reflect nothing more than </w:t>
      </w:r>
      <w:r w:rsidR="000F7947" w:rsidRPr="007B0913">
        <w:rPr>
          <w:rFonts w:ascii="Times New Roman" w:hAnsi="Times New Roman" w:cs="Times New Roman"/>
          <w:sz w:val="24"/>
          <w:szCs w:val="24"/>
        </w:rPr>
        <w:t xml:space="preserve">the </w:t>
      </w:r>
      <w:r w:rsidRPr="007B0913">
        <w:rPr>
          <w:rFonts w:ascii="Times New Roman" w:hAnsi="Times New Roman" w:cs="Times New Roman"/>
          <w:sz w:val="24"/>
          <w:szCs w:val="24"/>
        </w:rPr>
        <w:t xml:space="preserve">failure of </w:t>
      </w:r>
      <w:r w:rsidR="004D77F0" w:rsidRPr="007B0913">
        <w:rPr>
          <w:rFonts w:ascii="Times New Roman" w:hAnsi="Times New Roman" w:cs="Times New Roman"/>
          <w:sz w:val="24"/>
          <w:szCs w:val="24"/>
        </w:rPr>
        <w:t>the defence Bar</w:t>
      </w:r>
      <w:r w:rsidR="000F7947" w:rsidRPr="007B0913">
        <w:rPr>
          <w:rFonts w:ascii="Times New Roman" w:hAnsi="Times New Roman" w:cs="Times New Roman"/>
          <w:sz w:val="24"/>
          <w:szCs w:val="24"/>
        </w:rPr>
        <w:t xml:space="preserve"> in Victoria to recognise its </w:t>
      </w:r>
      <w:r w:rsidRPr="007B0913">
        <w:rPr>
          <w:rFonts w:ascii="Times New Roman" w:hAnsi="Times New Roman" w:cs="Times New Roman"/>
          <w:sz w:val="24"/>
          <w:szCs w:val="24"/>
        </w:rPr>
        <w:t xml:space="preserve">full </w:t>
      </w:r>
      <w:r w:rsidR="000F7947" w:rsidRPr="007B0913">
        <w:rPr>
          <w:rFonts w:ascii="Times New Roman" w:hAnsi="Times New Roman" w:cs="Times New Roman"/>
          <w:sz w:val="24"/>
          <w:szCs w:val="24"/>
        </w:rPr>
        <w:t>potential</w:t>
      </w:r>
      <w:r w:rsidR="004D77F0" w:rsidRPr="007B0913">
        <w:rPr>
          <w:rFonts w:ascii="Times New Roman" w:hAnsi="Times New Roman" w:cs="Times New Roman"/>
          <w:sz w:val="24"/>
          <w:szCs w:val="24"/>
        </w:rPr>
        <w:t>,</w:t>
      </w:r>
      <w:r w:rsidRPr="007B0913">
        <w:rPr>
          <w:rFonts w:ascii="Times New Roman" w:hAnsi="Times New Roman" w:cs="Times New Roman"/>
          <w:sz w:val="24"/>
          <w:szCs w:val="24"/>
        </w:rPr>
        <w:t xml:space="preserve"> and</w:t>
      </w:r>
      <w:r w:rsidR="004D77F0" w:rsidRPr="007B0913">
        <w:rPr>
          <w:rFonts w:ascii="Times New Roman" w:hAnsi="Times New Roman" w:cs="Times New Roman"/>
          <w:sz w:val="24"/>
          <w:szCs w:val="24"/>
        </w:rPr>
        <w:t xml:space="preserve"> to seek</w:t>
      </w:r>
      <w:r w:rsidRPr="007B0913">
        <w:rPr>
          <w:rFonts w:ascii="Times New Roman" w:hAnsi="Times New Roman" w:cs="Times New Roman"/>
          <w:sz w:val="24"/>
          <w:szCs w:val="24"/>
        </w:rPr>
        <w:t xml:space="preserve"> to </w:t>
      </w:r>
      <w:r w:rsidR="004D77F0" w:rsidRPr="007B0913">
        <w:rPr>
          <w:rFonts w:ascii="Times New Roman" w:hAnsi="Times New Roman" w:cs="Times New Roman"/>
          <w:sz w:val="24"/>
          <w:szCs w:val="24"/>
        </w:rPr>
        <w:t xml:space="preserve">make use of it.  </w:t>
      </w:r>
      <w:r w:rsidRPr="007B0913">
        <w:rPr>
          <w:rFonts w:ascii="Times New Roman" w:hAnsi="Times New Roman" w:cs="Times New Roman"/>
          <w:sz w:val="24"/>
          <w:szCs w:val="24"/>
        </w:rPr>
        <w:t xml:space="preserve">If </w:t>
      </w:r>
      <w:r w:rsidR="004D77F0" w:rsidRPr="007B0913">
        <w:rPr>
          <w:rFonts w:ascii="Times New Roman" w:hAnsi="Times New Roman" w:cs="Times New Roman"/>
          <w:sz w:val="24"/>
          <w:szCs w:val="24"/>
        </w:rPr>
        <w:t xml:space="preserve">that were the true explanation, it </w:t>
      </w:r>
      <w:r w:rsidRPr="007B0913">
        <w:rPr>
          <w:rFonts w:ascii="Times New Roman" w:hAnsi="Times New Roman" w:cs="Times New Roman"/>
          <w:sz w:val="24"/>
          <w:szCs w:val="24"/>
        </w:rPr>
        <w:t xml:space="preserve">would be a sad state of affairs.  </w:t>
      </w:r>
    </w:p>
    <w:p w14:paraId="56752BD3" w14:textId="638F50D3" w:rsidR="00685D3E" w:rsidRPr="007B0913" w:rsidRDefault="004D77F0" w:rsidP="006B2E41">
      <w:pPr>
        <w:spacing w:after="240" w:line="360" w:lineRule="auto"/>
        <w:ind w:firstLine="720"/>
        <w:jc w:val="both"/>
        <w:rPr>
          <w:rFonts w:ascii="Times New Roman" w:hAnsi="Times New Roman" w:cs="Times New Roman"/>
          <w:sz w:val="24"/>
          <w:szCs w:val="24"/>
        </w:rPr>
      </w:pPr>
      <w:r w:rsidRPr="007B0913">
        <w:rPr>
          <w:rFonts w:ascii="Times New Roman" w:hAnsi="Times New Roman" w:cs="Times New Roman"/>
          <w:sz w:val="24"/>
          <w:szCs w:val="24"/>
        </w:rPr>
        <w:t>There is an alternative explanation.  The</w:t>
      </w:r>
      <w:r w:rsidR="00204E59" w:rsidRPr="007B0913">
        <w:rPr>
          <w:rFonts w:ascii="Times New Roman" w:hAnsi="Times New Roman" w:cs="Times New Roman"/>
          <w:sz w:val="24"/>
          <w:szCs w:val="24"/>
        </w:rPr>
        <w:t xml:space="preserve"> paucity of legal challenges brought </w:t>
      </w:r>
      <w:r w:rsidRPr="007B0913">
        <w:rPr>
          <w:rFonts w:ascii="Times New Roman" w:hAnsi="Times New Roman" w:cs="Times New Roman"/>
          <w:sz w:val="24"/>
          <w:szCs w:val="24"/>
        </w:rPr>
        <w:t xml:space="preserve">in criminal cases </w:t>
      </w:r>
      <w:r w:rsidR="00204E59" w:rsidRPr="007B0913">
        <w:rPr>
          <w:rFonts w:ascii="Times New Roman" w:hAnsi="Times New Roman" w:cs="Times New Roman"/>
          <w:sz w:val="24"/>
          <w:szCs w:val="24"/>
        </w:rPr>
        <w:t>in reliance upon the Charter</w:t>
      </w:r>
      <w:r w:rsidRPr="007B0913">
        <w:rPr>
          <w:rFonts w:ascii="Times New Roman" w:hAnsi="Times New Roman" w:cs="Times New Roman"/>
          <w:sz w:val="24"/>
          <w:szCs w:val="24"/>
        </w:rPr>
        <w:t xml:space="preserve"> </w:t>
      </w:r>
      <w:r w:rsidR="0053068E" w:rsidRPr="007B0913">
        <w:rPr>
          <w:rFonts w:ascii="Times New Roman" w:hAnsi="Times New Roman" w:cs="Times New Roman"/>
          <w:sz w:val="24"/>
          <w:szCs w:val="24"/>
        </w:rPr>
        <w:t>may simply reflect the</w:t>
      </w:r>
      <w:r w:rsidRPr="007B0913">
        <w:rPr>
          <w:rFonts w:ascii="Times New Roman" w:hAnsi="Times New Roman" w:cs="Times New Roman"/>
          <w:sz w:val="24"/>
          <w:szCs w:val="24"/>
        </w:rPr>
        <w:t xml:space="preserve"> fact that, by and large, trials in Victoria are conducted fairly, in </w:t>
      </w:r>
      <w:r w:rsidR="00306E9D" w:rsidRPr="007B0913">
        <w:rPr>
          <w:rFonts w:ascii="Times New Roman" w:hAnsi="Times New Roman" w:cs="Times New Roman"/>
          <w:sz w:val="24"/>
          <w:szCs w:val="24"/>
        </w:rPr>
        <w:t xml:space="preserve">substantial </w:t>
      </w:r>
      <w:r w:rsidRPr="007B0913">
        <w:rPr>
          <w:rFonts w:ascii="Times New Roman" w:hAnsi="Times New Roman" w:cs="Times New Roman"/>
          <w:sz w:val="24"/>
          <w:szCs w:val="24"/>
        </w:rPr>
        <w:t>compliance with</w:t>
      </w:r>
      <w:r w:rsidR="00306E9D" w:rsidRPr="007B0913">
        <w:rPr>
          <w:rFonts w:ascii="Times New Roman" w:hAnsi="Times New Roman" w:cs="Times New Roman"/>
          <w:sz w:val="24"/>
          <w:szCs w:val="24"/>
        </w:rPr>
        <w:t xml:space="preserve"> the rights set out in </w:t>
      </w:r>
      <w:proofErr w:type="spellStart"/>
      <w:r w:rsidR="00306E9D" w:rsidRPr="007B0913">
        <w:rPr>
          <w:rFonts w:ascii="Times New Roman" w:hAnsi="Times New Roman" w:cs="Times New Roman"/>
          <w:sz w:val="24"/>
          <w:szCs w:val="24"/>
        </w:rPr>
        <w:t>ss</w:t>
      </w:r>
      <w:proofErr w:type="spellEnd"/>
      <w:r w:rsidR="00306E9D" w:rsidRPr="007B0913">
        <w:rPr>
          <w:rFonts w:ascii="Times New Roman" w:hAnsi="Times New Roman" w:cs="Times New Roman"/>
          <w:sz w:val="24"/>
          <w:szCs w:val="24"/>
        </w:rPr>
        <w:t xml:space="preserve"> 21 to 27.  In that sense, one should not underestimate the strength of the</w:t>
      </w:r>
      <w:r w:rsidRPr="007B0913">
        <w:rPr>
          <w:rFonts w:ascii="Times New Roman" w:hAnsi="Times New Roman" w:cs="Times New Roman"/>
          <w:sz w:val="24"/>
          <w:szCs w:val="24"/>
        </w:rPr>
        <w:t xml:space="preserve"> </w:t>
      </w:r>
      <w:r w:rsidR="000F7947" w:rsidRPr="007B0913">
        <w:rPr>
          <w:rFonts w:ascii="Times New Roman" w:hAnsi="Times New Roman" w:cs="Times New Roman"/>
          <w:sz w:val="24"/>
          <w:szCs w:val="24"/>
        </w:rPr>
        <w:t>common law in</w:t>
      </w:r>
      <w:r w:rsidR="00306E9D" w:rsidRPr="007B0913">
        <w:rPr>
          <w:rFonts w:ascii="Times New Roman" w:hAnsi="Times New Roman" w:cs="Times New Roman"/>
          <w:sz w:val="24"/>
          <w:szCs w:val="24"/>
        </w:rPr>
        <w:t xml:space="preserve"> providing for the protection of the rights of the accused. </w:t>
      </w:r>
    </w:p>
    <w:p w14:paraId="0EF4650C" w14:textId="5DC31A8A" w:rsidR="004D7804" w:rsidRPr="007B0913" w:rsidRDefault="004D7804" w:rsidP="006B2E41">
      <w:pPr>
        <w:ind w:firstLine="720"/>
        <w:jc w:val="center"/>
        <w:rPr>
          <w:rFonts w:ascii="Times New Roman" w:hAnsi="Times New Roman" w:cs="Times New Roman"/>
          <w:sz w:val="24"/>
          <w:szCs w:val="24"/>
        </w:rPr>
      </w:pPr>
      <w:r w:rsidRPr="007B0913">
        <w:rPr>
          <w:rFonts w:ascii="Times New Roman" w:hAnsi="Times New Roman" w:cs="Times New Roman"/>
          <w:sz w:val="24"/>
          <w:szCs w:val="24"/>
        </w:rPr>
        <w:t>- - - - -</w:t>
      </w:r>
    </w:p>
    <w:sectPr w:rsidR="004D7804" w:rsidRPr="007B091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47790" w14:textId="77777777" w:rsidR="004351E2" w:rsidRDefault="004351E2" w:rsidP="00D90124">
      <w:pPr>
        <w:spacing w:after="0" w:line="240" w:lineRule="auto"/>
      </w:pPr>
      <w:r>
        <w:separator/>
      </w:r>
    </w:p>
  </w:endnote>
  <w:endnote w:type="continuationSeparator" w:id="0">
    <w:p w14:paraId="0EBA98AC" w14:textId="77777777" w:rsidR="004351E2" w:rsidRDefault="004351E2" w:rsidP="00D9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567683"/>
      <w:docPartObj>
        <w:docPartGallery w:val="Page Numbers (Bottom of Page)"/>
        <w:docPartUnique/>
      </w:docPartObj>
    </w:sdtPr>
    <w:sdtEndPr>
      <w:rPr>
        <w:rFonts w:ascii="Times New Roman" w:hAnsi="Times New Roman" w:cs="Times New Roman"/>
        <w:noProof/>
      </w:rPr>
    </w:sdtEndPr>
    <w:sdtContent>
      <w:p w14:paraId="6C21F199" w14:textId="0FD40FF6" w:rsidR="004351E2" w:rsidRPr="006919EE" w:rsidRDefault="004351E2" w:rsidP="00D74FE5">
        <w:pPr>
          <w:pStyle w:val="Footer"/>
          <w:jc w:val="right"/>
          <w:rPr>
            <w:rFonts w:ascii="Times New Roman" w:hAnsi="Times New Roman" w:cs="Times New Roman"/>
          </w:rPr>
        </w:pPr>
        <w:r w:rsidRPr="006919EE">
          <w:rPr>
            <w:rFonts w:ascii="Times New Roman" w:hAnsi="Times New Roman" w:cs="Times New Roman"/>
            <w:sz w:val="20"/>
            <w:szCs w:val="20"/>
          </w:rPr>
          <w:fldChar w:fldCharType="begin"/>
        </w:r>
        <w:r w:rsidRPr="006919EE">
          <w:rPr>
            <w:rFonts w:ascii="Times New Roman" w:hAnsi="Times New Roman" w:cs="Times New Roman"/>
            <w:sz w:val="20"/>
            <w:szCs w:val="20"/>
          </w:rPr>
          <w:instrText xml:space="preserve"> PAGE   \* MERGEFORMAT </w:instrText>
        </w:r>
        <w:r w:rsidRPr="006919EE">
          <w:rPr>
            <w:rFonts w:ascii="Times New Roman" w:hAnsi="Times New Roman" w:cs="Times New Roman"/>
            <w:sz w:val="20"/>
            <w:szCs w:val="20"/>
          </w:rPr>
          <w:fldChar w:fldCharType="separate"/>
        </w:r>
        <w:r w:rsidR="000440A7">
          <w:rPr>
            <w:rFonts w:ascii="Times New Roman" w:hAnsi="Times New Roman" w:cs="Times New Roman"/>
            <w:noProof/>
            <w:sz w:val="20"/>
            <w:szCs w:val="20"/>
          </w:rPr>
          <w:t>20</w:t>
        </w:r>
        <w:r w:rsidRPr="006919EE">
          <w:rPr>
            <w:rFonts w:ascii="Times New Roman" w:hAnsi="Times New Roman" w:cs="Times New Roman"/>
            <w:noProof/>
            <w:sz w:val="20"/>
            <w:szCs w:val="20"/>
          </w:rPr>
          <w:fldChar w:fldCharType="end"/>
        </w:r>
      </w:p>
    </w:sdtContent>
  </w:sdt>
  <w:p w14:paraId="401F6A85" w14:textId="77777777" w:rsidR="004351E2" w:rsidRDefault="00435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3F415" w14:textId="77777777" w:rsidR="004351E2" w:rsidRDefault="004351E2" w:rsidP="00D90124">
      <w:pPr>
        <w:spacing w:after="0" w:line="240" w:lineRule="auto"/>
      </w:pPr>
      <w:r>
        <w:separator/>
      </w:r>
    </w:p>
  </w:footnote>
  <w:footnote w:type="continuationSeparator" w:id="0">
    <w:p w14:paraId="4CE8D4AC" w14:textId="77777777" w:rsidR="004351E2" w:rsidRDefault="004351E2" w:rsidP="00D90124">
      <w:pPr>
        <w:spacing w:after="0" w:line="240" w:lineRule="auto"/>
      </w:pPr>
      <w:r>
        <w:continuationSeparator/>
      </w:r>
    </w:p>
  </w:footnote>
  <w:footnote w:id="1">
    <w:p w14:paraId="2CD5018F" w14:textId="7EAC59A7" w:rsidR="004351E2" w:rsidRPr="007B0913" w:rsidRDefault="004351E2" w:rsidP="00C914E9">
      <w:pPr>
        <w:pStyle w:val="FootnoteText"/>
        <w:ind w:left="720" w:hanging="720"/>
        <w:rPr>
          <w:rFonts w:ascii="Times New Roman" w:hAnsi="Times New Roman" w:cs="Times New Roman"/>
        </w:rPr>
      </w:pPr>
      <w:r w:rsidRPr="007B0913">
        <w:rPr>
          <w:rStyle w:val="FootnoteReference"/>
          <w:rFonts w:ascii="Times New Roman" w:hAnsi="Times New Roman" w:cs="Times New Roman"/>
        </w:rPr>
        <w:sym w:font="Symbol" w:char="F02A"/>
      </w:r>
      <w:r w:rsidRPr="007B0913">
        <w:rPr>
          <w:rFonts w:ascii="Times New Roman" w:hAnsi="Times New Roman" w:cs="Times New Roman"/>
        </w:rPr>
        <w:t xml:space="preserve"> </w:t>
      </w:r>
      <w:r w:rsidRPr="007B0913">
        <w:rPr>
          <w:rFonts w:ascii="Times New Roman" w:hAnsi="Times New Roman" w:cs="Times New Roman"/>
        </w:rPr>
        <w:tab/>
        <w:t xml:space="preserve">Victorian Court of Appeal.  </w:t>
      </w:r>
      <w:r w:rsidR="00CC4CCC" w:rsidRPr="007B0913">
        <w:rPr>
          <w:rFonts w:ascii="Times New Roman" w:hAnsi="Times New Roman" w:cs="Times New Roman"/>
        </w:rPr>
        <w:t xml:space="preserve">This is a revised version of a paper presented to the Bar Association of Queensland on </w:t>
      </w:r>
      <w:r w:rsidR="007F62C9" w:rsidRPr="007B0913">
        <w:rPr>
          <w:rFonts w:ascii="Times New Roman" w:hAnsi="Times New Roman" w:cs="Times New Roman"/>
        </w:rPr>
        <w:t xml:space="preserve">27 February 2016.  </w:t>
      </w:r>
      <w:r w:rsidRPr="007B0913">
        <w:rPr>
          <w:rFonts w:ascii="Times New Roman" w:hAnsi="Times New Roman" w:cs="Times New Roman"/>
        </w:rPr>
        <w:t xml:space="preserve">The views expressed in the paper are, of course, my own.  They should not be taken to reflect the views of any other member of my Court.  I wish to acknowledge the assistance given to me in the preparation of this paper by my Associate, Louise </w:t>
      </w:r>
      <w:proofErr w:type="spellStart"/>
      <w:r w:rsidRPr="007B0913">
        <w:rPr>
          <w:rFonts w:ascii="Times New Roman" w:hAnsi="Times New Roman" w:cs="Times New Roman"/>
        </w:rPr>
        <w:t>Fedele</w:t>
      </w:r>
      <w:proofErr w:type="spellEnd"/>
      <w:r w:rsidRPr="007B0913">
        <w:rPr>
          <w:rFonts w:ascii="Times New Roman" w:hAnsi="Times New Roman" w:cs="Times New Roman"/>
        </w:rPr>
        <w:t>.</w:t>
      </w:r>
    </w:p>
  </w:footnote>
  <w:footnote w:id="2">
    <w:p w14:paraId="1AA36D92" w14:textId="63C4218D" w:rsidR="004351E2" w:rsidRPr="007B0913" w:rsidRDefault="004351E2" w:rsidP="00C914E9">
      <w:pPr>
        <w:pStyle w:val="FootnoteText"/>
        <w:ind w:left="720" w:hanging="720"/>
        <w:rPr>
          <w:rFonts w:ascii="Times New Roman" w:hAnsi="Times New Roman" w:cs="Times New Roman"/>
        </w:rPr>
      </w:pPr>
      <w:r w:rsidRPr="007B0913">
        <w:rPr>
          <w:rStyle w:val="FootnoteReference"/>
          <w:rFonts w:ascii="Times New Roman" w:hAnsi="Times New Roman" w:cs="Times New Roman"/>
        </w:rPr>
        <w:footnoteRef/>
      </w:r>
      <w:r w:rsidRPr="007B0913">
        <w:rPr>
          <w:rFonts w:ascii="Times New Roman" w:hAnsi="Times New Roman" w:cs="Times New Roman"/>
        </w:rPr>
        <w:t xml:space="preserve"> </w:t>
      </w:r>
      <w:r w:rsidRPr="007B0913">
        <w:rPr>
          <w:rFonts w:ascii="Times New Roman" w:hAnsi="Times New Roman" w:cs="Times New Roman"/>
        </w:rPr>
        <w:tab/>
        <w:t xml:space="preserve">Professor of Public International Law at the Graduate Institute of International and Development Studies, Geneva. </w:t>
      </w:r>
    </w:p>
  </w:footnote>
  <w:footnote w:id="3">
    <w:p w14:paraId="52277751" w14:textId="764806AB" w:rsidR="004351E2" w:rsidRPr="007B0913" w:rsidRDefault="004351E2" w:rsidP="00C914E9">
      <w:pPr>
        <w:pStyle w:val="FootnoteText"/>
        <w:ind w:left="720" w:hanging="720"/>
        <w:rPr>
          <w:rFonts w:ascii="Times New Roman" w:hAnsi="Times New Roman" w:cs="Times New Roman"/>
        </w:rPr>
      </w:pPr>
      <w:r w:rsidRPr="007B0913">
        <w:rPr>
          <w:rStyle w:val="FootnoteReference"/>
          <w:rFonts w:ascii="Times New Roman" w:hAnsi="Times New Roman" w:cs="Times New Roman"/>
        </w:rPr>
        <w:footnoteRef/>
      </w:r>
      <w:r w:rsidRPr="007B0913">
        <w:rPr>
          <w:rFonts w:ascii="Times New Roman" w:hAnsi="Times New Roman" w:cs="Times New Roman"/>
        </w:rPr>
        <w:t xml:space="preserve"> </w:t>
      </w:r>
      <w:r w:rsidRPr="007B0913">
        <w:rPr>
          <w:rFonts w:ascii="Times New Roman" w:hAnsi="Times New Roman" w:cs="Times New Roman"/>
        </w:rPr>
        <w:tab/>
        <w:t xml:space="preserve">Andrew Clapham, </w:t>
      </w:r>
      <w:r w:rsidRPr="007B0913">
        <w:rPr>
          <w:rFonts w:ascii="Times New Roman" w:hAnsi="Times New Roman" w:cs="Times New Roman"/>
          <w:i/>
        </w:rPr>
        <w:t>Human Rights: A Very Short Introduction</w:t>
      </w:r>
      <w:r w:rsidRPr="007B0913">
        <w:rPr>
          <w:rFonts w:ascii="Times New Roman" w:hAnsi="Times New Roman" w:cs="Times New Roman"/>
        </w:rPr>
        <w:t xml:space="preserve"> (Oxford University Press,</w:t>
      </w:r>
      <w:r w:rsidRPr="007B0913">
        <w:rPr>
          <w:rFonts w:ascii="Times New Roman" w:hAnsi="Times New Roman" w:cs="Times New Roman"/>
          <w:i/>
        </w:rPr>
        <w:t xml:space="preserve"> </w:t>
      </w:r>
      <w:r w:rsidRPr="007B0913">
        <w:rPr>
          <w:rFonts w:ascii="Times New Roman" w:hAnsi="Times New Roman" w:cs="Times New Roman"/>
        </w:rPr>
        <w:t>2015) 1.</w:t>
      </w:r>
    </w:p>
  </w:footnote>
  <w:footnote w:id="4">
    <w:p w14:paraId="56596B55" w14:textId="1AA54359" w:rsidR="004351E2" w:rsidRPr="00C914E9" w:rsidRDefault="004351E2" w:rsidP="00C914E9">
      <w:pPr>
        <w:pStyle w:val="FootnoteText"/>
        <w:ind w:left="720" w:hanging="720"/>
        <w:rPr>
          <w:rFonts w:ascii="Book Antiqua" w:hAnsi="Book Antiqua"/>
        </w:rPr>
      </w:pPr>
      <w:r w:rsidRPr="007B0913">
        <w:rPr>
          <w:rStyle w:val="FootnoteReference"/>
          <w:rFonts w:ascii="Times New Roman" w:hAnsi="Times New Roman" w:cs="Times New Roman"/>
        </w:rPr>
        <w:footnoteRef/>
      </w:r>
      <w:r w:rsidRPr="007B0913">
        <w:rPr>
          <w:rFonts w:ascii="Times New Roman" w:hAnsi="Times New Roman" w:cs="Times New Roman"/>
        </w:rPr>
        <w:t xml:space="preserve"> </w:t>
      </w:r>
      <w:r w:rsidRPr="007B0913">
        <w:rPr>
          <w:rFonts w:ascii="Times New Roman" w:hAnsi="Times New Roman" w:cs="Times New Roman"/>
        </w:rPr>
        <w:tab/>
        <w:t>Ibid.  Currently, in some quarters, the term ‘human rights lobby’ is used as a term of derision.</w:t>
      </w:r>
      <w:r w:rsidRPr="00C914E9">
        <w:rPr>
          <w:rFonts w:ascii="Book Antiqua" w:hAnsi="Book Antiqua"/>
        </w:rPr>
        <w:t xml:space="preserve">  </w:t>
      </w:r>
    </w:p>
  </w:footnote>
  <w:footnote w:id="5">
    <w:p w14:paraId="205F9BF4" w14:textId="04F0A9E0" w:rsidR="004351E2" w:rsidRPr="007B0913" w:rsidRDefault="004351E2" w:rsidP="00C914E9">
      <w:pPr>
        <w:pStyle w:val="FootnoteText"/>
        <w:ind w:left="720" w:hanging="720"/>
        <w:rPr>
          <w:rFonts w:ascii="Times New Roman" w:hAnsi="Times New Roman" w:cs="Times New Roman"/>
        </w:rPr>
      </w:pPr>
      <w:r w:rsidRPr="007B0913">
        <w:rPr>
          <w:rStyle w:val="FootnoteReference"/>
          <w:rFonts w:ascii="Times New Roman" w:hAnsi="Times New Roman" w:cs="Times New Roman"/>
        </w:rPr>
        <w:footnoteRef/>
      </w:r>
      <w:r w:rsidRPr="007B0913">
        <w:rPr>
          <w:rFonts w:ascii="Times New Roman" w:hAnsi="Times New Roman" w:cs="Times New Roman"/>
        </w:rPr>
        <w:t xml:space="preserve"> </w:t>
      </w:r>
      <w:r w:rsidRPr="007B0913">
        <w:rPr>
          <w:rFonts w:ascii="Times New Roman" w:hAnsi="Times New Roman" w:cs="Times New Roman"/>
        </w:rPr>
        <w:tab/>
        <w:t xml:space="preserve">Ibid 3-4.  </w:t>
      </w:r>
    </w:p>
  </w:footnote>
  <w:footnote w:id="6">
    <w:p w14:paraId="4D78287E" w14:textId="34BA8E33" w:rsidR="004351E2" w:rsidRPr="007B0913" w:rsidRDefault="004351E2" w:rsidP="00C914E9">
      <w:pPr>
        <w:pStyle w:val="FootnoteText"/>
        <w:ind w:left="720" w:hanging="720"/>
        <w:rPr>
          <w:rFonts w:ascii="Times New Roman" w:hAnsi="Times New Roman" w:cs="Times New Roman"/>
        </w:rPr>
      </w:pPr>
      <w:r w:rsidRPr="007B0913">
        <w:rPr>
          <w:rStyle w:val="FootnoteReference"/>
          <w:rFonts w:ascii="Times New Roman" w:hAnsi="Times New Roman" w:cs="Times New Roman"/>
        </w:rPr>
        <w:footnoteRef/>
      </w:r>
      <w:r w:rsidRPr="007B0913">
        <w:rPr>
          <w:rFonts w:ascii="Times New Roman" w:hAnsi="Times New Roman" w:cs="Times New Roman"/>
        </w:rPr>
        <w:t xml:space="preserve"> </w:t>
      </w:r>
      <w:r w:rsidRPr="007B0913">
        <w:rPr>
          <w:rFonts w:ascii="Times New Roman" w:hAnsi="Times New Roman" w:cs="Times New Roman"/>
        </w:rPr>
        <w:tab/>
        <w:t xml:space="preserve">The Australian Capital Territory enacted its own Bill of Rights in 2004, the </w:t>
      </w:r>
      <w:r w:rsidRPr="007B0913">
        <w:rPr>
          <w:rFonts w:ascii="Times New Roman" w:hAnsi="Times New Roman" w:cs="Times New Roman"/>
          <w:i/>
        </w:rPr>
        <w:t xml:space="preserve">Human Rights Act 2004 </w:t>
      </w:r>
      <w:r w:rsidRPr="007B0913">
        <w:rPr>
          <w:rFonts w:ascii="Times New Roman" w:hAnsi="Times New Roman" w:cs="Times New Roman"/>
        </w:rPr>
        <w:t xml:space="preserve">(ACT). Not surprisingly, in a jurisdiction as small of that of the ACT, there has been little case law arising from that Act. </w:t>
      </w:r>
    </w:p>
  </w:footnote>
  <w:footnote w:id="7">
    <w:p w14:paraId="7CCAF775" w14:textId="64F77468" w:rsidR="004351E2" w:rsidRPr="007B0913" w:rsidRDefault="004351E2" w:rsidP="007B0913">
      <w:pPr>
        <w:pStyle w:val="FootnoteText"/>
        <w:ind w:left="720"/>
        <w:rPr>
          <w:rFonts w:ascii="Times New Roman" w:hAnsi="Times New Roman" w:cs="Times New Roman"/>
        </w:rPr>
      </w:pPr>
      <w:r w:rsidRPr="007B0913">
        <w:rPr>
          <w:rFonts w:ascii="Times New Roman" w:hAnsi="Times New Roman" w:cs="Times New Roman"/>
        </w:rPr>
        <w:t xml:space="preserve">Queensland is presently considering whether to introduce statutory protection for human </w:t>
      </w:r>
      <w:r w:rsidRPr="007B0913">
        <w:rPr>
          <w:rFonts w:ascii="Times New Roman" w:hAnsi="Times New Roman" w:cs="Times New Roman"/>
        </w:rPr>
        <w:tab/>
        <w:t xml:space="preserve">rights and, as I understand the position, the government is receiving submissions on that matter at this very time. </w:t>
      </w:r>
    </w:p>
  </w:footnote>
  <w:footnote w:id="8">
    <w:p w14:paraId="3901C097" w14:textId="44E9DE9D" w:rsidR="004351E2" w:rsidRPr="007B0913" w:rsidRDefault="004351E2" w:rsidP="000A6148">
      <w:pPr>
        <w:autoSpaceDE w:val="0"/>
        <w:autoSpaceDN w:val="0"/>
        <w:adjustRightInd w:val="0"/>
        <w:spacing w:after="0" w:line="240" w:lineRule="auto"/>
        <w:rPr>
          <w:rFonts w:ascii="Times New Roman" w:hAnsi="Times New Roman" w:cs="Times New Roman"/>
          <w:sz w:val="24"/>
          <w:szCs w:val="24"/>
        </w:rPr>
      </w:pPr>
      <w:r w:rsidRPr="007B0913">
        <w:rPr>
          <w:rStyle w:val="FootnoteReference"/>
          <w:rFonts w:ascii="Times New Roman" w:hAnsi="Times New Roman" w:cs="Times New Roman"/>
        </w:rPr>
        <w:footnoteRef/>
      </w:r>
      <w:r w:rsidRPr="007B0913">
        <w:rPr>
          <w:rFonts w:ascii="Times New Roman" w:hAnsi="Times New Roman" w:cs="Times New Roman"/>
        </w:rPr>
        <w:t xml:space="preserve"> </w:t>
      </w:r>
      <w:r w:rsidRPr="007B0913">
        <w:rPr>
          <w:rFonts w:ascii="Times New Roman" w:hAnsi="Times New Roman" w:cs="Times New Roman"/>
        </w:rPr>
        <w:tab/>
      </w:r>
      <w:r w:rsidRPr="007B0913">
        <w:rPr>
          <w:rFonts w:ascii="Times New Roman" w:hAnsi="Times New Roman" w:cs="Times New Roman"/>
          <w:sz w:val="20"/>
          <w:szCs w:val="20"/>
        </w:rPr>
        <w:t xml:space="preserve">The Charter s 2(2).  </w:t>
      </w:r>
      <w:r w:rsidR="000A6148" w:rsidRPr="007B0913">
        <w:rPr>
          <w:rFonts w:ascii="Times New Roman" w:hAnsi="Times New Roman" w:cs="Times New Roman"/>
          <w:sz w:val="20"/>
          <w:szCs w:val="20"/>
        </w:rPr>
        <w:t>Divisions 3 and 4 of Part 3 come into operation on 1 January 2008.</w:t>
      </w:r>
    </w:p>
  </w:footnote>
  <w:footnote w:id="9">
    <w:p w14:paraId="48B57713" w14:textId="0EC25378" w:rsidR="004351E2" w:rsidRPr="007B0913" w:rsidRDefault="004351E2">
      <w:pPr>
        <w:pStyle w:val="FootnoteText"/>
        <w:rPr>
          <w:rFonts w:ascii="Times New Roman" w:hAnsi="Times New Roman" w:cs="Times New Roman"/>
          <w:i/>
        </w:rPr>
      </w:pPr>
      <w:r w:rsidRPr="007B0913">
        <w:rPr>
          <w:rStyle w:val="FootnoteReference"/>
          <w:rFonts w:ascii="Times New Roman" w:hAnsi="Times New Roman" w:cs="Times New Roman"/>
        </w:rPr>
        <w:footnoteRef/>
      </w:r>
      <w:r w:rsidRPr="007B0913">
        <w:rPr>
          <w:rFonts w:ascii="Times New Roman" w:hAnsi="Times New Roman" w:cs="Times New Roman"/>
        </w:rPr>
        <w:t xml:space="preserve"> </w:t>
      </w:r>
      <w:r w:rsidRPr="007B0913">
        <w:rPr>
          <w:rFonts w:ascii="Times New Roman" w:hAnsi="Times New Roman" w:cs="Times New Roman"/>
        </w:rPr>
        <w:tab/>
      </w:r>
      <w:r w:rsidR="00DD3378" w:rsidRPr="007B0913">
        <w:rPr>
          <w:rFonts w:ascii="Times New Roman" w:hAnsi="Times New Roman" w:cs="Times New Roman"/>
          <w:i/>
        </w:rPr>
        <w:t xml:space="preserve">Canada Act 1982 </w:t>
      </w:r>
      <w:r w:rsidR="00DD3378" w:rsidRPr="007B0913">
        <w:rPr>
          <w:rFonts w:ascii="Times New Roman" w:hAnsi="Times New Roman" w:cs="Times New Roman"/>
        </w:rPr>
        <w:t xml:space="preserve">(UK) c 11, </w:t>
      </w:r>
      <w:proofErr w:type="spellStart"/>
      <w:r w:rsidR="00DD3378" w:rsidRPr="007B0913">
        <w:rPr>
          <w:rFonts w:ascii="Times New Roman" w:hAnsi="Times New Roman" w:cs="Times New Roman"/>
        </w:rPr>
        <w:t>sch</w:t>
      </w:r>
      <w:proofErr w:type="spellEnd"/>
      <w:r w:rsidR="00DD3378" w:rsidRPr="007B0913">
        <w:rPr>
          <w:rFonts w:ascii="Times New Roman" w:hAnsi="Times New Roman" w:cs="Times New Roman"/>
        </w:rPr>
        <w:t xml:space="preserve"> B </w:t>
      </w:r>
      <w:proofErr w:type="spellStart"/>
      <w:r w:rsidR="00DD3378" w:rsidRPr="007B0913">
        <w:rPr>
          <w:rFonts w:ascii="Times New Roman" w:hAnsi="Times New Roman" w:cs="Times New Roman"/>
        </w:rPr>
        <w:t>pt</w:t>
      </w:r>
      <w:proofErr w:type="spellEnd"/>
      <w:r w:rsidR="00DD3378" w:rsidRPr="007B0913">
        <w:rPr>
          <w:rFonts w:ascii="Times New Roman" w:hAnsi="Times New Roman" w:cs="Times New Roman"/>
        </w:rPr>
        <w:t xml:space="preserve"> I</w:t>
      </w:r>
      <w:r w:rsidR="00DD3378" w:rsidRPr="007B0913">
        <w:rPr>
          <w:rFonts w:ascii="Times New Roman" w:hAnsi="Times New Roman" w:cs="Times New Roman"/>
          <w:i/>
        </w:rPr>
        <w:t xml:space="preserve"> (</w:t>
      </w:r>
      <w:r w:rsidR="00DD3378" w:rsidRPr="007B0913">
        <w:rPr>
          <w:rFonts w:ascii="Times New Roman" w:hAnsi="Times New Roman" w:cs="Times New Roman"/>
        </w:rPr>
        <w:t>‘Canadian Charter of Rights and Freedoms’</w:t>
      </w:r>
      <w:r w:rsidR="00DD3378" w:rsidRPr="007B0913">
        <w:rPr>
          <w:rFonts w:ascii="Times New Roman" w:hAnsi="Times New Roman" w:cs="Times New Roman"/>
          <w:i/>
        </w:rPr>
        <w:t>).</w:t>
      </w:r>
    </w:p>
  </w:footnote>
  <w:footnote w:id="10">
    <w:p w14:paraId="6999FA4F" w14:textId="76C81412" w:rsidR="004351E2" w:rsidRPr="007B0913" w:rsidRDefault="004351E2">
      <w:pPr>
        <w:pStyle w:val="FootnoteText"/>
        <w:rPr>
          <w:rFonts w:ascii="Times New Roman" w:hAnsi="Times New Roman" w:cs="Times New Roman"/>
        </w:rPr>
      </w:pPr>
      <w:r w:rsidRPr="007B0913">
        <w:rPr>
          <w:rStyle w:val="FootnoteReference"/>
          <w:rFonts w:ascii="Times New Roman" w:hAnsi="Times New Roman" w:cs="Times New Roman"/>
        </w:rPr>
        <w:footnoteRef/>
      </w:r>
      <w:r w:rsidRPr="007B0913">
        <w:rPr>
          <w:rFonts w:ascii="Times New Roman" w:hAnsi="Times New Roman" w:cs="Times New Roman"/>
        </w:rPr>
        <w:t xml:space="preserve"> </w:t>
      </w:r>
      <w:r w:rsidRPr="007B0913">
        <w:rPr>
          <w:rFonts w:ascii="Times New Roman" w:hAnsi="Times New Roman" w:cs="Times New Roman"/>
        </w:rPr>
        <w:tab/>
      </w:r>
      <w:r w:rsidR="000F7F55" w:rsidRPr="007B0913">
        <w:rPr>
          <w:rFonts w:ascii="Times New Roman" w:hAnsi="Times New Roman" w:cs="Times New Roman"/>
          <w:i/>
        </w:rPr>
        <w:t>New Zealand Bill of Rights Act 1990</w:t>
      </w:r>
      <w:r w:rsidR="00163954" w:rsidRPr="007B0913">
        <w:rPr>
          <w:rFonts w:ascii="Times New Roman" w:hAnsi="Times New Roman" w:cs="Times New Roman"/>
          <w:i/>
        </w:rPr>
        <w:t xml:space="preserve"> (</w:t>
      </w:r>
      <w:r w:rsidR="003343C7" w:rsidRPr="007B0913">
        <w:rPr>
          <w:rFonts w:ascii="Times New Roman" w:hAnsi="Times New Roman" w:cs="Times New Roman"/>
        </w:rPr>
        <w:t xml:space="preserve">NZ). </w:t>
      </w:r>
    </w:p>
  </w:footnote>
  <w:footnote w:id="11">
    <w:p w14:paraId="462FA1EC" w14:textId="14C18CB3" w:rsidR="004351E2" w:rsidRPr="007B0913" w:rsidRDefault="004351E2">
      <w:pPr>
        <w:pStyle w:val="FootnoteText"/>
        <w:rPr>
          <w:rFonts w:ascii="Times New Roman" w:hAnsi="Times New Roman" w:cs="Times New Roman"/>
        </w:rPr>
      </w:pPr>
      <w:r w:rsidRPr="007B0913">
        <w:rPr>
          <w:rStyle w:val="FootnoteReference"/>
          <w:rFonts w:ascii="Times New Roman" w:hAnsi="Times New Roman" w:cs="Times New Roman"/>
        </w:rPr>
        <w:footnoteRef/>
      </w:r>
      <w:r w:rsidRPr="007B0913">
        <w:rPr>
          <w:rFonts w:ascii="Times New Roman" w:hAnsi="Times New Roman" w:cs="Times New Roman"/>
        </w:rPr>
        <w:t xml:space="preserve"> </w:t>
      </w:r>
      <w:r w:rsidRPr="007B0913">
        <w:rPr>
          <w:rFonts w:ascii="Times New Roman" w:hAnsi="Times New Roman" w:cs="Times New Roman"/>
        </w:rPr>
        <w:tab/>
      </w:r>
      <w:r w:rsidR="00635F4A" w:rsidRPr="007B0913">
        <w:rPr>
          <w:rFonts w:ascii="Times New Roman" w:hAnsi="Times New Roman" w:cs="Times New Roman"/>
          <w:i/>
        </w:rPr>
        <w:t>Human Rights Act 1998</w:t>
      </w:r>
      <w:r w:rsidR="00635F4A" w:rsidRPr="007B0913">
        <w:rPr>
          <w:rFonts w:ascii="Times New Roman" w:hAnsi="Times New Roman" w:cs="Times New Roman"/>
        </w:rPr>
        <w:t xml:space="preserve"> (UK)</w:t>
      </w:r>
      <w:r w:rsidR="00D5156C" w:rsidRPr="007B0913">
        <w:rPr>
          <w:rFonts w:ascii="Times New Roman" w:hAnsi="Times New Roman" w:cs="Times New Roman"/>
        </w:rPr>
        <w:t xml:space="preserve"> (‘the UK Act’).</w:t>
      </w:r>
    </w:p>
  </w:footnote>
  <w:footnote w:id="12">
    <w:p w14:paraId="15B65539" w14:textId="40A90FF8" w:rsidR="004351E2" w:rsidRPr="00BF1833" w:rsidRDefault="004351E2" w:rsidP="00C914E9">
      <w:pPr>
        <w:pStyle w:val="FootnoteText"/>
        <w:ind w:left="720" w:hanging="720"/>
      </w:pPr>
      <w:r w:rsidRPr="007B0913">
        <w:rPr>
          <w:rStyle w:val="FootnoteReference"/>
          <w:rFonts w:ascii="Times New Roman" w:hAnsi="Times New Roman" w:cs="Times New Roman"/>
        </w:rPr>
        <w:footnoteRef/>
      </w:r>
      <w:r w:rsidRPr="007B0913">
        <w:rPr>
          <w:rFonts w:ascii="Times New Roman" w:hAnsi="Times New Roman" w:cs="Times New Roman"/>
        </w:rPr>
        <w:t xml:space="preserve"> </w:t>
      </w:r>
      <w:r w:rsidRPr="007B0913">
        <w:rPr>
          <w:rFonts w:ascii="Times New Roman" w:hAnsi="Times New Roman" w:cs="Times New Roman"/>
        </w:rPr>
        <w:tab/>
        <w:t xml:space="preserve">The statistical evidence suggests that the Charter was mentioned in </w:t>
      </w:r>
      <w:r w:rsidR="003D6109" w:rsidRPr="007B0913">
        <w:rPr>
          <w:rFonts w:ascii="Times New Roman" w:hAnsi="Times New Roman" w:cs="Times New Roman"/>
        </w:rPr>
        <w:t>nearly</w:t>
      </w:r>
      <w:r w:rsidRPr="007B0913">
        <w:rPr>
          <w:rFonts w:ascii="Times New Roman" w:hAnsi="Times New Roman" w:cs="Times New Roman"/>
        </w:rPr>
        <w:t xml:space="preserve"> 70 criminal cases in the Supreme Court up until December 2014. See Law Institute of Victoria, </w:t>
      </w:r>
      <w:r w:rsidRPr="007B0913">
        <w:rPr>
          <w:rFonts w:ascii="Times New Roman" w:hAnsi="Times New Roman" w:cs="Times New Roman"/>
          <w:i/>
        </w:rPr>
        <w:t>Charter Case Audit</w:t>
      </w:r>
      <w:r w:rsidRPr="007B0913">
        <w:rPr>
          <w:rFonts w:ascii="Times New Roman" w:hAnsi="Times New Roman" w:cs="Times New Roman"/>
        </w:rPr>
        <w:t xml:space="preserve"> (as at 31 December 2014) &lt;</w:t>
      </w:r>
      <w:hyperlink r:id="rId1" w:history="1">
        <w:r w:rsidRPr="007B0913">
          <w:rPr>
            <w:rStyle w:val="Hyperlink"/>
            <w:rFonts w:ascii="Times New Roman" w:hAnsi="Times New Roman" w:cs="Times New Roman"/>
          </w:rPr>
          <w:t>http://www.liv.asn.au/For-Lawyers/Submissions-and-LIV-projects/Charter-Case-Audit/Charter-Case-Audit-Search</w:t>
        </w:r>
      </w:hyperlink>
      <w:r w:rsidRPr="007B0913">
        <w:rPr>
          <w:rFonts w:ascii="Times New Roman" w:hAnsi="Times New Roman" w:cs="Times New Roman"/>
        </w:rPr>
        <w:t xml:space="preserve">&gt;. However, that figure may be misleading in the sense that it seems to include cases where the Charter was merely adverted to, or featured only peripherally.  A number of these cases involved the construction of the provisions of the </w:t>
      </w:r>
      <w:r w:rsidRPr="007B0913">
        <w:rPr>
          <w:rFonts w:ascii="Times New Roman" w:hAnsi="Times New Roman" w:cs="Times New Roman"/>
          <w:i/>
        </w:rPr>
        <w:t xml:space="preserve">Bail Act 1977 </w:t>
      </w:r>
      <w:r w:rsidRPr="007B0913">
        <w:rPr>
          <w:rFonts w:ascii="Times New Roman" w:hAnsi="Times New Roman" w:cs="Times New Roman"/>
        </w:rPr>
        <w:t>(Vic).</w:t>
      </w:r>
      <w:r>
        <w:t xml:space="preserve"> </w:t>
      </w:r>
    </w:p>
  </w:footnote>
  <w:footnote w:id="13">
    <w:p w14:paraId="0A37844F" w14:textId="75E7C6AB" w:rsidR="004351E2" w:rsidRPr="007B0913" w:rsidRDefault="004351E2" w:rsidP="00C914E9">
      <w:pPr>
        <w:pStyle w:val="FootnoteText"/>
        <w:ind w:left="720" w:hanging="720"/>
        <w:rPr>
          <w:rFonts w:ascii="Times New Roman" w:hAnsi="Times New Roman" w:cs="Times New Roman"/>
        </w:rPr>
      </w:pPr>
      <w:r w:rsidRPr="007B0913">
        <w:rPr>
          <w:rStyle w:val="FootnoteReference"/>
          <w:rFonts w:ascii="Times New Roman" w:hAnsi="Times New Roman" w:cs="Times New Roman"/>
        </w:rPr>
        <w:footnoteRef/>
      </w:r>
      <w:r w:rsidRPr="007B0913">
        <w:rPr>
          <w:rFonts w:ascii="Times New Roman" w:hAnsi="Times New Roman" w:cs="Times New Roman"/>
        </w:rPr>
        <w:t xml:space="preserve"> </w:t>
      </w:r>
      <w:r w:rsidRPr="007B0913">
        <w:rPr>
          <w:rFonts w:ascii="Times New Roman" w:hAnsi="Times New Roman" w:cs="Times New Roman"/>
        </w:rPr>
        <w:tab/>
        <w:t xml:space="preserve">Section 36 of the Charter provides that the Supreme Court can, in such a case, make what is described as a ‘declaration of inconsistent interpretation’.  Such a declaration does not affect the validity of the provision in question.  The Court of Appeal has thus far made only one such declaration and, as will be seen, the decision to grant that declaration was ultimately set aside by the High Court - see </w:t>
      </w:r>
      <w:proofErr w:type="spellStart"/>
      <w:r w:rsidRPr="007B0913">
        <w:rPr>
          <w:rFonts w:ascii="Times New Roman" w:hAnsi="Times New Roman" w:cs="Times New Roman"/>
          <w:i/>
        </w:rPr>
        <w:t>Momcilovic</w:t>
      </w:r>
      <w:proofErr w:type="spellEnd"/>
      <w:r w:rsidRPr="007B0913">
        <w:rPr>
          <w:rFonts w:ascii="Times New Roman" w:hAnsi="Times New Roman" w:cs="Times New Roman"/>
          <w:i/>
        </w:rPr>
        <w:t xml:space="preserve"> v The Queen </w:t>
      </w:r>
      <w:r w:rsidRPr="007B0913">
        <w:rPr>
          <w:rFonts w:ascii="Times New Roman" w:hAnsi="Times New Roman" w:cs="Times New Roman"/>
        </w:rPr>
        <w:t>(2011) 245 CLR 1 (‘</w:t>
      </w:r>
      <w:proofErr w:type="spellStart"/>
      <w:r w:rsidRPr="007B0913">
        <w:rPr>
          <w:rFonts w:ascii="Times New Roman" w:hAnsi="Times New Roman" w:cs="Times New Roman"/>
          <w:i/>
        </w:rPr>
        <w:t>Momcilovic</w:t>
      </w:r>
      <w:proofErr w:type="spellEnd"/>
      <w:r w:rsidRPr="007B0913">
        <w:rPr>
          <w:rFonts w:ascii="Times New Roman" w:hAnsi="Times New Roman" w:cs="Times New Roman"/>
          <w:i/>
        </w:rPr>
        <w:t>’</w:t>
      </w:r>
      <w:r w:rsidRPr="007B0913">
        <w:rPr>
          <w:rFonts w:ascii="Times New Roman" w:hAnsi="Times New Roman" w:cs="Times New Roman"/>
        </w:rPr>
        <w:t xml:space="preserve">). </w:t>
      </w:r>
    </w:p>
  </w:footnote>
  <w:footnote w:id="14">
    <w:p w14:paraId="4F123ACC" w14:textId="39BF2700" w:rsidR="004351E2" w:rsidRPr="007B0913" w:rsidRDefault="004351E2">
      <w:pPr>
        <w:pStyle w:val="FootnoteText"/>
        <w:rPr>
          <w:rFonts w:ascii="Times New Roman" w:hAnsi="Times New Roman" w:cs="Times New Roman"/>
        </w:rPr>
      </w:pPr>
      <w:r w:rsidRPr="007B0913">
        <w:rPr>
          <w:rStyle w:val="FootnoteReference"/>
          <w:rFonts w:ascii="Times New Roman" w:hAnsi="Times New Roman" w:cs="Times New Roman"/>
        </w:rPr>
        <w:footnoteRef/>
      </w:r>
      <w:r w:rsidR="00572D6F" w:rsidRPr="007B0913">
        <w:rPr>
          <w:rFonts w:ascii="Times New Roman" w:hAnsi="Times New Roman" w:cs="Times New Roman"/>
        </w:rPr>
        <w:t xml:space="preserve"> </w:t>
      </w:r>
      <w:r w:rsidR="00572D6F" w:rsidRPr="007B0913">
        <w:rPr>
          <w:rFonts w:ascii="Times New Roman" w:hAnsi="Times New Roman" w:cs="Times New Roman"/>
        </w:rPr>
        <w:tab/>
        <w:t>Note that s</w:t>
      </w:r>
      <w:r w:rsidRPr="007B0913">
        <w:rPr>
          <w:rFonts w:ascii="Times New Roman" w:hAnsi="Times New Roman" w:cs="Times New Roman"/>
        </w:rPr>
        <w:t xml:space="preserve"> 23</w:t>
      </w:r>
      <w:r w:rsidR="00572D6F" w:rsidRPr="007B0913">
        <w:rPr>
          <w:rFonts w:ascii="Times New Roman" w:hAnsi="Times New Roman" w:cs="Times New Roman"/>
        </w:rPr>
        <w:t>, not set out in this paper,</w:t>
      </w:r>
      <w:r w:rsidRPr="007B0913">
        <w:rPr>
          <w:rFonts w:ascii="Times New Roman" w:hAnsi="Times New Roman" w:cs="Times New Roman"/>
        </w:rPr>
        <w:t xml:space="preserve"> deals with the rights of children accused of criminal offences. </w:t>
      </w:r>
    </w:p>
  </w:footnote>
  <w:footnote w:id="15">
    <w:p w14:paraId="1D7C2025" w14:textId="14603C70" w:rsidR="004351E2" w:rsidRPr="006919EE" w:rsidRDefault="004351E2">
      <w:pPr>
        <w:pStyle w:val="FootnoteText"/>
        <w:rPr>
          <w:rFonts w:ascii="Times New Roman" w:hAnsi="Times New Roman" w:cs="Times New Roman"/>
          <w:i/>
        </w:rPr>
      </w:pPr>
      <w:r w:rsidRPr="006919EE">
        <w:rPr>
          <w:rStyle w:val="FootnoteReference"/>
          <w:rFonts w:ascii="Times New Roman" w:hAnsi="Times New Roman" w:cs="Times New Roman"/>
        </w:rPr>
        <w:footnoteRef/>
      </w:r>
      <w:r w:rsidRPr="006919EE">
        <w:rPr>
          <w:rFonts w:ascii="Times New Roman" w:hAnsi="Times New Roman" w:cs="Times New Roman"/>
        </w:rPr>
        <w:t xml:space="preserve"> </w:t>
      </w:r>
      <w:r w:rsidRPr="006919EE">
        <w:rPr>
          <w:rFonts w:ascii="Times New Roman" w:hAnsi="Times New Roman" w:cs="Times New Roman"/>
        </w:rPr>
        <w:tab/>
        <w:t xml:space="preserve">The </w:t>
      </w:r>
      <w:r w:rsidR="002B3DE6" w:rsidRPr="006919EE">
        <w:rPr>
          <w:rFonts w:ascii="Times New Roman" w:hAnsi="Times New Roman" w:cs="Times New Roman"/>
        </w:rPr>
        <w:t>UK Act</w:t>
      </w:r>
      <w:r w:rsidRPr="006919EE">
        <w:rPr>
          <w:rFonts w:ascii="Times New Roman" w:hAnsi="Times New Roman" w:cs="Times New Roman"/>
        </w:rPr>
        <w:t xml:space="preserve"> seems to be regularly </w:t>
      </w:r>
      <w:r w:rsidR="005B5D11" w:rsidRPr="006919EE">
        <w:rPr>
          <w:rFonts w:ascii="Times New Roman" w:hAnsi="Times New Roman" w:cs="Times New Roman"/>
        </w:rPr>
        <w:t>invoked</w:t>
      </w:r>
      <w:r w:rsidRPr="006919EE">
        <w:rPr>
          <w:rFonts w:ascii="Times New Roman" w:hAnsi="Times New Roman" w:cs="Times New Roman"/>
        </w:rPr>
        <w:t xml:space="preserve"> in criminal proceedings </w:t>
      </w:r>
      <w:r w:rsidR="005B5D11" w:rsidRPr="006919EE">
        <w:rPr>
          <w:rFonts w:ascii="Times New Roman" w:hAnsi="Times New Roman" w:cs="Times New Roman"/>
        </w:rPr>
        <w:t xml:space="preserve">in the United Kingdom. </w:t>
      </w:r>
      <w:r w:rsidRPr="006919EE">
        <w:rPr>
          <w:rFonts w:ascii="Times New Roman" w:hAnsi="Times New Roman" w:cs="Times New Roman"/>
        </w:rPr>
        <w:t xml:space="preserve"> </w:t>
      </w:r>
    </w:p>
  </w:footnote>
  <w:footnote w:id="16">
    <w:p w14:paraId="36BC8ED1" w14:textId="727AA4F3" w:rsidR="004351E2" w:rsidRPr="006919EE" w:rsidRDefault="004351E2">
      <w:pPr>
        <w:pStyle w:val="FootnoteText"/>
        <w:rPr>
          <w:rFonts w:ascii="Times New Roman" w:hAnsi="Times New Roman" w:cs="Times New Roman"/>
        </w:rPr>
      </w:pPr>
      <w:r w:rsidRPr="006919EE">
        <w:rPr>
          <w:rStyle w:val="FootnoteReference"/>
          <w:rFonts w:ascii="Times New Roman" w:hAnsi="Times New Roman" w:cs="Times New Roman"/>
        </w:rPr>
        <w:footnoteRef/>
      </w:r>
      <w:r w:rsidRPr="006919EE">
        <w:rPr>
          <w:rFonts w:ascii="Times New Roman" w:hAnsi="Times New Roman" w:cs="Times New Roman"/>
        </w:rPr>
        <w:t xml:space="preserve"> </w:t>
      </w:r>
      <w:r w:rsidRPr="006919EE">
        <w:rPr>
          <w:rFonts w:ascii="Times New Roman" w:hAnsi="Times New Roman" w:cs="Times New Roman"/>
        </w:rPr>
        <w:tab/>
        <w:t xml:space="preserve">The Charter s 4(1). </w:t>
      </w:r>
    </w:p>
  </w:footnote>
  <w:footnote w:id="17">
    <w:p w14:paraId="5DEF4A84" w14:textId="66170512" w:rsidR="004351E2" w:rsidRPr="006919EE" w:rsidRDefault="004351E2">
      <w:pPr>
        <w:pStyle w:val="FootnoteText"/>
        <w:rPr>
          <w:rFonts w:ascii="Times New Roman" w:hAnsi="Times New Roman" w:cs="Times New Roman"/>
        </w:rPr>
      </w:pPr>
      <w:r w:rsidRPr="006919EE">
        <w:rPr>
          <w:rStyle w:val="FootnoteReference"/>
          <w:rFonts w:ascii="Times New Roman" w:hAnsi="Times New Roman" w:cs="Times New Roman"/>
        </w:rPr>
        <w:footnoteRef/>
      </w:r>
      <w:r w:rsidRPr="006919EE">
        <w:rPr>
          <w:rFonts w:ascii="Times New Roman" w:hAnsi="Times New Roman" w:cs="Times New Roman"/>
        </w:rPr>
        <w:t xml:space="preserve"> </w:t>
      </w:r>
      <w:r w:rsidRPr="006919EE">
        <w:rPr>
          <w:rFonts w:ascii="Times New Roman" w:hAnsi="Times New Roman" w:cs="Times New Roman"/>
        </w:rPr>
        <w:tab/>
        <w:t>Ibid s 4(1</w:t>
      </w:r>
      <w:proofErr w:type="gramStart"/>
      <w:r w:rsidRPr="006919EE">
        <w:rPr>
          <w:rFonts w:ascii="Times New Roman" w:hAnsi="Times New Roman" w:cs="Times New Roman"/>
        </w:rPr>
        <w:t>)(</w:t>
      </w:r>
      <w:proofErr w:type="gramEnd"/>
      <w:r w:rsidRPr="006919EE">
        <w:rPr>
          <w:rFonts w:ascii="Times New Roman" w:hAnsi="Times New Roman" w:cs="Times New Roman"/>
        </w:rPr>
        <w:t xml:space="preserve">j). </w:t>
      </w:r>
    </w:p>
  </w:footnote>
  <w:footnote w:id="18">
    <w:p w14:paraId="4C997EDD" w14:textId="1C2A7B0D" w:rsidR="004351E2" w:rsidRPr="006919EE" w:rsidRDefault="004351E2">
      <w:pPr>
        <w:pStyle w:val="FootnoteText"/>
        <w:rPr>
          <w:rFonts w:ascii="Times New Roman" w:hAnsi="Times New Roman" w:cs="Times New Roman"/>
        </w:rPr>
      </w:pPr>
      <w:r w:rsidRPr="006919EE">
        <w:rPr>
          <w:rStyle w:val="FootnoteReference"/>
          <w:rFonts w:ascii="Times New Roman" w:hAnsi="Times New Roman" w:cs="Times New Roman"/>
        </w:rPr>
        <w:footnoteRef/>
      </w:r>
      <w:r w:rsidRPr="006919EE">
        <w:rPr>
          <w:rFonts w:ascii="Times New Roman" w:hAnsi="Times New Roman" w:cs="Times New Roman"/>
        </w:rPr>
        <w:t xml:space="preserve"> </w:t>
      </w:r>
      <w:r w:rsidRPr="006919EE">
        <w:rPr>
          <w:rFonts w:ascii="Times New Roman" w:hAnsi="Times New Roman" w:cs="Times New Roman"/>
        </w:rPr>
        <w:tab/>
        <w:t xml:space="preserve">Ibid s 39(3). </w:t>
      </w:r>
    </w:p>
  </w:footnote>
  <w:footnote w:id="19">
    <w:p w14:paraId="6B79D700" w14:textId="24BF70B3" w:rsidR="004351E2" w:rsidRPr="006919EE" w:rsidRDefault="004351E2">
      <w:pPr>
        <w:pStyle w:val="FootnoteText"/>
        <w:rPr>
          <w:rFonts w:ascii="Times New Roman" w:hAnsi="Times New Roman" w:cs="Times New Roman"/>
        </w:rPr>
      </w:pPr>
      <w:r w:rsidRPr="006919EE">
        <w:rPr>
          <w:rStyle w:val="FootnoteReference"/>
          <w:rFonts w:ascii="Times New Roman" w:hAnsi="Times New Roman" w:cs="Times New Roman"/>
        </w:rPr>
        <w:footnoteRef/>
      </w:r>
      <w:r w:rsidRPr="006919EE">
        <w:rPr>
          <w:rFonts w:ascii="Times New Roman" w:hAnsi="Times New Roman" w:cs="Times New Roman"/>
        </w:rPr>
        <w:t xml:space="preserve"> </w:t>
      </w:r>
      <w:r w:rsidRPr="006919EE">
        <w:rPr>
          <w:rFonts w:ascii="Times New Roman" w:hAnsi="Times New Roman" w:cs="Times New Roman"/>
        </w:rPr>
        <w:tab/>
        <w:t xml:space="preserve">Ibid s 39(4).  </w:t>
      </w:r>
    </w:p>
  </w:footnote>
  <w:footnote w:id="20">
    <w:p w14:paraId="28124E2E" w14:textId="368BF9AF" w:rsidR="004351E2" w:rsidRPr="006919EE" w:rsidRDefault="004351E2" w:rsidP="004D7804">
      <w:pPr>
        <w:pStyle w:val="FootnoteText"/>
        <w:ind w:left="720" w:hanging="720"/>
        <w:rPr>
          <w:rFonts w:ascii="Times New Roman" w:hAnsi="Times New Roman" w:cs="Times New Roman"/>
        </w:rPr>
      </w:pPr>
      <w:r w:rsidRPr="006919EE">
        <w:rPr>
          <w:rStyle w:val="FootnoteReference"/>
          <w:rFonts w:ascii="Times New Roman" w:hAnsi="Times New Roman" w:cs="Times New Roman"/>
        </w:rPr>
        <w:footnoteRef/>
      </w:r>
      <w:r w:rsidRPr="006919EE">
        <w:rPr>
          <w:rFonts w:ascii="Times New Roman" w:hAnsi="Times New Roman" w:cs="Times New Roman"/>
        </w:rPr>
        <w:t xml:space="preserve"> </w:t>
      </w:r>
      <w:r w:rsidRPr="006919EE">
        <w:rPr>
          <w:rFonts w:ascii="Times New Roman" w:hAnsi="Times New Roman" w:cs="Times New Roman"/>
        </w:rPr>
        <w:tab/>
        <w:t xml:space="preserve">Michael </w:t>
      </w:r>
      <w:r w:rsidR="00F33D5A" w:rsidRPr="006919EE">
        <w:rPr>
          <w:rFonts w:ascii="Times New Roman" w:hAnsi="Times New Roman" w:cs="Times New Roman"/>
        </w:rPr>
        <w:t xml:space="preserve">Brett </w:t>
      </w:r>
      <w:r w:rsidRPr="006919EE">
        <w:rPr>
          <w:rFonts w:ascii="Times New Roman" w:hAnsi="Times New Roman" w:cs="Times New Roman"/>
        </w:rPr>
        <w:t xml:space="preserve">Young, </w:t>
      </w:r>
      <w:r w:rsidRPr="006919EE">
        <w:rPr>
          <w:rFonts w:ascii="Times New Roman" w:hAnsi="Times New Roman" w:cs="Times New Roman"/>
          <w:i/>
        </w:rPr>
        <w:t xml:space="preserve">From Commitment to Culture: The 2015 Review of the Charter of Human Rights and Responsibilities Act 2006 </w:t>
      </w:r>
      <w:r w:rsidRPr="006919EE">
        <w:rPr>
          <w:rFonts w:ascii="Times New Roman" w:hAnsi="Times New Roman" w:cs="Times New Roman"/>
        </w:rPr>
        <w:t xml:space="preserve">(2015) (‘Charter Review’).  </w:t>
      </w:r>
    </w:p>
  </w:footnote>
  <w:footnote w:id="21">
    <w:p w14:paraId="081C8590" w14:textId="52476A5D" w:rsidR="004351E2" w:rsidRPr="006919EE" w:rsidRDefault="004351E2" w:rsidP="004D7804">
      <w:pPr>
        <w:pStyle w:val="FootnoteText"/>
        <w:ind w:left="720" w:hanging="720"/>
        <w:rPr>
          <w:rFonts w:ascii="Times New Roman" w:hAnsi="Times New Roman" w:cs="Times New Roman"/>
        </w:rPr>
      </w:pPr>
      <w:r w:rsidRPr="006919EE">
        <w:rPr>
          <w:rStyle w:val="FootnoteReference"/>
          <w:rFonts w:ascii="Times New Roman" w:hAnsi="Times New Roman" w:cs="Times New Roman"/>
        </w:rPr>
        <w:footnoteRef/>
      </w:r>
      <w:r w:rsidRPr="006919EE">
        <w:rPr>
          <w:rFonts w:ascii="Times New Roman" w:hAnsi="Times New Roman" w:cs="Times New Roman"/>
        </w:rPr>
        <w:t xml:space="preserve"> </w:t>
      </w:r>
      <w:r w:rsidRPr="006919EE">
        <w:rPr>
          <w:rFonts w:ascii="Times New Roman" w:hAnsi="Times New Roman" w:cs="Times New Roman"/>
        </w:rPr>
        <w:tab/>
        <w:t>Ibid 117</w:t>
      </w:r>
      <w:r w:rsidRPr="006919EE">
        <w:rPr>
          <w:rFonts w:ascii="Times New Roman" w:hAnsi="Times New Roman" w:cs="Times New Roman"/>
          <w:i/>
        </w:rPr>
        <w:t>ff</w:t>
      </w:r>
      <w:r w:rsidRPr="006919EE">
        <w:rPr>
          <w:rFonts w:ascii="Times New Roman" w:hAnsi="Times New Roman" w:cs="Times New Roman"/>
        </w:rPr>
        <w:t xml:space="preserve">.  </w:t>
      </w:r>
    </w:p>
  </w:footnote>
  <w:footnote w:id="22">
    <w:p w14:paraId="7D289B47" w14:textId="32F67E39" w:rsidR="004351E2" w:rsidRPr="006919EE" w:rsidRDefault="004351E2" w:rsidP="004D7804">
      <w:pPr>
        <w:pStyle w:val="FootnoteText"/>
        <w:ind w:left="720" w:hanging="720"/>
        <w:rPr>
          <w:rFonts w:ascii="Times New Roman" w:hAnsi="Times New Roman" w:cs="Times New Roman"/>
        </w:rPr>
      </w:pPr>
      <w:r w:rsidRPr="006919EE">
        <w:rPr>
          <w:rStyle w:val="FootnoteReference"/>
          <w:rFonts w:ascii="Times New Roman" w:hAnsi="Times New Roman" w:cs="Times New Roman"/>
        </w:rPr>
        <w:footnoteRef/>
      </w:r>
      <w:r w:rsidRPr="006919EE">
        <w:rPr>
          <w:rFonts w:ascii="Times New Roman" w:hAnsi="Times New Roman" w:cs="Times New Roman"/>
        </w:rPr>
        <w:t xml:space="preserve"> </w:t>
      </w:r>
      <w:r w:rsidRPr="006919EE">
        <w:rPr>
          <w:rFonts w:ascii="Times New Roman" w:hAnsi="Times New Roman" w:cs="Times New Roman"/>
        </w:rPr>
        <w:tab/>
        <w:t xml:space="preserve">Ibid 132-133.  There has been conjecture around the scope for applying the ordinary principles of judicial review to Charter breaches.  In his review of the Charter, Mr </w:t>
      </w:r>
      <w:r w:rsidR="00F33D5A" w:rsidRPr="006919EE">
        <w:rPr>
          <w:rFonts w:ascii="Times New Roman" w:hAnsi="Times New Roman" w:cs="Times New Roman"/>
        </w:rPr>
        <w:t xml:space="preserve">Brett </w:t>
      </w:r>
      <w:r w:rsidRPr="006919EE">
        <w:rPr>
          <w:rFonts w:ascii="Times New Roman" w:hAnsi="Times New Roman" w:cs="Times New Roman"/>
        </w:rPr>
        <w:t xml:space="preserve">Young states that ‘it is unclear whether unlawfulness under the Charter is enough [to allow for judicial review], or whether some other (at least arguable) ground of unlawfulness must exist’.  He ultimately recommends, in respect of that issue, that ‘the Charter be amended to make it clear that judicial review is available on Charter grounds alone’.  Also, see generally the judgment of the Victorian Court of Appeal in </w:t>
      </w:r>
      <w:r w:rsidRPr="006919EE">
        <w:rPr>
          <w:rFonts w:ascii="Times New Roman" w:hAnsi="Times New Roman" w:cs="Times New Roman"/>
          <w:i/>
        </w:rPr>
        <w:t>Bare v</w:t>
      </w:r>
      <w:r w:rsidRPr="004D7804">
        <w:rPr>
          <w:rFonts w:ascii="Book Antiqua" w:hAnsi="Book Antiqua"/>
          <w:i/>
        </w:rPr>
        <w:t xml:space="preserve"> </w:t>
      </w:r>
      <w:r w:rsidRPr="006919EE">
        <w:rPr>
          <w:rFonts w:ascii="Times New Roman" w:hAnsi="Times New Roman" w:cs="Times New Roman"/>
          <w:i/>
        </w:rPr>
        <w:t xml:space="preserve">Independent Broad-based Anti-Corruption Commission </w:t>
      </w:r>
      <w:r w:rsidRPr="006919EE">
        <w:rPr>
          <w:rFonts w:ascii="Times New Roman" w:hAnsi="Times New Roman" w:cs="Times New Roman"/>
        </w:rPr>
        <w:t xml:space="preserve">(2015) 326 ALR 198, where some of the complexities associated with this issue are comprehensively explored.  </w:t>
      </w:r>
    </w:p>
  </w:footnote>
  <w:footnote w:id="23">
    <w:p w14:paraId="7B359B83" w14:textId="5CD11489" w:rsidR="004351E2" w:rsidRPr="006919EE" w:rsidRDefault="004351E2" w:rsidP="004D7804">
      <w:pPr>
        <w:pStyle w:val="FootnoteText"/>
        <w:ind w:left="720" w:hanging="720"/>
        <w:rPr>
          <w:rFonts w:ascii="Times New Roman" w:hAnsi="Times New Roman" w:cs="Times New Roman"/>
        </w:rPr>
      </w:pPr>
      <w:r w:rsidRPr="006919EE">
        <w:rPr>
          <w:rStyle w:val="FootnoteReference"/>
          <w:rFonts w:ascii="Times New Roman" w:hAnsi="Times New Roman" w:cs="Times New Roman"/>
        </w:rPr>
        <w:footnoteRef/>
      </w:r>
      <w:r w:rsidRPr="006919EE">
        <w:rPr>
          <w:rFonts w:ascii="Times New Roman" w:hAnsi="Times New Roman" w:cs="Times New Roman"/>
        </w:rPr>
        <w:t xml:space="preserve"> </w:t>
      </w:r>
      <w:r w:rsidRPr="006919EE">
        <w:rPr>
          <w:rFonts w:ascii="Times New Roman" w:hAnsi="Times New Roman" w:cs="Times New Roman"/>
        </w:rPr>
        <w:tab/>
      </w:r>
      <w:r w:rsidR="00F33D5A" w:rsidRPr="006919EE">
        <w:rPr>
          <w:rFonts w:ascii="Times New Roman" w:hAnsi="Times New Roman" w:cs="Times New Roman"/>
        </w:rPr>
        <w:t xml:space="preserve">Brett </w:t>
      </w:r>
      <w:r w:rsidR="004E5D1F" w:rsidRPr="006919EE">
        <w:rPr>
          <w:rFonts w:ascii="Times New Roman" w:hAnsi="Times New Roman" w:cs="Times New Roman"/>
        </w:rPr>
        <w:t>Young, above n 19</w:t>
      </w:r>
      <w:r w:rsidRPr="006919EE">
        <w:rPr>
          <w:rFonts w:ascii="Times New Roman" w:hAnsi="Times New Roman" w:cs="Times New Roman"/>
        </w:rPr>
        <w:t xml:space="preserve">, 117. </w:t>
      </w:r>
    </w:p>
  </w:footnote>
  <w:footnote w:id="24">
    <w:p w14:paraId="747F17E6" w14:textId="2E25566F" w:rsidR="004351E2" w:rsidRPr="006919EE" w:rsidRDefault="004351E2" w:rsidP="004D7804">
      <w:pPr>
        <w:pStyle w:val="FootnoteText"/>
        <w:ind w:left="720" w:hanging="720"/>
        <w:rPr>
          <w:rFonts w:ascii="Times New Roman" w:hAnsi="Times New Roman" w:cs="Times New Roman"/>
        </w:rPr>
      </w:pPr>
      <w:r w:rsidRPr="006919EE">
        <w:rPr>
          <w:rStyle w:val="FootnoteReference"/>
          <w:rFonts w:ascii="Times New Roman" w:hAnsi="Times New Roman" w:cs="Times New Roman"/>
        </w:rPr>
        <w:footnoteRef/>
      </w:r>
      <w:r w:rsidRPr="006919EE">
        <w:rPr>
          <w:rFonts w:ascii="Times New Roman" w:hAnsi="Times New Roman" w:cs="Times New Roman"/>
        </w:rPr>
        <w:t xml:space="preserve"> </w:t>
      </w:r>
      <w:r w:rsidRPr="006919EE">
        <w:rPr>
          <w:rFonts w:ascii="Times New Roman" w:hAnsi="Times New Roman" w:cs="Times New Roman"/>
        </w:rPr>
        <w:tab/>
        <w:t xml:space="preserve">Ibid 120.  According to Mr </w:t>
      </w:r>
      <w:r w:rsidR="00F33D5A" w:rsidRPr="006919EE">
        <w:rPr>
          <w:rFonts w:ascii="Times New Roman" w:hAnsi="Times New Roman" w:cs="Times New Roman"/>
        </w:rPr>
        <w:t xml:space="preserve">Brett </w:t>
      </w:r>
      <w:r w:rsidRPr="006919EE">
        <w:rPr>
          <w:rFonts w:ascii="Times New Roman" w:hAnsi="Times New Roman" w:cs="Times New Roman"/>
        </w:rPr>
        <w:t xml:space="preserve">Young, no case has ever involved damages or compensation being awarded for a breach of a Charter right.  He states that the position is arguably that s 39(3) precludes the awarding of damages on the ground of Charter unlawfulness, even when damages might be awarded on another ground entailing unlawful conduct.  </w:t>
      </w:r>
    </w:p>
  </w:footnote>
  <w:footnote w:id="25">
    <w:p w14:paraId="1F636A45" w14:textId="47A6B26D" w:rsidR="004351E2" w:rsidRPr="004D7804" w:rsidRDefault="004351E2" w:rsidP="004D7804">
      <w:pPr>
        <w:pStyle w:val="FootnoteText"/>
        <w:ind w:left="720" w:hanging="720"/>
        <w:rPr>
          <w:rFonts w:ascii="Book Antiqua" w:hAnsi="Book Antiqua"/>
        </w:rPr>
      </w:pPr>
      <w:r w:rsidRPr="006919EE">
        <w:rPr>
          <w:rStyle w:val="FootnoteReference"/>
          <w:rFonts w:ascii="Times New Roman" w:hAnsi="Times New Roman" w:cs="Times New Roman"/>
        </w:rPr>
        <w:footnoteRef/>
      </w:r>
      <w:r w:rsidRPr="006919EE">
        <w:rPr>
          <w:rFonts w:ascii="Times New Roman" w:hAnsi="Times New Roman" w:cs="Times New Roman"/>
        </w:rPr>
        <w:t xml:space="preserve"> </w:t>
      </w:r>
      <w:r w:rsidRPr="006919EE">
        <w:rPr>
          <w:rFonts w:ascii="Times New Roman" w:hAnsi="Times New Roman" w:cs="Times New Roman"/>
        </w:rPr>
        <w:tab/>
        <w:t>See ICCPR art 14.</w:t>
      </w:r>
      <w:r w:rsidRPr="004D7804">
        <w:rPr>
          <w:rFonts w:ascii="Book Antiqua" w:hAnsi="Book Antiqua"/>
        </w:rPr>
        <w:t xml:space="preserve"> </w:t>
      </w:r>
    </w:p>
  </w:footnote>
  <w:footnote w:id="26">
    <w:p w14:paraId="5ECDCA47" w14:textId="6117DE28" w:rsidR="004351E2" w:rsidRPr="00585172" w:rsidRDefault="004351E2" w:rsidP="004D7804">
      <w:pPr>
        <w:pStyle w:val="FootnoteText"/>
        <w:ind w:left="720" w:hanging="720"/>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For example, see the Charter s 25(2</w:t>
      </w:r>
      <w:proofErr w:type="gramStart"/>
      <w:r w:rsidRPr="00585172">
        <w:rPr>
          <w:rFonts w:ascii="Times New Roman" w:hAnsi="Times New Roman" w:cs="Times New Roman"/>
        </w:rPr>
        <w:t>)(</w:t>
      </w:r>
      <w:proofErr w:type="gramEnd"/>
      <w:r w:rsidRPr="00585172">
        <w:rPr>
          <w:rFonts w:ascii="Times New Roman" w:hAnsi="Times New Roman" w:cs="Times New Roman"/>
        </w:rPr>
        <w:t xml:space="preserve">g). </w:t>
      </w:r>
    </w:p>
  </w:footnote>
  <w:footnote w:id="27">
    <w:p w14:paraId="70E71EB6" w14:textId="27A0251E" w:rsidR="004351E2" w:rsidRPr="007F0BF9" w:rsidRDefault="004351E2" w:rsidP="004D7804">
      <w:pPr>
        <w:pStyle w:val="FootnoteText"/>
        <w:ind w:left="720" w:hanging="720"/>
        <w:rPr>
          <w:rFonts w:ascii="Book Antiqua" w:hAnsi="Book Antiqua"/>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 xml:space="preserve">See </w:t>
      </w:r>
      <w:r w:rsidRPr="00585172">
        <w:rPr>
          <w:rFonts w:ascii="Times New Roman" w:hAnsi="Times New Roman" w:cs="Times New Roman"/>
          <w:i/>
        </w:rPr>
        <w:t xml:space="preserve">Bray (a Pseudonym) v The Queen </w:t>
      </w:r>
      <w:r w:rsidRPr="00585172">
        <w:rPr>
          <w:rFonts w:ascii="Times New Roman" w:hAnsi="Times New Roman" w:cs="Times New Roman"/>
        </w:rPr>
        <w:t xml:space="preserve">[2014] VSCA 276 </w:t>
      </w:r>
      <w:r w:rsidR="007F0BF9" w:rsidRPr="00585172">
        <w:rPr>
          <w:rFonts w:ascii="Times New Roman" w:hAnsi="Times New Roman" w:cs="Times New Roman"/>
        </w:rPr>
        <w:t>(</w:t>
      </w:r>
      <w:r w:rsidR="007F0BF9" w:rsidRPr="00585172">
        <w:rPr>
          <w:rFonts w:ascii="Times New Roman" w:hAnsi="Times New Roman" w:cs="Times New Roman"/>
          <w:i/>
        </w:rPr>
        <w:t>‘Bray</w:t>
      </w:r>
      <w:r w:rsidR="007F0BF9" w:rsidRPr="00585172">
        <w:rPr>
          <w:rFonts w:ascii="Times New Roman" w:hAnsi="Times New Roman" w:cs="Times New Roman"/>
        </w:rPr>
        <w:t xml:space="preserve">’) </w:t>
      </w:r>
      <w:r w:rsidRPr="00585172">
        <w:rPr>
          <w:rFonts w:ascii="Times New Roman" w:hAnsi="Times New Roman" w:cs="Times New Roman"/>
        </w:rPr>
        <w:t>and the discussion concerning European Court of Human Rights</w:t>
      </w:r>
      <w:r w:rsidR="00B4701E" w:rsidRPr="00585172">
        <w:rPr>
          <w:rFonts w:ascii="Times New Roman" w:hAnsi="Times New Roman" w:cs="Times New Roman"/>
        </w:rPr>
        <w:t xml:space="preserve"> jurisprudence on this subject.  </w:t>
      </w:r>
      <w:r w:rsidR="00BC6757" w:rsidRPr="00585172">
        <w:rPr>
          <w:rFonts w:ascii="Times New Roman" w:hAnsi="Times New Roman" w:cs="Times New Roman"/>
          <w:i/>
        </w:rPr>
        <w:t xml:space="preserve">Bray </w:t>
      </w:r>
      <w:r w:rsidR="00BC6757" w:rsidRPr="00585172">
        <w:rPr>
          <w:rFonts w:ascii="Times New Roman" w:hAnsi="Times New Roman" w:cs="Times New Roman"/>
        </w:rPr>
        <w:t xml:space="preserve">was an interlocutory appeal.  </w:t>
      </w:r>
      <w:r w:rsidR="00B4701E" w:rsidRPr="00585172">
        <w:rPr>
          <w:rFonts w:ascii="Times New Roman" w:hAnsi="Times New Roman" w:cs="Times New Roman"/>
        </w:rPr>
        <w:t xml:space="preserve">The decision </w:t>
      </w:r>
      <w:r w:rsidR="00BC6757" w:rsidRPr="00585172">
        <w:rPr>
          <w:rFonts w:ascii="Times New Roman" w:hAnsi="Times New Roman" w:cs="Times New Roman"/>
        </w:rPr>
        <w:t>in that case on the question of admissibility of what would otherwise be rank hearsay</w:t>
      </w:r>
      <w:r w:rsidR="00B4701E" w:rsidRPr="00585172">
        <w:rPr>
          <w:rFonts w:ascii="Times New Roman" w:hAnsi="Times New Roman" w:cs="Times New Roman"/>
        </w:rPr>
        <w:t xml:space="preserve"> </w:t>
      </w:r>
      <w:r w:rsidR="007F0BF9" w:rsidRPr="00585172">
        <w:rPr>
          <w:rFonts w:ascii="Times New Roman" w:hAnsi="Times New Roman" w:cs="Times New Roman"/>
        </w:rPr>
        <w:t xml:space="preserve">was upheld by the Court of Appeal when it delivered its judgment on the appeal against conviction – see </w:t>
      </w:r>
      <w:proofErr w:type="spellStart"/>
      <w:r w:rsidR="007F0BF9" w:rsidRPr="00585172">
        <w:rPr>
          <w:rFonts w:ascii="Times New Roman" w:hAnsi="Times New Roman" w:cs="Times New Roman"/>
          <w:i/>
        </w:rPr>
        <w:t>Omot</w:t>
      </w:r>
      <w:proofErr w:type="spellEnd"/>
      <w:r w:rsidR="007F0BF9" w:rsidRPr="00585172">
        <w:rPr>
          <w:rFonts w:ascii="Times New Roman" w:hAnsi="Times New Roman" w:cs="Times New Roman"/>
          <w:i/>
        </w:rPr>
        <w:t xml:space="preserve"> v The Queen </w:t>
      </w:r>
      <w:r w:rsidR="007F0BF9" w:rsidRPr="00585172">
        <w:rPr>
          <w:rFonts w:ascii="Times New Roman" w:hAnsi="Times New Roman" w:cs="Times New Roman"/>
        </w:rPr>
        <w:t>[2016] VSCA 24</w:t>
      </w:r>
      <w:r w:rsidR="001C6346" w:rsidRPr="00585172">
        <w:rPr>
          <w:rFonts w:ascii="Times New Roman" w:hAnsi="Times New Roman" w:cs="Times New Roman"/>
        </w:rPr>
        <w:t xml:space="preserve"> (‘</w:t>
      </w:r>
      <w:proofErr w:type="spellStart"/>
      <w:r w:rsidR="001C6346" w:rsidRPr="00585172">
        <w:rPr>
          <w:rFonts w:ascii="Times New Roman" w:hAnsi="Times New Roman" w:cs="Times New Roman"/>
          <w:i/>
        </w:rPr>
        <w:t>Omot</w:t>
      </w:r>
      <w:proofErr w:type="spellEnd"/>
      <w:r w:rsidR="001C6346" w:rsidRPr="00585172">
        <w:rPr>
          <w:rFonts w:ascii="Times New Roman" w:hAnsi="Times New Roman" w:cs="Times New Roman"/>
        </w:rPr>
        <w:t>’)</w:t>
      </w:r>
      <w:r w:rsidR="007F0BF9" w:rsidRPr="00585172">
        <w:rPr>
          <w:rFonts w:ascii="Times New Roman" w:hAnsi="Times New Roman" w:cs="Times New Roman"/>
        </w:rPr>
        <w:t>.</w:t>
      </w:r>
      <w:r w:rsidR="007F0BF9">
        <w:rPr>
          <w:rFonts w:ascii="Book Antiqua" w:hAnsi="Book Antiqua"/>
        </w:rPr>
        <w:t xml:space="preserve"> </w:t>
      </w:r>
    </w:p>
  </w:footnote>
  <w:footnote w:id="28">
    <w:p w14:paraId="0EF03152" w14:textId="368C04E8" w:rsidR="004351E2" w:rsidRPr="00585172" w:rsidRDefault="004351E2" w:rsidP="004D7804">
      <w:pPr>
        <w:pStyle w:val="FootnoteText"/>
        <w:ind w:left="720" w:hanging="720"/>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r w:rsidRPr="00585172">
        <w:rPr>
          <w:rFonts w:ascii="Times New Roman" w:hAnsi="Times New Roman" w:cs="Times New Roman"/>
          <w:i/>
        </w:rPr>
        <w:t>R v A (No 2)</w:t>
      </w:r>
      <w:r w:rsidRPr="00585172">
        <w:rPr>
          <w:rFonts w:ascii="Times New Roman" w:hAnsi="Times New Roman" w:cs="Times New Roman"/>
        </w:rPr>
        <w:t xml:space="preserve"> [2002] 1 AC 45, 68 (Lord </w:t>
      </w:r>
      <w:proofErr w:type="spellStart"/>
      <w:r w:rsidRPr="00585172">
        <w:rPr>
          <w:rFonts w:ascii="Times New Roman" w:hAnsi="Times New Roman" w:cs="Times New Roman"/>
        </w:rPr>
        <w:t>Steyn</w:t>
      </w:r>
      <w:proofErr w:type="spellEnd"/>
      <w:r w:rsidRPr="00585172">
        <w:rPr>
          <w:rFonts w:ascii="Times New Roman" w:hAnsi="Times New Roman" w:cs="Times New Roman"/>
        </w:rPr>
        <w:t xml:space="preserve">). </w:t>
      </w:r>
    </w:p>
  </w:footnote>
  <w:footnote w:id="29">
    <w:p w14:paraId="63368D7B" w14:textId="34A51C03" w:rsidR="004351E2" w:rsidRPr="00585172" w:rsidRDefault="004351E2" w:rsidP="004D7804">
      <w:pPr>
        <w:pStyle w:val="FootnoteText"/>
        <w:ind w:left="720" w:hanging="720"/>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 xml:space="preserve">This observation may be somewhat simplistic.  For a more careful and nuanced analysis of the United Kingdom position, see Julie </w:t>
      </w:r>
      <w:proofErr w:type="spellStart"/>
      <w:r w:rsidRPr="00585172">
        <w:rPr>
          <w:rFonts w:ascii="Times New Roman" w:hAnsi="Times New Roman" w:cs="Times New Roman"/>
        </w:rPr>
        <w:t>Debeljak</w:t>
      </w:r>
      <w:proofErr w:type="spellEnd"/>
      <w:r w:rsidRPr="00585172">
        <w:rPr>
          <w:rFonts w:ascii="Times New Roman" w:hAnsi="Times New Roman" w:cs="Times New Roman"/>
        </w:rPr>
        <w:t xml:space="preserve">, ‘Proportionality, Rights-Consistent Interpretation and Declarations under the Victorian </w:t>
      </w:r>
      <w:r w:rsidRPr="00585172">
        <w:rPr>
          <w:rFonts w:ascii="Times New Roman" w:hAnsi="Times New Roman" w:cs="Times New Roman"/>
          <w:i/>
        </w:rPr>
        <w:t xml:space="preserve">Charter of Human Rights and Responsibilities: </w:t>
      </w:r>
      <w:r w:rsidRPr="00585172">
        <w:rPr>
          <w:rFonts w:ascii="Times New Roman" w:hAnsi="Times New Roman" w:cs="Times New Roman"/>
        </w:rPr>
        <w:t xml:space="preserve">The </w:t>
      </w:r>
      <w:proofErr w:type="spellStart"/>
      <w:r w:rsidRPr="00585172">
        <w:rPr>
          <w:rFonts w:ascii="Times New Roman" w:hAnsi="Times New Roman" w:cs="Times New Roman"/>
          <w:i/>
        </w:rPr>
        <w:t>Momcilovic</w:t>
      </w:r>
      <w:proofErr w:type="spellEnd"/>
      <w:r w:rsidRPr="00585172">
        <w:rPr>
          <w:rFonts w:ascii="Times New Roman" w:hAnsi="Times New Roman" w:cs="Times New Roman"/>
          <w:i/>
        </w:rPr>
        <w:t xml:space="preserve"> </w:t>
      </w:r>
      <w:r w:rsidRPr="00585172">
        <w:rPr>
          <w:rFonts w:ascii="Times New Roman" w:hAnsi="Times New Roman" w:cs="Times New Roman"/>
        </w:rPr>
        <w:t xml:space="preserve">Litigation and Beyond’ (2014) 40(2) </w:t>
      </w:r>
      <w:r w:rsidRPr="00585172">
        <w:rPr>
          <w:rFonts w:ascii="Times New Roman" w:hAnsi="Times New Roman" w:cs="Times New Roman"/>
          <w:i/>
        </w:rPr>
        <w:t>Monash University Law Review</w:t>
      </w:r>
      <w:r w:rsidRPr="00585172">
        <w:rPr>
          <w:rFonts w:ascii="Times New Roman" w:hAnsi="Times New Roman" w:cs="Times New Roman"/>
        </w:rPr>
        <w:t xml:space="preserve"> 340. </w:t>
      </w:r>
    </w:p>
  </w:footnote>
  <w:footnote w:id="30">
    <w:p w14:paraId="272104B7" w14:textId="658FF792" w:rsidR="004351E2" w:rsidRPr="004D7804" w:rsidRDefault="004351E2" w:rsidP="004D7804">
      <w:pPr>
        <w:pStyle w:val="FootnoteText"/>
        <w:ind w:left="720" w:hanging="720"/>
        <w:rPr>
          <w:rFonts w:ascii="Book Antiqua" w:hAnsi="Book Antiqua"/>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[2004] 2 AC 557 (‘</w:t>
      </w:r>
      <w:proofErr w:type="spellStart"/>
      <w:r w:rsidRPr="00585172">
        <w:rPr>
          <w:rFonts w:ascii="Times New Roman" w:hAnsi="Times New Roman" w:cs="Times New Roman"/>
          <w:i/>
        </w:rPr>
        <w:t>Ghaidan</w:t>
      </w:r>
      <w:proofErr w:type="spellEnd"/>
      <w:r w:rsidRPr="00585172">
        <w:rPr>
          <w:rFonts w:ascii="Times New Roman" w:hAnsi="Times New Roman" w:cs="Times New Roman"/>
          <w:i/>
        </w:rPr>
        <w:t>’</w:t>
      </w:r>
      <w:r w:rsidRPr="00585172">
        <w:rPr>
          <w:rFonts w:ascii="Times New Roman" w:hAnsi="Times New Roman" w:cs="Times New Roman"/>
        </w:rPr>
        <w:t>).</w:t>
      </w:r>
    </w:p>
  </w:footnote>
  <w:footnote w:id="31">
    <w:p w14:paraId="0AF79F53" w14:textId="333861E6" w:rsidR="00E27053" w:rsidRPr="00585172" w:rsidRDefault="00E27053">
      <w:pPr>
        <w:pStyle w:val="FootnoteText"/>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r w:rsidR="003B21E6" w:rsidRPr="00585172">
        <w:rPr>
          <w:rFonts w:ascii="Times New Roman" w:hAnsi="Times New Roman" w:cs="Times New Roman"/>
        </w:rPr>
        <w:t xml:space="preserve">With whom Lord </w:t>
      </w:r>
      <w:proofErr w:type="spellStart"/>
      <w:r w:rsidR="003B21E6" w:rsidRPr="00585172">
        <w:rPr>
          <w:rFonts w:ascii="Times New Roman" w:hAnsi="Times New Roman" w:cs="Times New Roman"/>
        </w:rPr>
        <w:t>Steyn</w:t>
      </w:r>
      <w:proofErr w:type="spellEnd"/>
      <w:r w:rsidR="003B21E6" w:rsidRPr="00585172">
        <w:rPr>
          <w:rFonts w:ascii="Times New Roman" w:hAnsi="Times New Roman" w:cs="Times New Roman"/>
        </w:rPr>
        <w:t>, Lord Rodger and Baroness Hale agreed</w:t>
      </w:r>
      <w:r w:rsidR="00D166C3" w:rsidRPr="00585172">
        <w:rPr>
          <w:rFonts w:ascii="Times New Roman" w:hAnsi="Times New Roman" w:cs="Times New Roman"/>
        </w:rPr>
        <w:t>, in separate judgments</w:t>
      </w:r>
      <w:r w:rsidR="003B21E6" w:rsidRPr="00585172">
        <w:rPr>
          <w:rFonts w:ascii="Times New Roman" w:hAnsi="Times New Roman" w:cs="Times New Roman"/>
        </w:rPr>
        <w:t>.</w:t>
      </w:r>
      <w:r w:rsidR="003B21E6" w:rsidRPr="00585172">
        <w:rPr>
          <w:rFonts w:ascii="Times New Roman" w:hAnsi="Times New Roman" w:cs="Times New Roman"/>
          <w:sz w:val="18"/>
          <w:szCs w:val="18"/>
        </w:rPr>
        <w:t xml:space="preserve">  </w:t>
      </w:r>
    </w:p>
  </w:footnote>
  <w:footnote w:id="32">
    <w:p w14:paraId="46576653" w14:textId="75CEBBB2" w:rsidR="00DD64CC" w:rsidRPr="00585172" w:rsidRDefault="00DD64CC">
      <w:pPr>
        <w:pStyle w:val="FootnoteText"/>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proofErr w:type="spellStart"/>
      <w:r w:rsidRPr="00585172">
        <w:rPr>
          <w:rFonts w:ascii="Times New Roman" w:hAnsi="Times New Roman" w:cs="Times New Roman"/>
          <w:i/>
        </w:rPr>
        <w:t>Ghaidan</w:t>
      </w:r>
      <w:proofErr w:type="spellEnd"/>
      <w:r w:rsidRPr="00585172">
        <w:rPr>
          <w:rFonts w:ascii="Times New Roman" w:hAnsi="Times New Roman" w:cs="Times New Roman"/>
          <w:i/>
        </w:rPr>
        <w:t xml:space="preserve">, </w:t>
      </w:r>
      <w:r w:rsidRPr="00585172">
        <w:rPr>
          <w:rFonts w:ascii="Times New Roman" w:hAnsi="Times New Roman" w:cs="Times New Roman"/>
        </w:rPr>
        <w:t xml:space="preserve">571 [29] (Lord Nicholls). </w:t>
      </w:r>
    </w:p>
  </w:footnote>
  <w:footnote w:id="33">
    <w:p w14:paraId="1EEE2351" w14:textId="1B888756" w:rsidR="005E3C5E" w:rsidRPr="00585172" w:rsidRDefault="006E2DE9">
      <w:pPr>
        <w:pStyle w:val="FootnoteText"/>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r w:rsidR="00D06756" w:rsidRPr="00585172">
        <w:rPr>
          <w:rFonts w:ascii="Times New Roman" w:hAnsi="Times New Roman" w:cs="Times New Roman"/>
        </w:rPr>
        <w:t xml:space="preserve">Ibid </w:t>
      </w:r>
      <w:r w:rsidR="00D771C4" w:rsidRPr="00585172">
        <w:rPr>
          <w:rFonts w:ascii="Times New Roman" w:hAnsi="Times New Roman" w:cs="Times New Roman"/>
        </w:rPr>
        <w:t xml:space="preserve">571 [30]. </w:t>
      </w:r>
    </w:p>
  </w:footnote>
  <w:footnote w:id="34">
    <w:p w14:paraId="0A774812" w14:textId="551DC3E0" w:rsidR="00D771C4" w:rsidRPr="00585172" w:rsidRDefault="00D771C4">
      <w:pPr>
        <w:pStyle w:val="FootnoteText"/>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Ibid 571</w:t>
      </w:r>
      <w:r w:rsidR="00977F7D" w:rsidRPr="00585172">
        <w:rPr>
          <w:rFonts w:ascii="Times New Roman" w:hAnsi="Times New Roman" w:cs="Times New Roman"/>
        </w:rPr>
        <w:t>– 572 [31]-</w:t>
      </w:r>
      <w:r w:rsidRPr="00585172">
        <w:rPr>
          <w:rFonts w:ascii="Times New Roman" w:hAnsi="Times New Roman" w:cs="Times New Roman"/>
        </w:rPr>
        <w:t>[34].</w:t>
      </w:r>
    </w:p>
  </w:footnote>
  <w:footnote w:id="35">
    <w:p w14:paraId="7DE12AB1" w14:textId="6E4C50DF" w:rsidR="00D771C4" w:rsidRPr="00585172" w:rsidRDefault="00D771C4">
      <w:pPr>
        <w:pStyle w:val="FootnoteText"/>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ab/>
        <w:t>Ibid 572 [35].</w:t>
      </w:r>
    </w:p>
  </w:footnote>
  <w:footnote w:id="36">
    <w:p w14:paraId="5C9E6ED7" w14:textId="61A6EBA9" w:rsidR="008E5EA4" w:rsidRPr="00585172" w:rsidRDefault="008E5EA4">
      <w:pPr>
        <w:pStyle w:val="FootnoteText"/>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r w:rsidR="00E24C2A" w:rsidRPr="00585172">
        <w:rPr>
          <w:rFonts w:ascii="Times New Roman" w:hAnsi="Times New Roman" w:cs="Times New Roman"/>
        </w:rPr>
        <w:t>Ibid 585</w:t>
      </w:r>
      <w:r w:rsidRPr="00585172">
        <w:rPr>
          <w:rFonts w:ascii="Times New Roman" w:hAnsi="Times New Roman" w:cs="Times New Roman"/>
        </w:rPr>
        <w:t xml:space="preserve"> [67] (Lord Millett).</w:t>
      </w:r>
    </w:p>
  </w:footnote>
  <w:footnote w:id="37">
    <w:p w14:paraId="26B8051F" w14:textId="7B45664E" w:rsidR="0009160B" w:rsidRDefault="0009160B">
      <w:pPr>
        <w:pStyle w:val="FootnoteText"/>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r w:rsidR="008E5EA4" w:rsidRPr="00585172">
        <w:rPr>
          <w:rFonts w:ascii="Times New Roman" w:hAnsi="Times New Roman" w:cs="Times New Roman"/>
        </w:rPr>
        <w:t>Ibid.</w:t>
      </w:r>
      <w:r w:rsidR="008E5EA4">
        <w:rPr>
          <w:rFonts w:ascii="Book Antiqua" w:hAnsi="Book Antiqua"/>
        </w:rPr>
        <w:t xml:space="preserve"> </w:t>
      </w:r>
    </w:p>
  </w:footnote>
  <w:footnote w:id="38">
    <w:p w14:paraId="5FE76A2B" w14:textId="5F198816" w:rsidR="004351E2" w:rsidRPr="00585172" w:rsidRDefault="004351E2" w:rsidP="004D7804">
      <w:pPr>
        <w:pStyle w:val="FootnoteText"/>
        <w:ind w:left="720" w:hanging="720"/>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(2011) 245 CLR 1 (</w:t>
      </w:r>
      <w:r w:rsidRPr="00585172">
        <w:rPr>
          <w:rFonts w:ascii="Times New Roman" w:hAnsi="Times New Roman" w:cs="Times New Roman"/>
          <w:i/>
        </w:rPr>
        <w:t>‘</w:t>
      </w:r>
      <w:proofErr w:type="spellStart"/>
      <w:r w:rsidRPr="00585172">
        <w:rPr>
          <w:rFonts w:ascii="Times New Roman" w:hAnsi="Times New Roman" w:cs="Times New Roman"/>
          <w:i/>
        </w:rPr>
        <w:t>Momcilovic</w:t>
      </w:r>
      <w:proofErr w:type="spellEnd"/>
      <w:r w:rsidRPr="00585172">
        <w:rPr>
          <w:rFonts w:ascii="Times New Roman" w:hAnsi="Times New Roman" w:cs="Times New Roman"/>
          <w:i/>
        </w:rPr>
        <w:t>’</w:t>
      </w:r>
      <w:r w:rsidRPr="00585172">
        <w:rPr>
          <w:rFonts w:ascii="Times New Roman" w:hAnsi="Times New Roman" w:cs="Times New Roman"/>
        </w:rPr>
        <w:t>).</w:t>
      </w:r>
    </w:p>
  </w:footnote>
  <w:footnote w:id="39">
    <w:p w14:paraId="4503D551" w14:textId="44B839AD" w:rsidR="004351E2" w:rsidRPr="004D7804" w:rsidRDefault="004351E2" w:rsidP="004D7804">
      <w:pPr>
        <w:pStyle w:val="FootnoteText"/>
        <w:ind w:left="720" w:hanging="720"/>
        <w:rPr>
          <w:rFonts w:ascii="Book Antiqua" w:hAnsi="Book Antiqua"/>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 xml:space="preserve">French CJ, </w:t>
      </w:r>
      <w:proofErr w:type="spellStart"/>
      <w:r w:rsidRPr="00585172">
        <w:rPr>
          <w:rFonts w:ascii="Times New Roman" w:hAnsi="Times New Roman" w:cs="Times New Roman"/>
        </w:rPr>
        <w:t>Gummow</w:t>
      </w:r>
      <w:proofErr w:type="spellEnd"/>
      <w:r w:rsidRPr="00585172">
        <w:rPr>
          <w:rFonts w:ascii="Times New Roman" w:hAnsi="Times New Roman" w:cs="Times New Roman"/>
        </w:rPr>
        <w:t xml:space="preserve">, Hayne, </w:t>
      </w:r>
      <w:proofErr w:type="spellStart"/>
      <w:r w:rsidRPr="00585172">
        <w:rPr>
          <w:rFonts w:ascii="Times New Roman" w:hAnsi="Times New Roman" w:cs="Times New Roman"/>
        </w:rPr>
        <w:t>Crennan</w:t>
      </w:r>
      <w:proofErr w:type="spellEnd"/>
      <w:r w:rsidRPr="00585172">
        <w:rPr>
          <w:rFonts w:ascii="Times New Roman" w:hAnsi="Times New Roman" w:cs="Times New Roman"/>
        </w:rPr>
        <w:t xml:space="preserve">, and </w:t>
      </w:r>
      <w:proofErr w:type="spellStart"/>
      <w:r w:rsidRPr="00585172">
        <w:rPr>
          <w:rFonts w:ascii="Times New Roman" w:hAnsi="Times New Roman" w:cs="Times New Roman"/>
        </w:rPr>
        <w:t>Kiefel</w:t>
      </w:r>
      <w:proofErr w:type="spellEnd"/>
      <w:r w:rsidRPr="00585172">
        <w:rPr>
          <w:rFonts w:ascii="Times New Roman" w:hAnsi="Times New Roman" w:cs="Times New Roman"/>
        </w:rPr>
        <w:t xml:space="preserve"> JJ.</w:t>
      </w:r>
      <w:r w:rsidRPr="004D7804">
        <w:rPr>
          <w:rFonts w:ascii="Book Antiqua" w:hAnsi="Book Antiqua"/>
        </w:rPr>
        <w:t xml:space="preserve"> </w:t>
      </w:r>
    </w:p>
  </w:footnote>
  <w:footnote w:id="40">
    <w:p w14:paraId="748A4F5A" w14:textId="7ADE7949" w:rsidR="004351E2" w:rsidRPr="00585172" w:rsidRDefault="004351E2" w:rsidP="004D7804">
      <w:pPr>
        <w:pStyle w:val="FootnoteText"/>
        <w:ind w:left="720" w:hanging="720"/>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 xml:space="preserve">(2010) 25 VR 436. </w:t>
      </w:r>
    </w:p>
  </w:footnote>
  <w:footnote w:id="41">
    <w:p w14:paraId="1E414D94" w14:textId="29CFF8C4" w:rsidR="006B1921" w:rsidRPr="00585172" w:rsidRDefault="006B1921">
      <w:pPr>
        <w:pStyle w:val="FootnoteText"/>
        <w:rPr>
          <w:rFonts w:ascii="Times New Roman" w:hAnsi="Times New Roman" w:cs="Times New Roman"/>
          <w:i/>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proofErr w:type="spellStart"/>
      <w:r w:rsidRPr="00585172">
        <w:rPr>
          <w:rFonts w:ascii="Times New Roman" w:hAnsi="Times New Roman" w:cs="Times New Roman"/>
          <w:i/>
        </w:rPr>
        <w:t>Momcilovic</w:t>
      </w:r>
      <w:proofErr w:type="spellEnd"/>
      <w:r w:rsidRPr="00585172">
        <w:rPr>
          <w:rFonts w:ascii="Times New Roman" w:hAnsi="Times New Roman" w:cs="Times New Roman"/>
          <w:i/>
        </w:rPr>
        <w:t xml:space="preserve">, </w:t>
      </w:r>
      <w:r w:rsidRPr="00585172">
        <w:rPr>
          <w:rFonts w:ascii="Times New Roman" w:hAnsi="Times New Roman" w:cs="Times New Roman"/>
        </w:rPr>
        <w:t xml:space="preserve">50 [51] (French CJ). </w:t>
      </w:r>
    </w:p>
  </w:footnote>
  <w:footnote w:id="42">
    <w:p w14:paraId="31DBFA7F" w14:textId="462B7FBB" w:rsidR="00190D36" w:rsidRDefault="00190D36">
      <w:pPr>
        <w:pStyle w:val="FootnoteText"/>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Ibid 175 [439] (</w:t>
      </w:r>
      <w:proofErr w:type="spellStart"/>
      <w:r w:rsidRPr="00585172">
        <w:rPr>
          <w:rFonts w:ascii="Times New Roman" w:hAnsi="Times New Roman" w:cs="Times New Roman"/>
        </w:rPr>
        <w:t>Heydon</w:t>
      </w:r>
      <w:proofErr w:type="spellEnd"/>
      <w:r w:rsidRPr="00585172">
        <w:rPr>
          <w:rFonts w:ascii="Times New Roman" w:hAnsi="Times New Roman" w:cs="Times New Roman"/>
        </w:rPr>
        <w:t xml:space="preserve"> J).</w:t>
      </w:r>
      <w:r>
        <w:t xml:space="preserve"> </w:t>
      </w:r>
    </w:p>
  </w:footnote>
  <w:footnote w:id="43">
    <w:p w14:paraId="29D11395" w14:textId="43DFF190" w:rsidR="004351E2" w:rsidRPr="00585172" w:rsidRDefault="004351E2" w:rsidP="004D7804">
      <w:pPr>
        <w:pStyle w:val="FootnoteText"/>
        <w:ind w:left="720" w:hanging="720"/>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(2012) 34 VR 206 (‘</w:t>
      </w:r>
      <w:proofErr w:type="spellStart"/>
      <w:r w:rsidRPr="00585172">
        <w:rPr>
          <w:rFonts w:ascii="Times New Roman" w:hAnsi="Times New Roman" w:cs="Times New Roman"/>
          <w:i/>
        </w:rPr>
        <w:t>Slaveski</w:t>
      </w:r>
      <w:proofErr w:type="spellEnd"/>
      <w:r w:rsidRPr="00585172">
        <w:rPr>
          <w:rFonts w:ascii="Times New Roman" w:hAnsi="Times New Roman" w:cs="Times New Roman"/>
          <w:i/>
        </w:rPr>
        <w:t>’</w:t>
      </w:r>
      <w:r w:rsidRPr="00585172">
        <w:rPr>
          <w:rFonts w:ascii="Times New Roman" w:hAnsi="Times New Roman" w:cs="Times New Roman"/>
        </w:rPr>
        <w:t>).</w:t>
      </w:r>
    </w:p>
  </w:footnote>
  <w:footnote w:id="44">
    <w:p w14:paraId="49DD3D73" w14:textId="5D39E10E" w:rsidR="004351E2" w:rsidRPr="00585172" w:rsidRDefault="004351E2" w:rsidP="004D7804">
      <w:pPr>
        <w:pStyle w:val="FootnoteText"/>
        <w:ind w:left="720" w:hanging="720"/>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r w:rsidR="00B45DA8" w:rsidRPr="00585172">
        <w:rPr>
          <w:rFonts w:ascii="Times New Roman" w:hAnsi="Times New Roman" w:cs="Times New Roman"/>
        </w:rPr>
        <w:t xml:space="preserve">Ibid 215 [22] (footnotes omitted). </w:t>
      </w:r>
    </w:p>
  </w:footnote>
  <w:footnote w:id="45">
    <w:p w14:paraId="5BA84B06" w14:textId="0D30CD20" w:rsidR="004351E2" w:rsidRPr="00585172" w:rsidRDefault="004351E2" w:rsidP="004D7804">
      <w:pPr>
        <w:pStyle w:val="FootnoteText"/>
        <w:ind w:left="720" w:hanging="720"/>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(2012) 38 VR 569 (</w:t>
      </w:r>
      <w:r w:rsidRPr="00585172">
        <w:rPr>
          <w:rFonts w:ascii="Times New Roman" w:hAnsi="Times New Roman" w:cs="Times New Roman"/>
          <w:i/>
        </w:rPr>
        <w:t>‘</w:t>
      </w:r>
      <w:proofErr w:type="spellStart"/>
      <w:r w:rsidRPr="00585172">
        <w:rPr>
          <w:rFonts w:ascii="Times New Roman" w:hAnsi="Times New Roman" w:cs="Times New Roman"/>
          <w:i/>
        </w:rPr>
        <w:t>Noone</w:t>
      </w:r>
      <w:proofErr w:type="spellEnd"/>
      <w:r w:rsidRPr="00585172">
        <w:rPr>
          <w:rFonts w:ascii="Times New Roman" w:hAnsi="Times New Roman" w:cs="Times New Roman"/>
          <w:i/>
        </w:rPr>
        <w:t>’</w:t>
      </w:r>
      <w:r w:rsidRPr="00585172">
        <w:rPr>
          <w:rFonts w:ascii="Times New Roman" w:hAnsi="Times New Roman" w:cs="Times New Roman"/>
        </w:rPr>
        <w:t>)</w:t>
      </w:r>
    </w:p>
  </w:footnote>
  <w:footnote w:id="46">
    <w:p w14:paraId="0A1AFD7C" w14:textId="243A0930" w:rsidR="004351E2" w:rsidRPr="00585172" w:rsidRDefault="004351E2" w:rsidP="004D7804">
      <w:pPr>
        <w:pStyle w:val="FootnoteText"/>
        <w:ind w:left="720" w:hanging="720"/>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 xml:space="preserve">(2010) 25 VR 436. </w:t>
      </w:r>
    </w:p>
  </w:footnote>
  <w:footnote w:id="47">
    <w:p w14:paraId="1FB30789" w14:textId="5A45978B" w:rsidR="004351E2" w:rsidRPr="00585172" w:rsidRDefault="004351E2" w:rsidP="004D7804">
      <w:pPr>
        <w:pStyle w:val="FootnoteText"/>
        <w:ind w:left="720" w:hanging="720"/>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proofErr w:type="spellStart"/>
      <w:r w:rsidRPr="00585172">
        <w:rPr>
          <w:rFonts w:ascii="Times New Roman" w:hAnsi="Times New Roman" w:cs="Times New Roman"/>
          <w:i/>
        </w:rPr>
        <w:t>Noone</w:t>
      </w:r>
      <w:proofErr w:type="spellEnd"/>
      <w:r w:rsidR="002C0409" w:rsidRPr="00585172">
        <w:rPr>
          <w:rFonts w:ascii="Times New Roman" w:hAnsi="Times New Roman" w:cs="Times New Roman"/>
        </w:rPr>
        <w:t xml:space="preserve">, 576-577 [28]-[31] (Warren CJ and </w:t>
      </w:r>
      <w:proofErr w:type="spellStart"/>
      <w:r w:rsidR="002C0409" w:rsidRPr="00585172">
        <w:rPr>
          <w:rFonts w:ascii="Times New Roman" w:hAnsi="Times New Roman" w:cs="Times New Roman"/>
        </w:rPr>
        <w:t>Cavanough</w:t>
      </w:r>
      <w:proofErr w:type="spellEnd"/>
      <w:r w:rsidR="002C0409" w:rsidRPr="00585172">
        <w:rPr>
          <w:rFonts w:ascii="Times New Roman" w:hAnsi="Times New Roman" w:cs="Times New Roman"/>
        </w:rPr>
        <w:t xml:space="preserve"> AJA). </w:t>
      </w:r>
    </w:p>
  </w:footnote>
  <w:footnote w:id="48">
    <w:p w14:paraId="646956F8" w14:textId="63E33066" w:rsidR="004351E2" w:rsidRPr="00585172" w:rsidRDefault="004351E2" w:rsidP="004D7804">
      <w:pPr>
        <w:pStyle w:val="FootnoteText"/>
        <w:ind w:left="720" w:hanging="720"/>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r w:rsidR="002C0409" w:rsidRPr="00585172">
        <w:rPr>
          <w:rFonts w:ascii="Times New Roman" w:hAnsi="Times New Roman" w:cs="Times New Roman"/>
        </w:rPr>
        <w:t xml:space="preserve">Ibid 609 [142] (Nettle JA). </w:t>
      </w:r>
    </w:p>
  </w:footnote>
  <w:footnote w:id="49">
    <w:p w14:paraId="1583569F" w14:textId="7A88D256" w:rsidR="004351E2" w:rsidRPr="00585172" w:rsidRDefault="004351E2" w:rsidP="004D7804">
      <w:pPr>
        <w:pStyle w:val="FootnoteText"/>
        <w:ind w:left="720" w:hanging="720"/>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(2013) 41 VR 359.</w:t>
      </w:r>
    </w:p>
  </w:footnote>
  <w:footnote w:id="50">
    <w:p w14:paraId="74FB5D43" w14:textId="6DFA220E" w:rsidR="004351E2" w:rsidRPr="004D7804" w:rsidRDefault="004351E2" w:rsidP="004D7804">
      <w:pPr>
        <w:pStyle w:val="FootnoteText"/>
        <w:ind w:left="720" w:hanging="720"/>
        <w:rPr>
          <w:rFonts w:ascii="Book Antiqua" w:hAnsi="Book Antiqua"/>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Ibid 384 [88].</w:t>
      </w:r>
      <w:r w:rsidRPr="004D7804">
        <w:rPr>
          <w:rFonts w:ascii="Book Antiqua" w:hAnsi="Book Antiqua"/>
        </w:rPr>
        <w:t xml:space="preserve"> </w:t>
      </w:r>
    </w:p>
  </w:footnote>
  <w:footnote w:id="51">
    <w:p w14:paraId="1F5AA6AE" w14:textId="77777777" w:rsidR="00F8003B" w:rsidRPr="00585172" w:rsidRDefault="00F8003B" w:rsidP="00F8003B">
      <w:pPr>
        <w:pStyle w:val="FootnoteText"/>
        <w:ind w:left="720" w:hanging="720"/>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proofErr w:type="spellStart"/>
      <w:r w:rsidRPr="00585172">
        <w:rPr>
          <w:rFonts w:ascii="Times New Roman" w:hAnsi="Times New Roman" w:cs="Times New Roman"/>
          <w:i/>
        </w:rPr>
        <w:t>Kable</w:t>
      </w:r>
      <w:proofErr w:type="spellEnd"/>
      <w:r w:rsidRPr="00585172">
        <w:rPr>
          <w:rFonts w:ascii="Times New Roman" w:hAnsi="Times New Roman" w:cs="Times New Roman"/>
          <w:i/>
        </w:rPr>
        <w:t xml:space="preserve"> v Director of Public Prosecutions (NSW) </w:t>
      </w:r>
      <w:r w:rsidRPr="00585172">
        <w:rPr>
          <w:rFonts w:ascii="Times New Roman" w:hAnsi="Times New Roman" w:cs="Times New Roman"/>
        </w:rPr>
        <w:t>(1996) 189 CLR 51 (‘</w:t>
      </w:r>
      <w:proofErr w:type="spellStart"/>
      <w:r w:rsidRPr="00585172">
        <w:rPr>
          <w:rFonts w:ascii="Times New Roman" w:hAnsi="Times New Roman" w:cs="Times New Roman"/>
          <w:i/>
        </w:rPr>
        <w:t>Kable</w:t>
      </w:r>
      <w:proofErr w:type="spellEnd"/>
      <w:r w:rsidRPr="00585172">
        <w:rPr>
          <w:rFonts w:ascii="Times New Roman" w:hAnsi="Times New Roman" w:cs="Times New Roman"/>
        </w:rPr>
        <w:t>’).</w:t>
      </w:r>
    </w:p>
  </w:footnote>
  <w:footnote w:id="52">
    <w:p w14:paraId="654DE78F" w14:textId="77777777" w:rsidR="00C9044D" w:rsidRPr="004D7804" w:rsidRDefault="00C9044D" w:rsidP="00C9044D">
      <w:pPr>
        <w:pStyle w:val="FootnoteText"/>
        <w:ind w:left="720" w:hanging="720"/>
        <w:rPr>
          <w:rFonts w:ascii="Book Antiqua" w:hAnsi="Book Antiqua"/>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 xml:space="preserve">I refer here to the Court’s excursus into ‘diversity jurisdiction’ based upon the fact that </w:t>
      </w:r>
      <w:proofErr w:type="spellStart"/>
      <w:r w:rsidRPr="00585172">
        <w:rPr>
          <w:rFonts w:ascii="Times New Roman" w:hAnsi="Times New Roman" w:cs="Times New Roman"/>
        </w:rPr>
        <w:t>Momcilovic</w:t>
      </w:r>
      <w:proofErr w:type="spellEnd"/>
      <w:r w:rsidRPr="00585172">
        <w:rPr>
          <w:rFonts w:ascii="Times New Roman" w:hAnsi="Times New Roman" w:cs="Times New Roman"/>
        </w:rPr>
        <w:t xml:space="preserve"> happened to be residing in Queensland at the time her trial began.  This was a matter the significance of which had escaped the attention of all parties until it was first raised by the High Court.  It was said to have rendered the appellant’s trial for what was, after all, a purely state offence, a trial conducted in federal jurisdiction.  Interesting as the point may have been, it is difficult, having regard to </w:t>
      </w:r>
      <w:proofErr w:type="spellStart"/>
      <w:r w:rsidRPr="00585172">
        <w:rPr>
          <w:rFonts w:ascii="Times New Roman" w:hAnsi="Times New Roman" w:cs="Times New Roman"/>
          <w:i/>
        </w:rPr>
        <w:t>Kable</w:t>
      </w:r>
      <w:proofErr w:type="spellEnd"/>
      <w:r w:rsidRPr="00585172">
        <w:rPr>
          <w:rFonts w:ascii="Times New Roman" w:hAnsi="Times New Roman" w:cs="Times New Roman"/>
          <w:i/>
        </w:rPr>
        <w:t xml:space="preserve">, </w:t>
      </w:r>
      <w:r w:rsidRPr="00585172">
        <w:rPr>
          <w:rFonts w:ascii="Times New Roman" w:hAnsi="Times New Roman" w:cs="Times New Roman"/>
        </w:rPr>
        <w:t>to see why that fact should have assumed any real constitutional significance.</w:t>
      </w:r>
      <w:r w:rsidRPr="004D7804">
        <w:rPr>
          <w:rFonts w:ascii="Book Antiqua" w:hAnsi="Book Antiqua"/>
        </w:rPr>
        <w:t xml:space="preserve"> </w:t>
      </w:r>
    </w:p>
  </w:footnote>
  <w:footnote w:id="53">
    <w:p w14:paraId="211EB456" w14:textId="77777777" w:rsidR="00A01D6F" w:rsidRPr="00585172" w:rsidRDefault="00A01D6F" w:rsidP="00A01D6F">
      <w:pPr>
        <w:pStyle w:val="FootnoteText"/>
        <w:rPr>
          <w:rFonts w:ascii="Times New Roman" w:hAnsi="Times New Roman" w:cs="Times New Roman"/>
          <w:i/>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 xml:space="preserve">D C Pearce and R S Geddes, </w:t>
      </w:r>
      <w:r w:rsidRPr="00585172">
        <w:rPr>
          <w:rFonts w:ascii="Times New Roman" w:hAnsi="Times New Roman" w:cs="Times New Roman"/>
          <w:i/>
        </w:rPr>
        <w:t xml:space="preserve">Statutory Interpretation Australia </w:t>
      </w:r>
      <w:r w:rsidRPr="00585172">
        <w:rPr>
          <w:rFonts w:ascii="Times New Roman" w:hAnsi="Times New Roman" w:cs="Times New Roman"/>
        </w:rPr>
        <w:t xml:space="preserve">(LexisNexis </w:t>
      </w:r>
      <w:proofErr w:type="spellStart"/>
      <w:r w:rsidRPr="00585172">
        <w:rPr>
          <w:rFonts w:ascii="Times New Roman" w:hAnsi="Times New Roman" w:cs="Times New Roman"/>
        </w:rPr>
        <w:t>Butterworths</w:t>
      </w:r>
      <w:proofErr w:type="spellEnd"/>
      <w:r w:rsidRPr="00585172">
        <w:rPr>
          <w:rFonts w:ascii="Times New Roman" w:hAnsi="Times New Roman" w:cs="Times New Roman"/>
        </w:rPr>
        <w:t>, 8</w:t>
      </w:r>
      <w:r w:rsidRPr="00585172">
        <w:rPr>
          <w:rFonts w:ascii="Times New Roman" w:hAnsi="Times New Roman" w:cs="Times New Roman"/>
          <w:vertAlign w:val="superscript"/>
        </w:rPr>
        <w:t>th</w:t>
      </w:r>
      <w:r w:rsidRPr="00585172">
        <w:rPr>
          <w:rFonts w:ascii="Times New Roman" w:hAnsi="Times New Roman" w:cs="Times New Roman"/>
        </w:rPr>
        <w:t xml:space="preserve"> </w:t>
      </w:r>
      <w:proofErr w:type="spellStart"/>
      <w:proofErr w:type="gramStart"/>
      <w:r w:rsidRPr="00585172">
        <w:rPr>
          <w:rFonts w:ascii="Times New Roman" w:hAnsi="Times New Roman" w:cs="Times New Roman"/>
        </w:rPr>
        <w:t>ed</w:t>
      </w:r>
      <w:proofErr w:type="spellEnd"/>
      <w:proofErr w:type="gramEnd"/>
      <w:r w:rsidRPr="00585172">
        <w:rPr>
          <w:rFonts w:ascii="Times New Roman" w:hAnsi="Times New Roman" w:cs="Times New Roman"/>
        </w:rPr>
        <w:t xml:space="preserve">, </w:t>
      </w:r>
      <w:r w:rsidRPr="00585172">
        <w:rPr>
          <w:rFonts w:ascii="Times New Roman" w:hAnsi="Times New Roman" w:cs="Times New Roman"/>
        </w:rPr>
        <w:tab/>
        <w:t>2014) 211.</w:t>
      </w:r>
      <w:r w:rsidRPr="00585172">
        <w:rPr>
          <w:rFonts w:ascii="Times New Roman" w:hAnsi="Times New Roman" w:cs="Times New Roman"/>
          <w:i/>
        </w:rPr>
        <w:t xml:space="preserve"> </w:t>
      </w:r>
    </w:p>
  </w:footnote>
  <w:footnote w:id="54">
    <w:p w14:paraId="1B43D294" w14:textId="633410C8" w:rsidR="009C03AC" w:rsidRPr="00585172" w:rsidRDefault="009C03AC">
      <w:pPr>
        <w:pStyle w:val="FootnoteText"/>
        <w:rPr>
          <w:rFonts w:ascii="Times New Roman" w:hAnsi="Times New Roman" w:cs="Times New Roman"/>
          <w:i/>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r w:rsidR="00A01D6F" w:rsidRPr="00585172">
        <w:rPr>
          <w:rFonts w:ascii="Times New Roman" w:hAnsi="Times New Roman" w:cs="Times New Roman"/>
        </w:rPr>
        <w:t xml:space="preserve">Ibid. </w:t>
      </w:r>
      <w:r w:rsidRPr="00585172">
        <w:rPr>
          <w:rFonts w:ascii="Times New Roman" w:hAnsi="Times New Roman" w:cs="Times New Roman"/>
          <w:i/>
        </w:rPr>
        <w:t xml:space="preserve"> </w:t>
      </w:r>
    </w:p>
  </w:footnote>
  <w:footnote w:id="55">
    <w:p w14:paraId="3E03D10D" w14:textId="4707A4AC" w:rsidR="009F4CF4" w:rsidRPr="00585172" w:rsidRDefault="009F4CF4">
      <w:pPr>
        <w:pStyle w:val="FootnoteText"/>
        <w:rPr>
          <w:rFonts w:ascii="Times New Roman" w:hAnsi="Times New Roman" w:cs="Times New Roman"/>
        </w:rPr>
      </w:pPr>
      <w:r w:rsidRPr="00585172">
        <w:rPr>
          <w:rStyle w:val="FootnoteReference"/>
          <w:rFonts w:ascii="Times New Roman" w:hAnsi="Times New Roman" w:cs="Times New Roman"/>
        </w:rPr>
        <w:footnoteRef/>
      </w:r>
      <w:r w:rsidR="00A01D6F" w:rsidRPr="00585172">
        <w:rPr>
          <w:rFonts w:ascii="Times New Roman" w:hAnsi="Times New Roman" w:cs="Times New Roman"/>
        </w:rPr>
        <w:tab/>
        <w:t xml:space="preserve">Ibid. </w:t>
      </w:r>
      <w:r w:rsidR="00A01D6F" w:rsidRPr="00585172">
        <w:rPr>
          <w:rFonts w:ascii="Times New Roman" w:hAnsi="Times New Roman" w:cs="Times New Roman"/>
          <w:i/>
        </w:rPr>
        <w:t xml:space="preserve"> </w:t>
      </w:r>
    </w:p>
  </w:footnote>
  <w:footnote w:id="56">
    <w:p w14:paraId="4E068AA1" w14:textId="6CDD1C5A" w:rsidR="004351E2" w:rsidRPr="00585172" w:rsidRDefault="004351E2" w:rsidP="004D7804">
      <w:pPr>
        <w:pStyle w:val="FootnoteText"/>
        <w:ind w:left="720" w:hanging="720"/>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(1994) 179 CLR 427 (‘</w:t>
      </w:r>
      <w:r w:rsidRPr="00585172">
        <w:rPr>
          <w:rFonts w:ascii="Times New Roman" w:hAnsi="Times New Roman" w:cs="Times New Roman"/>
          <w:i/>
        </w:rPr>
        <w:t>Coco</w:t>
      </w:r>
      <w:r w:rsidRPr="00585172">
        <w:rPr>
          <w:rFonts w:ascii="Times New Roman" w:hAnsi="Times New Roman" w:cs="Times New Roman"/>
        </w:rPr>
        <w:t xml:space="preserve">’). </w:t>
      </w:r>
    </w:p>
  </w:footnote>
  <w:footnote w:id="57">
    <w:p w14:paraId="7737A973" w14:textId="79959304" w:rsidR="004351E2" w:rsidRPr="00585172" w:rsidRDefault="004351E2" w:rsidP="004D7804">
      <w:pPr>
        <w:pStyle w:val="FootnoteText"/>
        <w:ind w:left="720" w:hanging="720"/>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Ibid</w:t>
      </w:r>
      <w:r w:rsidRPr="00585172">
        <w:rPr>
          <w:rFonts w:ascii="Times New Roman" w:hAnsi="Times New Roman" w:cs="Times New Roman"/>
          <w:i/>
        </w:rPr>
        <w:t xml:space="preserve"> </w:t>
      </w:r>
      <w:r w:rsidRPr="00585172">
        <w:rPr>
          <w:rFonts w:ascii="Times New Roman" w:hAnsi="Times New Roman" w:cs="Times New Roman"/>
        </w:rPr>
        <w:t xml:space="preserve">437-438 (Mason CJ, Brennan, </w:t>
      </w:r>
      <w:proofErr w:type="spellStart"/>
      <w:r w:rsidRPr="00585172">
        <w:rPr>
          <w:rFonts w:ascii="Times New Roman" w:hAnsi="Times New Roman" w:cs="Times New Roman"/>
        </w:rPr>
        <w:t>Gaudron</w:t>
      </w:r>
      <w:proofErr w:type="spellEnd"/>
      <w:r w:rsidRPr="00585172">
        <w:rPr>
          <w:rFonts w:ascii="Times New Roman" w:hAnsi="Times New Roman" w:cs="Times New Roman"/>
        </w:rPr>
        <w:t xml:space="preserve">, McHugh JJ). </w:t>
      </w:r>
    </w:p>
  </w:footnote>
  <w:footnote w:id="58">
    <w:p w14:paraId="7771AF95" w14:textId="4ADD06B8" w:rsidR="004351E2" w:rsidRPr="00585172" w:rsidRDefault="004351E2" w:rsidP="004D7804">
      <w:pPr>
        <w:pStyle w:val="FootnoteText"/>
        <w:ind w:left="720" w:hanging="720"/>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r w:rsidRPr="00585172">
        <w:rPr>
          <w:rFonts w:ascii="Times New Roman" w:hAnsi="Times New Roman" w:cs="Times New Roman"/>
          <w:i/>
        </w:rPr>
        <w:t>Al-</w:t>
      </w:r>
      <w:proofErr w:type="spellStart"/>
      <w:r w:rsidRPr="00585172">
        <w:rPr>
          <w:rFonts w:ascii="Times New Roman" w:hAnsi="Times New Roman" w:cs="Times New Roman"/>
          <w:i/>
        </w:rPr>
        <w:t>Kateb</w:t>
      </w:r>
      <w:proofErr w:type="spellEnd"/>
      <w:r w:rsidRPr="00585172">
        <w:rPr>
          <w:rFonts w:ascii="Times New Roman" w:hAnsi="Times New Roman" w:cs="Times New Roman"/>
          <w:i/>
        </w:rPr>
        <w:t xml:space="preserve"> v Godwin </w:t>
      </w:r>
      <w:r w:rsidRPr="00585172">
        <w:rPr>
          <w:rFonts w:ascii="Times New Roman" w:hAnsi="Times New Roman" w:cs="Times New Roman"/>
        </w:rPr>
        <w:t xml:space="preserve">(2004) 219 CLR 562, 577 [19] (Gleeson CJ). </w:t>
      </w:r>
    </w:p>
  </w:footnote>
  <w:footnote w:id="59">
    <w:p w14:paraId="55B039FC" w14:textId="7540CB38" w:rsidR="00736BD9" w:rsidRPr="004D7804" w:rsidRDefault="00736BD9" w:rsidP="00736BD9">
      <w:pPr>
        <w:spacing w:after="0"/>
        <w:ind w:left="720" w:hanging="720"/>
        <w:rPr>
          <w:rFonts w:ascii="Book Antiqua" w:hAnsi="Book Antiqua"/>
          <w:b/>
          <w:i/>
          <w:sz w:val="20"/>
          <w:szCs w:val="20"/>
        </w:rPr>
      </w:pPr>
      <w:r w:rsidRPr="00585172">
        <w:rPr>
          <w:rStyle w:val="FootnoteReference"/>
          <w:rFonts w:ascii="Times New Roman" w:hAnsi="Times New Roman" w:cs="Times New Roman"/>
          <w:sz w:val="20"/>
          <w:szCs w:val="20"/>
        </w:rPr>
        <w:footnoteRef/>
      </w:r>
      <w:r w:rsidRPr="00585172">
        <w:rPr>
          <w:rFonts w:ascii="Times New Roman" w:hAnsi="Times New Roman" w:cs="Times New Roman"/>
          <w:sz w:val="20"/>
          <w:szCs w:val="20"/>
        </w:rPr>
        <w:t xml:space="preserve"> </w:t>
      </w:r>
      <w:r w:rsidRPr="00585172">
        <w:rPr>
          <w:rFonts w:ascii="Times New Roman" w:hAnsi="Times New Roman" w:cs="Times New Roman"/>
          <w:sz w:val="20"/>
          <w:szCs w:val="20"/>
        </w:rPr>
        <w:tab/>
      </w:r>
      <w:r w:rsidR="00754DC5" w:rsidRPr="00585172">
        <w:rPr>
          <w:rFonts w:ascii="Times New Roman" w:hAnsi="Times New Roman" w:cs="Times New Roman"/>
          <w:sz w:val="20"/>
          <w:szCs w:val="20"/>
        </w:rPr>
        <w:t>Ibid.</w:t>
      </w:r>
      <w:r w:rsidR="00754DC5">
        <w:rPr>
          <w:rFonts w:ascii="Book Antiqua" w:hAnsi="Book Antiqua"/>
          <w:i/>
          <w:sz w:val="20"/>
          <w:szCs w:val="20"/>
        </w:rPr>
        <w:t xml:space="preserve"> </w:t>
      </w:r>
    </w:p>
  </w:footnote>
  <w:footnote w:id="60">
    <w:p w14:paraId="32AD7CBB" w14:textId="667FE2B3" w:rsidR="004351E2" w:rsidRPr="00585172" w:rsidRDefault="004351E2" w:rsidP="004D7804">
      <w:pPr>
        <w:spacing w:after="0"/>
        <w:ind w:left="720" w:hanging="720"/>
        <w:rPr>
          <w:rFonts w:ascii="Times New Roman" w:hAnsi="Times New Roman" w:cs="Times New Roman"/>
          <w:b/>
          <w:i/>
          <w:sz w:val="20"/>
          <w:szCs w:val="20"/>
        </w:rPr>
      </w:pPr>
      <w:r w:rsidRPr="00585172">
        <w:rPr>
          <w:rStyle w:val="FootnoteReference"/>
          <w:rFonts w:ascii="Times New Roman" w:hAnsi="Times New Roman" w:cs="Times New Roman"/>
          <w:sz w:val="20"/>
          <w:szCs w:val="20"/>
        </w:rPr>
        <w:footnoteRef/>
      </w:r>
      <w:r w:rsidRPr="00585172">
        <w:rPr>
          <w:rFonts w:ascii="Times New Roman" w:hAnsi="Times New Roman" w:cs="Times New Roman"/>
          <w:sz w:val="20"/>
          <w:szCs w:val="20"/>
        </w:rPr>
        <w:t xml:space="preserve"> </w:t>
      </w:r>
      <w:r w:rsidRPr="00585172">
        <w:rPr>
          <w:rFonts w:ascii="Times New Roman" w:hAnsi="Times New Roman" w:cs="Times New Roman"/>
          <w:sz w:val="20"/>
          <w:szCs w:val="20"/>
        </w:rPr>
        <w:tab/>
        <w:t xml:space="preserve">Ibid (footnotes omitted).  See also </w:t>
      </w:r>
      <w:r w:rsidRPr="00585172">
        <w:rPr>
          <w:rFonts w:ascii="Times New Roman" w:hAnsi="Times New Roman" w:cs="Times New Roman"/>
          <w:i/>
          <w:sz w:val="20"/>
          <w:szCs w:val="20"/>
        </w:rPr>
        <w:t xml:space="preserve">Electrolux Home Products Pty Ltd v Australian Workers’ Union </w:t>
      </w:r>
      <w:r w:rsidRPr="00585172">
        <w:rPr>
          <w:rFonts w:ascii="Times New Roman" w:hAnsi="Times New Roman" w:cs="Times New Roman"/>
          <w:sz w:val="20"/>
          <w:szCs w:val="20"/>
        </w:rPr>
        <w:t xml:space="preserve">(2004) 221 CLR 309, 329 [21] (Gleeson CJ); and </w:t>
      </w:r>
      <w:r w:rsidRPr="00585172">
        <w:rPr>
          <w:rFonts w:ascii="Times New Roman" w:hAnsi="Times New Roman" w:cs="Times New Roman"/>
          <w:i/>
          <w:sz w:val="20"/>
          <w:szCs w:val="20"/>
        </w:rPr>
        <w:t xml:space="preserve">Lee v NSW Crime Commission </w:t>
      </w:r>
      <w:r w:rsidRPr="00585172">
        <w:rPr>
          <w:rFonts w:ascii="Times New Roman" w:hAnsi="Times New Roman" w:cs="Times New Roman"/>
          <w:sz w:val="20"/>
          <w:szCs w:val="20"/>
        </w:rPr>
        <w:t>(2013) 251 CLR 196</w:t>
      </w:r>
      <w:r w:rsidRPr="00585172">
        <w:rPr>
          <w:rFonts w:ascii="Times New Roman" w:hAnsi="Times New Roman" w:cs="Times New Roman"/>
          <w:i/>
          <w:sz w:val="20"/>
          <w:szCs w:val="20"/>
        </w:rPr>
        <w:t xml:space="preserve">, </w:t>
      </w:r>
      <w:r w:rsidRPr="00585172">
        <w:rPr>
          <w:rFonts w:ascii="Times New Roman" w:hAnsi="Times New Roman" w:cs="Times New Roman"/>
          <w:sz w:val="20"/>
          <w:szCs w:val="20"/>
        </w:rPr>
        <w:t>309-310</w:t>
      </w:r>
      <w:r w:rsidRPr="00585172">
        <w:rPr>
          <w:rFonts w:ascii="Times New Roman" w:hAnsi="Times New Roman" w:cs="Times New Roman"/>
          <w:i/>
          <w:sz w:val="20"/>
          <w:szCs w:val="20"/>
        </w:rPr>
        <w:t xml:space="preserve"> </w:t>
      </w:r>
      <w:r w:rsidRPr="00585172">
        <w:rPr>
          <w:rFonts w:ascii="Times New Roman" w:hAnsi="Times New Roman" w:cs="Times New Roman"/>
          <w:sz w:val="20"/>
          <w:szCs w:val="20"/>
        </w:rPr>
        <w:t>[312]-[313]</w:t>
      </w:r>
      <w:r w:rsidRPr="00585172">
        <w:rPr>
          <w:rFonts w:ascii="Times New Roman" w:hAnsi="Times New Roman" w:cs="Times New Roman"/>
          <w:i/>
          <w:sz w:val="20"/>
          <w:szCs w:val="20"/>
        </w:rPr>
        <w:t xml:space="preserve"> </w:t>
      </w:r>
      <w:r w:rsidRPr="00585172">
        <w:rPr>
          <w:rFonts w:ascii="Times New Roman" w:hAnsi="Times New Roman" w:cs="Times New Roman"/>
          <w:sz w:val="20"/>
          <w:szCs w:val="20"/>
        </w:rPr>
        <w:t>(</w:t>
      </w:r>
      <w:proofErr w:type="spellStart"/>
      <w:r w:rsidRPr="00585172">
        <w:rPr>
          <w:rFonts w:ascii="Times New Roman" w:hAnsi="Times New Roman" w:cs="Times New Roman"/>
          <w:sz w:val="20"/>
          <w:szCs w:val="20"/>
        </w:rPr>
        <w:t>Gageler</w:t>
      </w:r>
      <w:proofErr w:type="spellEnd"/>
      <w:r w:rsidRPr="00585172">
        <w:rPr>
          <w:rFonts w:ascii="Times New Roman" w:hAnsi="Times New Roman" w:cs="Times New Roman"/>
          <w:sz w:val="20"/>
          <w:szCs w:val="20"/>
        </w:rPr>
        <w:t xml:space="preserve"> and Keane JJ)</w:t>
      </w:r>
      <w:r w:rsidR="00AA3C5E" w:rsidRPr="00585172">
        <w:rPr>
          <w:rFonts w:ascii="Times New Roman" w:hAnsi="Times New Roman" w:cs="Times New Roman"/>
          <w:sz w:val="20"/>
          <w:szCs w:val="20"/>
        </w:rPr>
        <w:t xml:space="preserve"> (</w:t>
      </w:r>
      <w:r w:rsidR="00AA3C5E" w:rsidRPr="00585172">
        <w:rPr>
          <w:rFonts w:ascii="Times New Roman" w:hAnsi="Times New Roman" w:cs="Times New Roman"/>
          <w:i/>
          <w:sz w:val="20"/>
          <w:szCs w:val="20"/>
        </w:rPr>
        <w:t>‘Lee’</w:t>
      </w:r>
      <w:r w:rsidR="00AA3C5E" w:rsidRPr="00585172">
        <w:rPr>
          <w:rFonts w:ascii="Times New Roman" w:hAnsi="Times New Roman" w:cs="Times New Roman"/>
          <w:sz w:val="20"/>
          <w:szCs w:val="20"/>
        </w:rPr>
        <w:t>)</w:t>
      </w:r>
      <w:r w:rsidRPr="00585172">
        <w:rPr>
          <w:rFonts w:ascii="Times New Roman" w:hAnsi="Times New Roman" w:cs="Times New Roman"/>
          <w:sz w:val="20"/>
          <w:szCs w:val="20"/>
        </w:rPr>
        <w:t xml:space="preserve"> where their Honours described this principle of construction as having ‘deep historical roots’.  </w:t>
      </w:r>
    </w:p>
  </w:footnote>
  <w:footnote w:id="61">
    <w:p w14:paraId="29DE8FBA" w14:textId="62250B3F" w:rsidR="004351E2" w:rsidRPr="00585172" w:rsidRDefault="004351E2" w:rsidP="004D7804">
      <w:pPr>
        <w:pStyle w:val="FootnoteText"/>
        <w:ind w:left="720" w:hanging="720"/>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proofErr w:type="spellStart"/>
      <w:r w:rsidRPr="00585172">
        <w:rPr>
          <w:rFonts w:ascii="Times New Roman" w:hAnsi="Times New Roman" w:cs="Times New Roman"/>
          <w:i/>
        </w:rPr>
        <w:t>McCloy</w:t>
      </w:r>
      <w:proofErr w:type="spellEnd"/>
      <w:r w:rsidRPr="00585172">
        <w:rPr>
          <w:rFonts w:ascii="Times New Roman" w:hAnsi="Times New Roman" w:cs="Times New Roman"/>
          <w:i/>
        </w:rPr>
        <w:t xml:space="preserve"> v New South Wales </w:t>
      </w:r>
      <w:r w:rsidRPr="00585172">
        <w:rPr>
          <w:rFonts w:ascii="Times New Roman" w:hAnsi="Times New Roman" w:cs="Times New Roman"/>
        </w:rPr>
        <w:t xml:space="preserve">(2015) 325 ALR 15.  See also </w:t>
      </w:r>
      <w:r w:rsidRPr="00585172">
        <w:rPr>
          <w:rFonts w:ascii="Times New Roman" w:hAnsi="Times New Roman" w:cs="Times New Roman"/>
          <w:i/>
        </w:rPr>
        <w:t xml:space="preserve">PJB v Melbourne Health </w:t>
      </w:r>
      <w:r w:rsidRPr="00585172">
        <w:rPr>
          <w:rFonts w:ascii="Times New Roman" w:hAnsi="Times New Roman" w:cs="Times New Roman"/>
        </w:rPr>
        <w:t xml:space="preserve">(2011) 39 VR 373, where Bell J presciently observed that notions of proportionality were central to interpretation under the principle of legality.  </w:t>
      </w:r>
    </w:p>
  </w:footnote>
  <w:footnote w:id="62">
    <w:p w14:paraId="09CF9495" w14:textId="0422C88C" w:rsidR="000578FE" w:rsidRPr="00585172" w:rsidRDefault="000578FE">
      <w:pPr>
        <w:pStyle w:val="FootnoteText"/>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proofErr w:type="spellStart"/>
      <w:r w:rsidRPr="00585172">
        <w:rPr>
          <w:rFonts w:ascii="Times New Roman" w:hAnsi="Times New Roman" w:cs="Times New Roman"/>
          <w:i/>
        </w:rPr>
        <w:t>Momcilovic</w:t>
      </w:r>
      <w:proofErr w:type="spellEnd"/>
      <w:r w:rsidRPr="00585172">
        <w:rPr>
          <w:rFonts w:ascii="Times New Roman" w:hAnsi="Times New Roman" w:cs="Times New Roman"/>
        </w:rPr>
        <w:t xml:space="preserve">, 50 [51] (French CJ). </w:t>
      </w:r>
    </w:p>
  </w:footnote>
  <w:footnote w:id="63">
    <w:p w14:paraId="69FBF354" w14:textId="532C6EDB" w:rsidR="004351E2" w:rsidRPr="00585172" w:rsidRDefault="004351E2">
      <w:pPr>
        <w:pStyle w:val="FootnoteText"/>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[2013] VSCA 37 (4 March 2013) (‘</w:t>
      </w:r>
      <w:proofErr w:type="spellStart"/>
      <w:r w:rsidRPr="00585172">
        <w:rPr>
          <w:rFonts w:ascii="Times New Roman" w:hAnsi="Times New Roman" w:cs="Times New Roman"/>
          <w:i/>
        </w:rPr>
        <w:t>Taha</w:t>
      </w:r>
      <w:proofErr w:type="spellEnd"/>
      <w:r w:rsidRPr="00585172">
        <w:rPr>
          <w:rFonts w:ascii="Times New Roman" w:hAnsi="Times New Roman" w:cs="Times New Roman"/>
        </w:rPr>
        <w:t xml:space="preserve">’). </w:t>
      </w:r>
    </w:p>
  </w:footnote>
  <w:footnote w:id="64">
    <w:p w14:paraId="4CAD75A6" w14:textId="452E7AED" w:rsidR="009537D4" w:rsidRPr="00585172" w:rsidRDefault="009537D4">
      <w:pPr>
        <w:pStyle w:val="FootnoteText"/>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r w:rsidR="005603BA" w:rsidRPr="00585172">
        <w:rPr>
          <w:rFonts w:ascii="Times New Roman" w:hAnsi="Times New Roman" w:cs="Times New Roman"/>
        </w:rPr>
        <w:t xml:space="preserve">Ibid 79 [189] (Tate JA). </w:t>
      </w:r>
    </w:p>
  </w:footnote>
  <w:footnote w:id="65">
    <w:p w14:paraId="2C32C6C9" w14:textId="2A935178" w:rsidR="004351E2" w:rsidRPr="00585172" w:rsidRDefault="004351E2">
      <w:pPr>
        <w:pStyle w:val="FootnoteText"/>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r w:rsidR="00220C4D" w:rsidRPr="00585172">
        <w:rPr>
          <w:rFonts w:ascii="Times New Roman" w:hAnsi="Times New Roman" w:cs="Times New Roman"/>
        </w:rPr>
        <w:t>Ibid</w:t>
      </w:r>
      <w:r w:rsidRPr="00585172">
        <w:rPr>
          <w:rFonts w:ascii="Times New Roman" w:hAnsi="Times New Roman" w:cs="Times New Roman"/>
        </w:rPr>
        <w:t xml:space="preserve"> 80 [191] (emphasis added). </w:t>
      </w:r>
    </w:p>
  </w:footnote>
  <w:footnote w:id="66">
    <w:p w14:paraId="040736D6" w14:textId="4A8E7F1A" w:rsidR="004351E2" w:rsidRPr="004D7804" w:rsidRDefault="004351E2">
      <w:pPr>
        <w:pStyle w:val="FootnoteText"/>
        <w:rPr>
          <w:rFonts w:ascii="Book Antiqua" w:hAnsi="Book Antiqua"/>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 xml:space="preserve">See </w:t>
      </w:r>
      <w:proofErr w:type="spellStart"/>
      <w:r w:rsidR="00476FAC" w:rsidRPr="00585172">
        <w:rPr>
          <w:rFonts w:ascii="Times New Roman" w:hAnsi="Times New Roman" w:cs="Times New Roman"/>
        </w:rPr>
        <w:t>Debeljak</w:t>
      </w:r>
      <w:proofErr w:type="spellEnd"/>
      <w:r w:rsidR="00476FAC" w:rsidRPr="00585172">
        <w:rPr>
          <w:rFonts w:ascii="Times New Roman" w:hAnsi="Times New Roman" w:cs="Times New Roman"/>
        </w:rPr>
        <w:t>, above n 28</w:t>
      </w:r>
      <w:r w:rsidR="000D66AD" w:rsidRPr="00585172">
        <w:rPr>
          <w:rFonts w:ascii="Times New Roman" w:hAnsi="Times New Roman" w:cs="Times New Roman"/>
        </w:rPr>
        <w:t>, 387.</w:t>
      </w:r>
      <w:r w:rsidR="000D66AD">
        <w:rPr>
          <w:rFonts w:ascii="Book Antiqua" w:hAnsi="Book Antiqua"/>
        </w:rPr>
        <w:t xml:space="preserve"> </w:t>
      </w:r>
    </w:p>
  </w:footnote>
  <w:footnote w:id="67">
    <w:p w14:paraId="7D5608C1" w14:textId="12040B34" w:rsidR="004351E2" w:rsidRPr="00585172" w:rsidRDefault="004351E2" w:rsidP="004D7804">
      <w:pPr>
        <w:pStyle w:val="FootnoteText"/>
        <w:ind w:left="720" w:hanging="720"/>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r w:rsidRPr="00585172">
        <w:rPr>
          <w:rFonts w:ascii="Times New Roman" w:hAnsi="Times New Roman" w:cs="Times New Roman"/>
          <w:i/>
        </w:rPr>
        <w:t>WBM v Chief Commissioner of Police</w:t>
      </w:r>
      <w:r w:rsidRPr="00585172">
        <w:rPr>
          <w:rFonts w:ascii="Times New Roman" w:hAnsi="Times New Roman" w:cs="Times New Roman"/>
        </w:rPr>
        <w:t xml:space="preserve"> (2012) 43 VR 446.  The appellant argued, inter alia, that the statutory definition of ‘existing controlled registrable offender’ was ambiguous and should be resolved using common law principles of construction including the principle of legality, and section 32(1) of the Charter.  Chief Justice Warren, with whom Hansen JA agreed, considered that there was no ambiguity in the relevant provision. However, her Honour addressed the appellant’s arguments about construction, considering that the question whether the right to privacy exists at common law had not been settled by the High Court, or any superior court of record.  Her Honour also considered that the Charter did not apply as it was not in force at the relevant time but that, even if it had been applicable, it would have been of no assistance ‘as none of the constructions urged by the parties are incompatible with the Charter right [to privacy]’ (at [94]).  Justice Bell disagreed in part.  His Honour considered that while the Charter did apply in this case, the relevant statutory provision did not offend the appellant’s right to privacy.  </w:t>
      </w:r>
    </w:p>
  </w:footnote>
  <w:footnote w:id="68">
    <w:p w14:paraId="53D69DC7" w14:textId="5169CF10" w:rsidR="00FC75D8" w:rsidRPr="00585172" w:rsidRDefault="00FC75D8">
      <w:pPr>
        <w:pStyle w:val="FootnoteText"/>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(2013) 251 CLR 196.</w:t>
      </w:r>
    </w:p>
  </w:footnote>
  <w:footnote w:id="69">
    <w:p w14:paraId="39F0B940" w14:textId="125E8B3A" w:rsidR="00A20952" w:rsidRPr="00585172" w:rsidRDefault="00A20952">
      <w:pPr>
        <w:pStyle w:val="FootnoteText"/>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r w:rsidR="00FC3277" w:rsidRPr="00585172">
        <w:rPr>
          <w:rFonts w:ascii="Times New Roman" w:hAnsi="Times New Roman" w:cs="Times New Roman"/>
        </w:rPr>
        <w:t>Ibid 310 [313] (</w:t>
      </w:r>
      <w:proofErr w:type="spellStart"/>
      <w:r w:rsidR="00FC3277" w:rsidRPr="00585172">
        <w:rPr>
          <w:rFonts w:ascii="Times New Roman" w:hAnsi="Times New Roman" w:cs="Times New Roman"/>
        </w:rPr>
        <w:t>Gageler</w:t>
      </w:r>
      <w:proofErr w:type="spellEnd"/>
      <w:r w:rsidR="00FC3277" w:rsidRPr="00585172">
        <w:rPr>
          <w:rFonts w:ascii="Times New Roman" w:hAnsi="Times New Roman" w:cs="Times New Roman"/>
        </w:rPr>
        <w:t xml:space="preserve"> and Keane JJ).</w:t>
      </w:r>
    </w:p>
  </w:footnote>
  <w:footnote w:id="70">
    <w:p w14:paraId="1D3717FC" w14:textId="34F81833" w:rsidR="002007BB" w:rsidRPr="00585172" w:rsidRDefault="002007BB">
      <w:pPr>
        <w:pStyle w:val="FootnoteText"/>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008F2AEB" w:rsidRPr="00585172">
        <w:rPr>
          <w:rFonts w:ascii="Times New Roman" w:hAnsi="Times New Roman" w:cs="Times New Roman"/>
        </w:rPr>
        <w:tab/>
        <w:t>Ibid</w:t>
      </w:r>
    </w:p>
  </w:footnote>
  <w:footnote w:id="71">
    <w:p w14:paraId="0053200A" w14:textId="36AB8C43" w:rsidR="004351E2" w:rsidRPr="004D7804" w:rsidRDefault="004351E2" w:rsidP="004D7804">
      <w:pPr>
        <w:pStyle w:val="FootnoteText"/>
        <w:ind w:left="720" w:hanging="720"/>
        <w:rPr>
          <w:rFonts w:ascii="Book Antiqua" w:hAnsi="Book Antiqua"/>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r w:rsidR="00FC75D8" w:rsidRPr="00585172">
        <w:rPr>
          <w:rFonts w:ascii="Times New Roman" w:hAnsi="Times New Roman" w:cs="Times New Roman"/>
        </w:rPr>
        <w:t>Ibid</w:t>
      </w:r>
      <w:r w:rsidRPr="00585172">
        <w:rPr>
          <w:rFonts w:ascii="Times New Roman" w:hAnsi="Times New Roman" w:cs="Times New Roman"/>
          <w:i/>
        </w:rPr>
        <w:t xml:space="preserve"> </w:t>
      </w:r>
      <w:r w:rsidRPr="00585172">
        <w:rPr>
          <w:rFonts w:ascii="Times New Roman" w:hAnsi="Times New Roman" w:cs="Times New Roman"/>
        </w:rPr>
        <w:t>310-313 [313]-[317] (</w:t>
      </w:r>
      <w:proofErr w:type="spellStart"/>
      <w:r w:rsidRPr="00585172">
        <w:rPr>
          <w:rFonts w:ascii="Times New Roman" w:hAnsi="Times New Roman" w:cs="Times New Roman"/>
        </w:rPr>
        <w:t>Gageler</w:t>
      </w:r>
      <w:proofErr w:type="spellEnd"/>
      <w:r w:rsidRPr="00585172">
        <w:rPr>
          <w:rFonts w:ascii="Times New Roman" w:hAnsi="Times New Roman" w:cs="Times New Roman"/>
        </w:rPr>
        <w:t xml:space="preserve"> and Keane JJ).</w:t>
      </w:r>
    </w:p>
  </w:footnote>
  <w:footnote w:id="72">
    <w:p w14:paraId="03705DEC" w14:textId="39DEABF9" w:rsidR="004351E2" w:rsidRPr="00585172" w:rsidRDefault="004351E2" w:rsidP="004D7804">
      <w:pPr>
        <w:pStyle w:val="FootnoteText"/>
        <w:ind w:left="720" w:hanging="720"/>
        <w:rPr>
          <w:rFonts w:ascii="Times New Roman" w:hAnsi="Times New Roman" w:cs="Times New Roman"/>
          <w:color w:val="000000"/>
          <w:sz w:val="17"/>
          <w:szCs w:val="17"/>
          <w:lang w:val="e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r w:rsidR="000C32F4" w:rsidRPr="00585172">
        <w:rPr>
          <w:rFonts w:ascii="Times New Roman" w:hAnsi="Times New Roman" w:cs="Times New Roman"/>
        </w:rPr>
        <w:t>For example, s</w:t>
      </w:r>
      <w:r w:rsidRPr="00585172">
        <w:rPr>
          <w:rFonts w:ascii="Times New Roman" w:hAnsi="Times New Roman" w:cs="Times New Roman"/>
        </w:rPr>
        <w:t xml:space="preserve">ee </w:t>
      </w:r>
      <w:r w:rsidRPr="00585172">
        <w:rPr>
          <w:rFonts w:ascii="Times New Roman" w:hAnsi="Times New Roman" w:cs="Times New Roman"/>
          <w:i/>
        </w:rPr>
        <w:t xml:space="preserve">Duncan v New South Wales </w:t>
      </w:r>
      <w:r w:rsidRPr="00585172">
        <w:rPr>
          <w:rFonts w:ascii="Times New Roman" w:hAnsi="Times New Roman" w:cs="Times New Roman"/>
        </w:rPr>
        <w:t>(2015) 318 ALR 375</w:t>
      </w:r>
      <w:bookmarkStart w:id="2" w:name="HIT_1"/>
      <w:bookmarkStart w:id="3" w:name="ORIGHIT_1"/>
      <w:bookmarkEnd w:id="2"/>
      <w:bookmarkEnd w:id="3"/>
      <w:r w:rsidRPr="00585172">
        <w:rPr>
          <w:rFonts w:ascii="Times New Roman" w:hAnsi="Times New Roman" w:cs="Times New Roman"/>
        </w:rPr>
        <w:t xml:space="preserve">; </w:t>
      </w:r>
      <w:r w:rsidR="0088620A" w:rsidRPr="00585172">
        <w:rPr>
          <w:rFonts w:ascii="Times New Roman" w:hAnsi="Times New Roman" w:cs="Times New Roman"/>
          <w:i/>
        </w:rPr>
        <w:t xml:space="preserve">Attorney-General (NT) v </w:t>
      </w:r>
      <w:proofErr w:type="spellStart"/>
      <w:r w:rsidR="0088620A" w:rsidRPr="00585172">
        <w:rPr>
          <w:rFonts w:ascii="Times New Roman" w:hAnsi="Times New Roman" w:cs="Times New Roman"/>
          <w:i/>
        </w:rPr>
        <w:t>Emmerson</w:t>
      </w:r>
      <w:proofErr w:type="spellEnd"/>
      <w:r w:rsidR="0088620A" w:rsidRPr="00585172">
        <w:rPr>
          <w:rFonts w:ascii="Times New Roman" w:hAnsi="Times New Roman" w:cs="Times New Roman"/>
          <w:i/>
        </w:rPr>
        <w:t xml:space="preserve"> </w:t>
      </w:r>
      <w:r w:rsidR="0088620A" w:rsidRPr="00585172">
        <w:rPr>
          <w:rFonts w:ascii="Times New Roman" w:hAnsi="Times New Roman" w:cs="Times New Roman"/>
        </w:rPr>
        <w:t>(2014) 307 ALR 174;</w:t>
      </w:r>
      <w:r w:rsidR="0088620A" w:rsidRPr="00585172">
        <w:rPr>
          <w:rFonts w:ascii="Times New Roman" w:hAnsi="Times New Roman" w:cs="Times New Roman"/>
          <w:i/>
        </w:rPr>
        <w:t xml:space="preserve"> </w:t>
      </w:r>
      <w:proofErr w:type="spellStart"/>
      <w:r w:rsidRPr="00585172">
        <w:rPr>
          <w:rFonts w:ascii="Times New Roman" w:hAnsi="Times New Roman" w:cs="Times New Roman"/>
          <w:i/>
        </w:rPr>
        <w:t>Momcilovic</w:t>
      </w:r>
      <w:proofErr w:type="spellEnd"/>
      <w:r w:rsidRPr="00585172">
        <w:rPr>
          <w:rFonts w:ascii="Times New Roman" w:hAnsi="Times New Roman" w:cs="Times New Roman"/>
          <w:i/>
        </w:rPr>
        <w:t xml:space="preserve"> v The Queen </w:t>
      </w:r>
      <w:r w:rsidRPr="00585172">
        <w:rPr>
          <w:rFonts w:ascii="Times New Roman" w:hAnsi="Times New Roman" w:cs="Times New Roman"/>
        </w:rPr>
        <w:t xml:space="preserve">(2011) 245 CLR 1; </w:t>
      </w:r>
      <w:proofErr w:type="spellStart"/>
      <w:r w:rsidR="00513602" w:rsidRPr="00585172">
        <w:rPr>
          <w:rFonts w:ascii="Times New Roman" w:hAnsi="Times New Roman" w:cs="Times New Roman"/>
          <w:i/>
        </w:rPr>
        <w:t>Wainohu</w:t>
      </w:r>
      <w:proofErr w:type="spellEnd"/>
      <w:r w:rsidR="00513602" w:rsidRPr="00585172">
        <w:rPr>
          <w:rFonts w:ascii="Times New Roman" w:hAnsi="Times New Roman" w:cs="Times New Roman"/>
          <w:i/>
        </w:rPr>
        <w:t xml:space="preserve"> v New South Wales </w:t>
      </w:r>
      <w:r w:rsidR="00513602" w:rsidRPr="00585172">
        <w:rPr>
          <w:rFonts w:ascii="Times New Roman" w:hAnsi="Times New Roman" w:cs="Times New Roman"/>
        </w:rPr>
        <w:t xml:space="preserve">(2011) 243 CLR 181; </w:t>
      </w:r>
      <w:r w:rsidRPr="00585172">
        <w:rPr>
          <w:rFonts w:ascii="Times New Roman" w:hAnsi="Times New Roman" w:cs="Times New Roman"/>
          <w:i/>
        </w:rPr>
        <w:t xml:space="preserve">South Australia v </w:t>
      </w:r>
      <w:proofErr w:type="spellStart"/>
      <w:r w:rsidRPr="00585172">
        <w:rPr>
          <w:rFonts w:ascii="Times New Roman" w:hAnsi="Times New Roman" w:cs="Times New Roman"/>
          <w:i/>
        </w:rPr>
        <w:t>Totani</w:t>
      </w:r>
      <w:proofErr w:type="spellEnd"/>
      <w:r w:rsidRPr="00585172">
        <w:rPr>
          <w:rFonts w:ascii="Times New Roman" w:hAnsi="Times New Roman" w:cs="Times New Roman"/>
        </w:rPr>
        <w:t xml:space="preserve"> (2010) 242 CLR 1; and </w:t>
      </w:r>
      <w:r w:rsidRPr="00585172">
        <w:rPr>
          <w:rFonts w:ascii="Times New Roman" w:hAnsi="Times New Roman" w:cs="Times New Roman"/>
          <w:i/>
        </w:rPr>
        <w:t>International Finance Trust Co Ltd v New South Wales Crime Commission</w:t>
      </w:r>
      <w:r w:rsidRPr="00585172">
        <w:rPr>
          <w:rFonts w:ascii="Times New Roman" w:hAnsi="Times New Roman" w:cs="Times New Roman"/>
        </w:rPr>
        <w:t xml:space="preserve"> (2009) 240 CLR 319.</w:t>
      </w:r>
      <w:r w:rsidRPr="00585172">
        <w:rPr>
          <w:rFonts w:ascii="Times New Roman" w:hAnsi="Times New Roman" w:cs="Times New Roman"/>
          <w:i/>
        </w:rPr>
        <w:t xml:space="preserve"> </w:t>
      </w:r>
    </w:p>
  </w:footnote>
  <w:footnote w:id="73">
    <w:p w14:paraId="77A3B07A" w14:textId="4ABF612D" w:rsidR="004351E2" w:rsidRPr="00585172" w:rsidRDefault="004351E2" w:rsidP="004D7804">
      <w:pPr>
        <w:pStyle w:val="FootnoteText"/>
        <w:ind w:left="720" w:hanging="720"/>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 xml:space="preserve">For example, see </w:t>
      </w:r>
      <w:proofErr w:type="spellStart"/>
      <w:r w:rsidRPr="00585172">
        <w:rPr>
          <w:rFonts w:ascii="Times New Roman" w:hAnsi="Times New Roman" w:cs="Times New Roman"/>
          <w:i/>
          <w:color w:val="000000"/>
          <w:lang w:val="en"/>
        </w:rPr>
        <w:t>Thanh</w:t>
      </w:r>
      <w:proofErr w:type="spellEnd"/>
      <w:r w:rsidRPr="00585172">
        <w:rPr>
          <w:rFonts w:ascii="Times New Roman" w:hAnsi="Times New Roman" w:cs="Times New Roman"/>
          <w:i/>
          <w:color w:val="000000"/>
          <w:lang w:val="en"/>
        </w:rPr>
        <w:t xml:space="preserve"> Van </w:t>
      </w:r>
      <w:proofErr w:type="spellStart"/>
      <w:r w:rsidRPr="00585172">
        <w:rPr>
          <w:rFonts w:ascii="Times New Roman" w:hAnsi="Times New Roman" w:cs="Times New Roman"/>
          <w:i/>
          <w:color w:val="000000"/>
          <w:lang w:val="en"/>
        </w:rPr>
        <w:t>Dinh</w:t>
      </w:r>
      <w:proofErr w:type="spellEnd"/>
      <w:r w:rsidRPr="00585172">
        <w:rPr>
          <w:rFonts w:ascii="Times New Roman" w:hAnsi="Times New Roman" w:cs="Times New Roman"/>
          <w:i/>
          <w:color w:val="000000"/>
          <w:lang w:val="en"/>
        </w:rPr>
        <w:t xml:space="preserve"> v DPP </w:t>
      </w:r>
      <w:r w:rsidR="00E906BD" w:rsidRPr="00585172">
        <w:rPr>
          <w:rFonts w:ascii="Times New Roman" w:hAnsi="Times New Roman" w:cs="Times New Roman"/>
          <w:color w:val="000000"/>
          <w:lang w:val="en"/>
        </w:rPr>
        <w:t>[2015] VSC 318</w:t>
      </w:r>
      <w:r w:rsidRPr="00585172">
        <w:rPr>
          <w:rFonts w:ascii="Times New Roman" w:hAnsi="Times New Roman" w:cs="Times New Roman"/>
          <w:color w:val="000000"/>
          <w:lang w:val="en"/>
        </w:rPr>
        <w:t xml:space="preserve">; </w:t>
      </w:r>
      <w:r w:rsidRPr="00585172">
        <w:rPr>
          <w:rFonts w:ascii="Times New Roman" w:hAnsi="Times New Roman" w:cs="Times New Roman"/>
          <w:i/>
        </w:rPr>
        <w:t>Woods v DPP</w:t>
      </w:r>
      <w:r w:rsidRPr="00585172">
        <w:rPr>
          <w:rFonts w:ascii="Times New Roman" w:hAnsi="Times New Roman" w:cs="Times New Roman"/>
        </w:rPr>
        <w:t xml:space="preserve"> [2014] VSC 1; </w:t>
      </w:r>
      <w:r w:rsidRPr="00585172">
        <w:rPr>
          <w:rFonts w:ascii="Times New Roman" w:hAnsi="Times New Roman" w:cs="Times New Roman"/>
          <w:i/>
        </w:rPr>
        <w:t>Re Creamer</w:t>
      </w:r>
      <w:r w:rsidRPr="00585172">
        <w:rPr>
          <w:rFonts w:ascii="Times New Roman" w:hAnsi="Times New Roman" w:cs="Times New Roman"/>
        </w:rPr>
        <w:t xml:space="preserve"> [2009] VSC 460; and </w:t>
      </w:r>
      <w:r w:rsidRPr="00585172">
        <w:rPr>
          <w:rFonts w:ascii="Times New Roman" w:hAnsi="Times New Roman" w:cs="Times New Roman"/>
          <w:i/>
        </w:rPr>
        <w:t>DPP (</w:t>
      </w:r>
      <w:proofErr w:type="spellStart"/>
      <w:r w:rsidRPr="00585172">
        <w:rPr>
          <w:rFonts w:ascii="Times New Roman" w:hAnsi="Times New Roman" w:cs="Times New Roman"/>
          <w:i/>
        </w:rPr>
        <w:t>Cth</w:t>
      </w:r>
      <w:proofErr w:type="spellEnd"/>
      <w:r w:rsidRPr="00585172">
        <w:rPr>
          <w:rFonts w:ascii="Times New Roman" w:hAnsi="Times New Roman" w:cs="Times New Roman"/>
          <w:i/>
        </w:rPr>
        <w:t xml:space="preserve">) v </w:t>
      </w:r>
      <w:proofErr w:type="spellStart"/>
      <w:r w:rsidRPr="00585172">
        <w:rPr>
          <w:rFonts w:ascii="Times New Roman" w:hAnsi="Times New Roman" w:cs="Times New Roman"/>
          <w:i/>
        </w:rPr>
        <w:t>Barbaro</w:t>
      </w:r>
      <w:proofErr w:type="spellEnd"/>
      <w:r w:rsidRPr="00585172">
        <w:rPr>
          <w:rFonts w:ascii="Times New Roman" w:hAnsi="Times New Roman" w:cs="Times New Roman"/>
        </w:rPr>
        <w:t xml:space="preserve"> (2009) 20 VR 717.  </w:t>
      </w:r>
    </w:p>
  </w:footnote>
  <w:footnote w:id="74">
    <w:p w14:paraId="2B333166" w14:textId="1533F388" w:rsidR="004351E2" w:rsidRPr="008F2E8B" w:rsidRDefault="004351E2" w:rsidP="004D7804">
      <w:pPr>
        <w:pStyle w:val="FootnoteText"/>
        <w:ind w:left="720" w:hanging="720"/>
        <w:rPr>
          <w:rFonts w:ascii="Book Antiqua" w:hAnsi="Book Antiqua"/>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 xml:space="preserve">It would be difficult to imagine the Charter having a greater effect upon </w:t>
      </w:r>
      <w:r w:rsidR="00C01F40" w:rsidRPr="00585172">
        <w:rPr>
          <w:rFonts w:ascii="Times New Roman" w:hAnsi="Times New Roman" w:cs="Times New Roman"/>
        </w:rPr>
        <w:t>‘</w:t>
      </w:r>
      <w:r w:rsidRPr="00585172">
        <w:rPr>
          <w:rFonts w:ascii="Times New Roman" w:hAnsi="Times New Roman" w:cs="Times New Roman"/>
        </w:rPr>
        <w:t>reading down</w:t>
      </w:r>
      <w:r w:rsidR="00C01F40" w:rsidRPr="00585172">
        <w:rPr>
          <w:rFonts w:ascii="Times New Roman" w:hAnsi="Times New Roman" w:cs="Times New Roman"/>
        </w:rPr>
        <w:t>’</w:t>
      </w:r>
      <w:r w:rsidRPr="00585172">
        <w:rPr>
          <w:rFonts w:ascii="Times New Roman" w:hAnsi="Times New Roman" w:cs="Times New Roman"/>
        </w:rPr>
        <w:t xml:space="preserve"> a statutory power to grant warrants than the </w:t>
      </w:r>
      <w:r w:rsidR="00C01F40" w:rsidRPr="00585172">
        <w:rPr>
          <w:rFonts w:ascii="Times New Roman" w:hAnsi="Times New Roman" w:cs="Times New Roman"/>
        </w:rPr>
        <w:t xml:space="preserve">High Court’s </w:t>
      </w:r>
      <w:r w:rsidRPr="00585172">
        <w:rPr>
          <w:rFonts w:ascii="Times New Roman" w:hAnsi="Times New Roman" w:cs="Times New Roman"/>
        </w:rPr>
        <w:t xml:space="preserve">decision </w:t>
      </w:r>
      <w:r w:rsidR="00C01F40" w:rsidRPr="00585172">
        <w:rPr>
          <w:rFonts w:ascii="Times New Roman" w:hAnsi="Times New Roman" w:cs="Times New Roman"/>
        </w:rPr>
        <w:t>in</w:t>
      </w:r>
      <w:r w:rsidRPr="00585172">
        <w:rPr>
          <w:rFonts w:ascii="Times New Roman" w:hAnsi="Times New Roman" w:cs="Times New Roman"/>
        </w:rPr>
        <w:t xml:space="preserve"> </w:t>
      </w:r>
      <w:r w:rsidRPr="00585172">
        <w:rPr>
          <w:rFonts w:ascii="Times New Roman" w:hAnsi="Times New Roman" w:cs="Times New Roman"/>
          <w:i/>
        </w:rPr>
        <w:t>Coco</w:t>
      </w:r>
      <w:r w:rsidRPr="00585172">
        <w:rPr>
          <w:rFonts w:ascii="Times New Roman" w:hAnsi="Times New Roman" w:cs="Times New Roman"/>
        </w:rPr>
        <w:t xml:space="preserve">, </w:t>
      </w:r>
      <w:r w:rsidR="00C01F40" w:rsidRPr="00585172">
        <w:rPr>
          <w:rFonts w:ascii="Times New Roman" w:hAnsi="Times New Roman" w:cs="Times New Roman"/>
        </w:rPr>
        <w:t xml:space="preserve">and its analysis of the operation of the common law </w:t>
      </w:r>
      <w:r w:rsidRPr="00585172">
        <w:rPr>
          <w:rFonts w:ascii="Times New Roman" w:hAnsi="Times New Roman" w:cs="Times New Roman"/>
        </w:rPr>
        <w:t>principle of legality.</w:t>
      </w:r>
      <w:r w:rsidRPr="008F2E8B">
        <w:rPr>
          <w:rFonts w:ascii="Book Antiqua" w:hAnsi="Book Antiqua"/>
        </w:rPr>
        <w:t xml:space="preserve">  </w:t>
      </w:r>
    </w:p>
  </w:footnote>
  <w:footnote w:id="75">
    <w:p w14:paraId="4718D7F3" w14:textId="5005802B" w:rsidR="00C24E1E" w:rsidRPr="00585172" w:rsidRDefault="00C24E1E">
      <w:pPr>
        <w:pStyle w:val="FootnoteText"/>
        <w:rPr>
          <w:rFonts w:ascii="Times New Roman" w:hAnsi="Times New Roman" w:cs="Times New Roman"/>
          <w:i/>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r w:rsidR="00E309C8" w:rsidRPr="00585172">
        <w:rPr>
          <w:rFonts w:ascii="Times New Roman" w:hAnsi="Times New Roman" w:cs="Times New Roman"/>
        </w:rPr>
        <w:t>For example, s</w:t>
      </w:r>
      <w:r w:rsidR="00516810" w:rsidRPr="00585172">
        <w:rPr>
          <w:rFonts w:ascii="Times New Roman" w:hAnsi="Times New Roman" w:cs="Times New Roman"/>
        </w:rPr>
        <w:t xml:space="preserve">ee </w:t>
      </w:r>
      <w:r w:rsidR="00E309C8" w:rsidRPr="00585172">
        <w:rPr>
          <w:rFonts w:ascii="Times New Roman" w:hAnsi="Times New Roman" w:cs="Times New Roman"/>
          <w:i/>
        </w:rPr>
        <w:t xml:space="preserve">R v </w:t>
      </w:r>
      <w:proofErr w:type="spellStart"/>
      <w:r w:rsidR="00E309C8" w:rsidRPr="00585172">
        <w:rPr>
          <w:rFonts w:ascii="Times New Roman" w:hAnsi="Times New Roman" w:cs="Times New Roman"/>
          <w:i/>
        </w:rPr>
        <w:t>Chaouk</w:t>
      </w:r>
      <w:proofErr w:type="spellEnd"/>
      <w:r w:rsidR="00E309C8" w:rsidRPr="00585172">
        <w:rPr>
          <w:rFonts w:ascii="Times New Roman" w:hAnsi="Times New Roman" w:cs="Times New Roman"/>
          <w:i/>
        </w:rPr>
        <w:t xml:space="preserve"> </w:t>
      </w:r>
      <w:r w:rsidR="00E309C8" w:rsidRPr="00585172">
        <w:rPr>
          <w:rFonts w:ascii="Times New Roman" w:hAnsi="Times New Roman" w:cs="Times New Roman"/>
        </w:rPr>
        <w:t xml:space="preserve">(2013) 40 VR 356; and </w:t>
      </w:r>
      <w:r w:rsidRPr="00585172">
        <w:rPr>
          <w:rFonts w:ascii="Times New Roman" w:hAnsi="Times New Roman" w:cs="Times New Roman"/>
          <w:i/>
        </w:rPr>
        <w:t>R v Williams</w:t>
      </w:r>
      <w:r w:rsidR="00516810" w:rsidRPr="00585172">
        <w:rPr>
          <w:rFonts w:ascii="Times New Roman" w:hAnsi="Times New Roman" w:cs="Times New Roman"/>
        </w:rPr>
        <w:t xml:space="preserve"> (2007) 16 VR 168</w:t>
      </w:r>
      <w:r w:rsidR="00E309C8" w:rsidRPr="00585172">
        <w:rPr>
          <w:rFonts w:ascii="Times New Roman" w:hAnsi="Times New Roman" w:cs="Times New Roman"/>
        </w:rPr>
        <w:t xml:space="preserve">. </w:t>
      </w:r>
    </w:p>
  </w:footnote>
  <w:footnote w:id="76">
    <w:p w14:paraId="62BD4BF9" w14:textId="43435D1A" w:rsidR="004351E2" w:rsidRPr="00585172" w:rsidRDefault="004351E2" w:rsidP="004D7804">
      <w:pPr>
        <w:pStyle w:val="FootnoteText"/>
        <w:ind w:left="720" w:hanging="720"/>
        <w:rPr>
          <w:rFonts w:ascii="Times New Roman" w:hAnsi="Times New Roman" w:cs="Times New Roman"/>
          <w:i/>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 xml:space="preserve">See </w:t>
      </w:r>
      <w:r w:rsidR="001C6346" w:rsidRPr="00585172">
        <w:rPr>
          <w:rFonts w:ascii="Times New Roman" w:hAnsi="Times New Roman" w:cs="Times New Roman"/>
          <w:i/>
        </w:rPr>
        <w:t xml:space="preserve">Bray </w:t>
      </w:r>
      <w:r w:rsidR="001C6346" w:rsidRPr="00585172">
        <w:rPr>
          <w:rFonts w:ascii="Times New Roman" w:hAnsi="Times New Roman" w:cs="Times New Roman"/>
        </w:rPr>
        <w:t>[2014] VSCA 276</w:t>
      </w:r>
      <w:r w:rsidR="001C6346" w:rsidRPr="00585172">
        <w:rPr>
          <w:rFonts w:ascii="Times New Roman" w:hAnsi="Times New Roman" w:cs="Times New Roman"/>
          <w:i/>
        </w:rPr>
        <w:t xml:space="preserve">, </w:t>
      </w:r>
      <w:r w:rsidR="001C6346" w:rsidRPr="00585172">
        <w:rPr>
          <w:rFonts w:ascii="Times New Roman" w:hAnsi="Times New Roman" w:cs="Times New Roman"/>
        </w:rPr>
        <w:t xml:space="preserve">as upheld in </w:t>
      </w:r>
      <w:proofErr w:type="spellStart"/>
      <w:r w:rsidR="001C6346" w:rsidRPr="00585172">
        <w:rPr>
          <w:rFonts w:ascii="Times New Roman" w:hAnsi="Times New Roman" w:cs="Times New Roman"/>
          <w:i/>
        </w:rPr>
        <w:t>Omot</w:t>
      </w:r>
      <w:proofErr w:type="spellEnd"/>
      <w:r w:rsidR="001C6346" w:rsidRPr="00585172">
        <w:rPr>
          <w:rFonts w:ascii="Times New Roman" w:hAnsi="Times New Roman" w:cs="Times New Roman"/>
          <w:i/>
        </w:rPr>
        <w:t xml:space="preserve"> </w:t>
      </w:r>
      <w:r w:rsidR="001C6346" w:rsidRPr="00585172">
        <w:rPr>
          <w:rFonts w:ascii="Times New Roman" w:hAnsi="Times New Roman" w:cs="Times New Roman"/>
        </w:rPr>
        <w:t xml:space="preserve">[2016] VSCA 24. </w:t>
      </w:r>
    </w:p>
  </w:footnote>
  <w:footnote w:id="77">
    <w:p w14:paraId="495D6AD0" w14:textId="77DBD8DC" w:rsidR="004351E2" w:rsidRPr="00585172" w:rsidRDefault="004351E2" w:rsidP="004D7804">
      <w:pPr>
        <w:pStyle w:val="FootnoteText"/>
        <w:ind w:left="720" w:hanging="720"/>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t>Mandatory sentences and mandatory minimum senten</w:t>
      </w:r>
      <w:r w:rsidR="00E16138" w:rsidRPr="00585172">
        <w:rPr>
          <w:rFonts w:ascii="Times New Roman" w:hAnsi="Times New Roman" w:cs="Times New Roman"/>
        </w:rPr>
        <w:t xml:space="preserve">ces spring immediately to mind, as does the </w:t>
      </w:r>
      <w:r w:rsidR="00233A26" w:rsidRPr="00585172">
        <w:rPr>
          <w:rFonts w:ascii="Times New Roman" w:hAnsi="Times New Roman" w:cs="Times New Roman"/>
        </w:rPr>
        <w:t xml:space="preserve">poorly conceived attempt to introduce ‘baseline’ sentencing in Victoria.  </w:t>
      </w:r>
      <w:r w:rsidR="00C4536B" w:rsidRPr="00585172">
        <w:rPr>
          <w:rFonts w:ascii="Times New Roman" w:hAnsi="Times New Roman" w:cs="Times New Roman"/>
        </w:rPr>
        <w:t xml:space="preserve">See </w:t>
      </w:r>
      <w:r w:rsidR="00411038" w:rsidRPr="00585172">
        <w:rPr>
          <w:rFonts w:ascii="Times New Roman" w:hAnsi="Times New Roman" w:cs="Times New Roman"/>
          <w:i/>
        </w:rPr>
        <w:t xml:space="preserve">DPP (Vic) v Walters (a pseudonym) </w:t>
      </w:r>
      <w:r w:rsidR="00411038" w:rsidRPr="00585172">
        <w:rPr>
          <w:rFonts w:ascii="Times New Roman" w:hAnsi="Times New Roman" w:cs="Times New Roman"/>
        </w:rPr>
        <w:t>[2015] VSCA 303</w:t>
      </w:r>
      <w:r w:rsidR="00C4536B" w:rsidRPr="00585172">
        <w:rPr>
          <w:rFonts w:ascii="Times New Roman" w:hAnsi="Times New Roman" w:cs="Times New Roman"/>
          <w:i/>
        </w:rPr>
        <w:t xml:space="preserve">. </w:t>
      </w:r>
      <w:r w:rsidR="00C4536B" w:rsidRPr="00585172">
        <w:rPr>
          <w:rFonts w:ascii="Times New Roman" w:hAnsi="Times New Roman" w:cs="Times New Roman"/>
        </w:rPr>
        <w:t xml:space="preserve"> It is interesting to note that no </w:t>
      </w:r>
      <w:r w:rsidR="00F3145A" w:rsidRPr="00585172">
        <w:rPr>
          <w:rFonts w:ascii="Times New Roman" w:hAnsi="Times New Roman" w:cs="Times New Roman"/>
        </w:rPr>
        <w:t xml:space="preserve">reliance appears to have been placed upon the Charter in the challenge to baseline sentencing, and it rated only a brief mention in the judgment of the Court of Appeal. </w:t>
      </w:r>
    </w:p>
  </w:footnote>
  <w:footnote w:id="78">
    <w:p w14:paraId="20989B2A" w14:textId="4E67FC67" w:rsidR="00A41E33" w:rsidRPr="00585172" w:rsidRDefault="00A41E33">
      <w:pPr>
        <w:pStyle w:val="FootnoteText"/>
        <w:rPr>
          <w:rFonts w:ascii="Times New Roman" w:hAnsi="Times New Roman" w:cs="Times New Roman"/>
          <w:i/>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r w:rsidR="00CB73DB" w:rsidRPr="00585172">
        <w:rPr>
          <w:rFonts w:ascii="Times New Roman" w:hAnsi="Times New Roman" w:cs="Times New Roman"/>
        </w:rPr>
        <w:t xml:space="preserve">See </w:t>
      </w:r>
      <w:r w:rsidRPr="00585172">
        <w:rPr>
          <w:rFonts w:ascii="Times New Roman" w:hAnsi="Times New Roman" w:cs="Times New Roman"/>
          <w:i/>
        </w:rPr>
        <w:t xml:space="preserve">R v </w:t>
      </w:r>
      <w:proofErr w:type="spellStart"/>
      <w:r w:rsidRPr="00585172">
        <w:rPr>
          <w:rFonts w:ascii="Times New Roman" w:hAnsi="Times New Roman" w:cs="Times New Roman"/>
          <w:i/>
        </w:rPr>
        <w:t>Benbrika</w:t>
      </w:r>
      <w:proofErr w:type="spellEnd"/>
      <w:r w:rsidRPr="00585172">
        <w:rPr>
          <w:rFonts w:ascii="Times New Roman" w:hAnsi="Times New Roman" w:cs="Times New Roman"/>
          <w:i/>
        </w:rPr>
        <w:t xml:space="preserve"> (No 20)</w:t>
      </w:r>
      <w:r w:rsidRPr="00585172">
        <w:rPr>
          <w:rFonts w:ascii="Times New Roman" w:hAnsi="Times New Roman" w:cs="Times New Roman"/>
        </w:rPr>
        <w:t xml:space="preserve"> (2008) 18 VR 410</w:t>
      </w:r>
      <w:r w:rsidR="00CB73DB" w:rsidRPr="00585172">
        <w:rPr>
          <w:rFonts w:ascii="Times New Roman" w:hAnsi="Times New Roman" w:cs="Times New Roman"/>
        </w:rPr>
        <w:t>, 415 – 416.</w:t>
      </w:r>
    </w:p>
  </w:footnote>
  <w:footnote w:id="79">
    <w:p w14:paraId="503DE3D7" w14:textId="087C028F" w:rsidR="00FC4B86" w:rsidRPr="00FC4B86" w:rsidRDefault="00FC4B86">
      <w:pPr>
        <w:pStyle w:val="FootnoteText"/>
        <w:rPr>
          <w:rFonts w:ascii="Book Antiqua" w:hAnsi="Book Antiqua"/>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r w:rsidR="00E34F09" w:rsidRPr="00585172">
        <w:rPr>
          <w:rFonts w:ascii="Times New Roman" w:hAnsi="Times New Roman" w:cs="Times New Roman"/>
        </w:rPr>
        <w:t>(2012) 39 VR 50.</w:t>
      </w:r>
      <w:r w:rsidR="00E34F09">
        <w:rPr>
          <w:rFonts w:ascii="Book Antiqua" w:hAnsi="Book Antiqua"/>
        </w:rPr>
        <w:t xml:space="preserve">  </w:t>
      </w:r>
    </w:p>
  </w:footnote>
  <w:footnote w:id="80">
    <w:p w14:paraId="48770295" w14:textId="69005218" w:rsidR="004351E2" w:rsidRPr="00585172" w:rsidRDefault="004351E2" w:rsidP="004D7804">
      <w:pPr>
        <w:pStyle w:val="FootnoteText"/>
        <w:ind w:left="720" w:hanging="720"/>
        <w:rPr>
          <w:rFonts w:ascii="Times New Roman" w:hAnsi="Times New Roman" w:cs="Times New Roman"/>
        </w:rPr>
      </w:pPr>
      <w:r w:rsidRPr="00585172">
        <w:rPr>
          <w:rStyle w:val="FootnoteReference"/>
          <w:rFonts w:ascii="Times New Roman" w:hAnsi="Times New Roman" w:cs="Times New Roman"/>
        </w:rPr>
        <w:footnoteRef/>
      </w:r>
      <w:r w:rsidRPr="00585172">
        <w:rPr>
          <w:rFonts w:ascii="Times New Roman" w:hAnsi="Times New Roman" w:cs="Times New Roman"/>
        </w:rPr>
        <w:t xml:space="preserve"> </w:t>
      </w:r>
      <w:r w:rsidRPr="00585172">
        <w:rPr>
          <w:rFonts w:ascii="Times New Roman" w:hAnsi="Times New Roman" w:cs="Times New Roman"/>
        </w:rPr>
        <w:tab/>
      </w:r>
      <w:r w:rsidR="00CD7A35" w:rsidRPr="00585172">
        <w:rPr>
          <w:rFonts w:ascii="Times New Roman" w:hAnsi="Times New Roman" w:cs="Times New Roman"/>
        </w:rPr>
        <w:t>An example of where</w:t>
      </w:r>
      <w:r w:rsidR="00EA02F5" w:rsidRPr="00585172">
        <w:rPr>
          <w:rFonts w:ascii="Times New Roman" w:hAnsi="Times New Roman" w:cs="Times New Roman"/>
        </w:rPr>
        <w:t xml:space="preserve"> b</w:t>
      </w:r>
      <w:r w:rsidRPr="00585172">
        <w:rPr>
          <w:rFonts w:ascii="Times New Roman" w:hAnsi="Times New Roman" w:cs="Times New Roman"/>
        </w:rPr>
        <w:t xml:space="preserve">oth the Charter and the </w:t>
      </w:r>
      <w:proofErr w:type="spellStart"/>
      <w:r w:rsidRPr="00585172">
        <w:rPr>
          <w:rFonts w:ascii="Times New Roman" w:hAnsi="Times New Roman" w:cs="Times New Roman"/>
          <w:i/>
        </w:rPr>
        <w:t>Kable</w:t>
      </w:r>
      <w:proofErr w:type="spellEnd"/>
      <w:r w:rsidRPr="00585172">
        <w:rPr>
          <w:rFonts w:ascii="Times New Roman" w:hAnsi="Times New Roman" w:cs="Times New Roman"/>
          <w:i/>
        </w:rPr>
        <w:t xml:space="preserve"> </w:t>
      </w:r>
      <w:r w:rsidRPr="00585172">
        <w:rPr>
          <w:rFonts w:ascii="Times New Roman" w:hAnsi="Times New Roman" w:cs="Times New Roman"/>
        </w:rPr>
        <w:t>principle were sought t</w:t>
      </w:r>
      <w:r w:rsidR="00CD7A35" w:rsidRPr="00585172">
        <w:rPr>
          <w:rFonts w:ascii="Times New Roman" w:hAnsi="Times New Roman" w:cs="Times New Roman"/>
        </w:rPr>
        <w:t>o be invoked by the applicant is</w:t>
      </w:r>
      <w:r w:rsidRPr="00585172">
        <w:rPr>
          <w:rFonts w:ascii="Times New Roman" w:hAnsi="Times New Roman" w:cs="Times New Roman"/>
        </w:rPr>
        <w:t xml:space="preserve"> </w:t>
      </w:r>
      <w:r w:rsidRPr="00585172">
        <w:rPr>
          <w:rFonts w:ascii="Times New Roman" w:hAnsi="Times New Roman" w:cs="Times New Roman"/>
          <w:i/>
        </w:rPr>
        <w:t xml:space="preserve">Rich v The Queen </w:t>
      </w:r>
      <w:r w:rsidRPr="00585172">
        <w:rPr>
          <w:rFonts w:ascii="Times New Roman" w:hAnsi="Times New Roman" w:cs="Times New Roman"/>
        </w:rPr>
        <w:t xml:space="preserve">(2014) 43 VR 558, 623-630.  The applicant was unsuccessful, but the Court of Appeal gave serious consideration to the operation of the Charter right to a fair hearing, in a case where retrospective legislation had been passed to overcome what had plainly been a defect in the manner in which warrants had been obtained without being supported by oath or affirmation.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73FB7"/>
    <w:multiLevelType w:val="hybridMultilevel"/>
    <w:tmpl w:val="29922772"/>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
    <w:nsid w:val="6511043C"/>
    <w:multiLevelType w:val="hybridMultilevel"/>
    <w:tmpl w:val="EAA0B8A8"/>
    <w:lvl w:ilvl="0" w:tplc="F8403B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64E103C"/>
    <w:multiLevelType w:val="hybridMultilevel"/>
    <w:tmpl w:val="05AE6680"/>
    <w:lvl w:ilvl="0" w:tplc="0C090001">
      <w:start w:val="1"/>
      <w:numFmt w:val="bullet"/>
      <w:lvlText w:val=""/>
      <w:lvlJc w:val="left"/>
      <w:pPr>
        <w:ind w:left="1496" w:hanging="360"/>
      </w:pPr>
      <w:rPr>
        <w:rFonts w:ascii="Symbol" w:hAnsi="Symbol"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BD"/>
    <w:rsid w:val="0000125C"/>
    <w:rsid w:val="0000515D"/>
    <w:rsid w:val="00005EDD"/>
    <w:rsid w:val="00006490"/>
    <w:rsid w:val="00006E93"/>
    <w:rsid w:val="00007477"/>
    <w:rsid w:val="00010657"/>
    <w:rsid w:val="00011DCE"/>
    <w:rsid w:val="000133D0"/>
    <w:rsid w:val="0001394C"/>
    <w:rsid w:val="000159C8"/>
    <w:rsid w:val="000169A4"/>
    <w:rsid w:val="00022C54"/>
    <w:rsid w:val="00023471"/>
    <w:rsid w:val="000234D9"/>
    <w:rsid w:val="00024A2E"/>
    <w:rsid w:val="00024C8A"/>
    <w:rsid w:val="00027033"/>
    <w:rsid w:val="00027526"/>
    <w:rsid w:val="0003091A"/>
    <w:rsid w:val="0003149F"/>
    <w:rsid w:val="00032CDA"/>
    <w:rsid w:val="0003341E"/>
    <w:rsid w:val="000335D0"/>
    <w:rsid w:val="00033C03"/>
    <w:rsid w:val="0003441C"/>
    <w:rsid w:val="00035CB6"/>
    <w:rsid w:val="00035EFB"/>
    <w:rsid w:val="00036479"/>
    <w:rsid w:val="000367BB"/>
    <w:rsid w:val="00036F1C"/>
    <w:rsid w:val="00040C07"/>
    <w:rsid w:val="00042E89"/>
    <w:rsid w:val="000440A7"/>
    <w:rsid w:val="00051781"/>
    <w:rsid w:val="00053567"/>
    <w:rsid w:val="000578FE"/>
    <w:rsid w:val="000613C6"/>
    <w:rsid w:val="00063F70"/>
    <w:rsid w:val="000658EC"/>
    <w:rsid w:val="0007028D"/>
    <w:rsid w:val="00071800"/>
    <w:rsid w:val="00074B8E"/>
    <w:rsid w:val="000809E5"/>
    <w:rsid w:val="0008108D"/>
    <w:rsid w:val="00082CD0"/>
    <w:rsid w:val="00084086"/>
    <w:rsid w:val="000841BC"/>
    <w:rsid w:val="00085936"/>
    <w:rsid w:val="00085994"/>
    <w:rsid w:val="00086C1A"/>
    <w:rsid w:val="00090B83"/>
    <w:rsid w:val="0009160B"/>
    <w:rsid w:val="00091A42"/>
    <w:rsid w:val="00093748"/>
    <w:rsid w:val="000A02A7"/>
    <w:rsid w:val="000A1D3E"/>
    <w:rsid w:val="000A21C1"/>
    <w:rsid w:val="000A28FE"/>
    <w:rsid w:val="000A4323"/>
    <w:rsid w:val="000A5186"/>
    <w:rsid w:val="000A5307"/>
    <w:rsid w:val="000A6148"/>
    <w:rsid w:val="000A64AD"/>
    <w:rsid w:val="000A7B3D"/>
    <w:rsid w:val="000B11B9"/>
    <w:rsid w:val="000B15CA"/>
    <w:rsid w:val="000B2062"/>
    <w:rsid w:val="000B3950"/>
    <w:rsid w:val="000B52C2"/>
    <w:rsid w:val="000B5696"/>
    <w:rsid w:val="000B5E9C"/>
    <w:rsid w:val="000C0208"/>
    <w:rsid w:val="000C0274"/>
    <w:rsid w:val="000C036F"/>
    <w:rsid w:val="000C0510"/>
    <w:rsid w:val="000C32F4"/>
    <w:rsid w:val="000C55A5"/>
    <w:rsid w:val="000C62C1"/>
    <w:rsid w:val="000D0643"/>
    <w:rsid w:val="000D123A"/>
    <w:rsid w:val="000D239A"/>
    <w:rsid w:val="000D2C06"/>
    <w:rsid w:val="000D507A"/>
    <w:rsid w:val="000D66AD"/>
    <w:rsid w:val="000D7043"/>
    <w:rsid w:val="000E6223"/>
    <w:rsid w:val="000E776E"/>
    <w:rsid w:val="000E782B"/>
    <w:rsid w:val="000F03AB"/>
    <w:rsid w:val="000F1CB1"/>
    <w:rsid w:val="000F2323"/>
    <w:rsid w:val="000F2C82"/>
    <w:rsid w:val="000F38BD"/>
    <w:rsid w:val="000F5DFD"/>
    <w:rsid w:val="000F7947"/>
    <w:rsid w:val="000F7F55"/>
    <w:rsid w:val="00100EF2"/>
    <w:rsid w:val="0010142C"/>
    <w:rsid w:val="00101683"/>
    <w:rsid w:val="001056EF"/>
    <w:rsid w:val="00105978"/>
    <w:rsid w:val="00106092"/>
    <w:rsid w:val="001073E7"/>
    <w:rsid w:val="001119FC"/>
    <w:rsid w:val="0011258C"/>
    <w:rsid w:val="00112769"/>
    <w:rsid w:val="00112932"/>
    <w:rsid w:val="00113DE5"/>
    <w:rsid w:val="00114990"/>
    <w:rsid w:val="00115567"/>
    <w:rsid w:val="00115BE2"/>
    <w:rsid w:val="001172A1"/>
    <w:rsid w:val="00117D4B"/>
    <w:rsid w:val="00120EFB"/>
    <w:rsid w:val="0012315A"/>
    <w:rsid w:val="0012348B"/>
    <w:rsid w:val="00123B2E"/>
    <w:rsid w:val="00124112"/>
    <w:rsid w:val="00124FEC"/>
    <w:rsid w:val="00126919"/>
    <w:rsid w:val="00127FB1"/>
    <w:rsid w:val="00131EC3"/>
    <w:rsid w:val="00133F5A"/>
    <w:rsid w:val="00133F69"/>
    <w:rsid w:val="00134DEF"/>
    <w:rsid w:val="00135468"/>
    <w:rsid w:val="0013623E"/>
    <w:rsid w:val="00136C5E"/>
    <w:rsid w:val="00140E50"/>
    <w:rsid w:val="0014175A"/>
    <w:rsid w:val="00142ED0"/>
    <w:rsid w:val="0014473F"/>
    <w:rsid w:val="0014477C"/>
    <w:rsid w:val="001453B0"/>
    <w:rsid w:val="001461F6"/>
    <w:rsid w:val="0014704C"/>
    <w:rsid w:val="00147D51"/>
    <w:rsid w:val="0015043D"/>
    <w:rsid w:val="0015163F"/>
    <w:rsid w:val="0015692C"/>
    <w:rsid w:val="00156FF4"/>
    <w:rsid w:val="00157B09"/>
    <w:rsid w:val="00162B2D"/>
    <w:rsid w:val="00162EB5"/>
    <w:rsid w:val="001633FD"/>
    <w:rsid w:val="00163954"/>
    <w:rsid w:val="00164F06"/>
    <w:rsid w:val="00165566"/>
    <w:rsid w:val="00165CBC"/>
    <w:rsid w:val="00174B9A"/>
    <w:rsid w:val="00176D7C"/>
    <w:rsid w:val="001833FE"/>
    <w:rsid w:val="00184AB1"/>
    <w:rsid w:val="00187DAA"/>
    <w:rsid w:val="001904FB"/>
    <w:rsid w:val="00190D36"/>
    <w:rsid w:val="001918F5"/>
    <w:rsid w:val="00194DE2"/>
    <w:rsid w:val="001959CC"/>
    <w:rsid w:val="0019623C"/>
    <w:rsid w:val="00197231"/>
    <w:rsid w:val="001A0FC9"/>
    <w:rsid w:val="001A28C0"/>
    <w:rsid w:val="001A40B4"/>
    <w:rsid w:val="001A4C2A"/>
    <w:rsid w:val="001A5996"/>
    <w:rsid w:val="001A6965"/>
    <w:rsid w:val="001B0303"/>
    <w:rsid w:val="001B2472"/>
    <w:rsid w:val="001B2973"/>
    <w:rsid w:val="001B4E0F"/>
    <w:rsid w:val="001B6829"/>
    <w:rsid w:val="001B6B16"/>
    <w:rsid w:val="001B6C18"/>
    <w:rsid w:val="001B7D37"/>
    <w:rsid w:val="001C0D94"/>
    <w:rsid w:val="001C0E3A"/>
    <w:rsid w:val="001C2C2A"/>
    <w:rsid w:val="001C3228"/>
    <w:rsid w:val="001C58D0"/>
    <w:rsid w:val="001C6346"/>
    <w:rsid w:val="001C7223"/>
    <w:rsid w:val="001D04C6"/>
    <w:rsid w:val="001D471C"/>
    <w:rsid w:val="001D4D7B"/>
    <w:rsid w:val="001D53E0"/>
    <w:rsid w:val="001D58DA"/>
    <w:rsid w:val="001D796C"/>
    <w:rsid w:val="001D7D35"/>
    <w:rsid w:val="001D7D8F"/>
    <w:rsid w:val="001E17E0"/>
    <w:rsid w:val="001E22FF"/>
    <w:rsid w:val="001E3E42"/>
    <w:rsid w:val="001E597F"/>
    <w:rsid w:val="001E6D36"/>
    <w:rsid w:val="001E7829"/>
    <w:rsid w:val="001F0479"/>
    <w:rsid w:val="001F17F4"/>
    <w:rsid w:val="001F3F9A"/>
    <w:rsid w:val="001F4357"/>
    <w:rsid w:val="001F74A0"/>
    <w:rsid w:val="00200229"/>
    <w:rsid w:val="002007BB"/>
    <w:rsid w:val="00200991"/>
    <w:rsid w:val="00202A84"/>
    <w:rsid w:val="00203F8D"/>
    <w:rsid w:val="0020461C"/>
    <w:rsid w:val="00204E59"/>
    <w:rsid w:val="00204ED4"/>
    <w:rsid w:val="00206876"/>
    <w:rsid w:val="00206987"/>
    <w:rsid w:val="00206C46"/>
    <w:rsid w:val="00207695"/>
    <w:rsid w:val="002110C5"/>
    <w:rsid w:val="0021228B"/>
    <w:rsid w:val="002139B6"/>
    <w:rsid w:val="00217739"/>
    <w:rsid w:val="002203C7"/>
    <w:rsid w:val="00220C4D"/>
    <w:rsid w:val="00221397"/>
    <w:rsid w:val="00221F96"/>
    <w:rsid w:val="002246B1"/>
    <w:rsid w:val="00224B8A"/>
    <w:rsid w:val="00224CCE"/>
    <w:rsid w:val="00225871"/>
    <w:rsid w:val="00225953"/>
    <w:rsid w:val="00226438"/>
    <w:rsid w:val="002279C4"/>
    <w:rsid w:val="002316B5"/>
    <w:rsid w:val="00232AE6"/>
    <w:rsid w:val="00233A26"/>
    <w:rsid w:val="00235C5E"/>
    <w:rsid w:val="00236518"/>
    <w:rsid w:val="002427D0"/>
    <w:rsid w:val="00243CD3"/>
    <w:rsid w:val="00244614"/>
    <w:rsid w:val="0024613E"/>
    <w:rsid w:val="00246B98"/>
    <w:rsid w:val="002509C9"/>
    <w:rsid w:val="002519FD"/>
    <w:rsid w:val="0025245E"/>
    <w:rsid w:val="00252E2A"/>
    <w:rsid w:val="002538FD"/>
    <w:rsid w:val="00260CA9"/>
    <w:rsid w:val="002627A7"/>
    <w:rsid w:val="00266F42"/>
    <w:rsid w:val="00267129"/>
    <w:rsid w:val="00270A07"/>
    <w:rsid w:val="00270BB9"/>
    <w:rsid w:val="0027148C"/>
    <w:rsid w:val="0027655C"/>
    <w:rsid w:val="00277FB6"/>
    <w:rsid w:val="00280A68"/>
    <w:rsid w:val="002813AD"/>
    <w:rsid w:val="002823DC"/>
    <w:rsid w:val="00282FB9"/>
    <w:rsid w:val="00283D7B"/>
    <w:rsid w:val="0028562C"/>
    <w:rsid w:val="002860DD"/>
    <w:rsid w:val="00291546"/>
    <w:rsid w:val="00291E4D"/>
    <w:rsid w:val="00293AAE"/>
    <w:rsid w:val="00294D77"/>
    <w:rsid w:val="00295C03"/>
    <w:rsid w:val="00295C97"/>
    <w:rsid w:val="00295F53"/>
    <w:rsid w:val="00297749"/>
    <w:rsid w:val="002A1E49"/>
    <w:rsid w:val="002A2FC4"/>
    <w:rsid w:val="002A4D5C"/>
    <w:rsid w:val="002A527C"/>
    <w:rsid w:val="002A5807"/>
    <w:rsid w:val="002A6DE5"/>
    <w:rsid w:val="002B0080"/>
    <w:rsid w:val="002B0782"/>
    <w:rsid w:val="002B3740"/>
    <w:rsid w:val="002B3DE6"/>
    <w:rsid w:val="002B4290"/>
    <w:rsid w:val="002B5BF9"/>
    <w:rsid w:val="002B7718"/>
    <w:rsid w:val="002C0409"/>
    <w:rsid w:val="002C34D0"/>
    <w:rsid w:val="002C5822"/>
    <w:rsid w:val="002C59D3"/>
    <w:rsid w:val="002C5D56"/>
    <w:rsid w:val="002C6142"/>
    <w:rsid w:val="002D0098"/>
    <w:rsid w:val="002D13B7"/>
    <w:rsid w:val="002D18AB"/>
    <w:rsid w:val="002D1CC2"/>
    <w:rsid w:val="002D3532"/>
    <w:rsid w:val="002D4BCA"/>
    <w:rsid w:val="002D4DD5"/>
    <w:rsid w:val="002D6878"/>
    <w:rsid w:val="002D6E64"/>
    <w:rsid w:val="002E0248"/>
    <w:rsid w:val="002E0FE1"/>
    <w:rsid w:val="002E17A9"/>
    <w:rsid w:val="002E37D5"/>
    <w:rsid w:val="002E5E93"/>
    <w:rsid w:val="002E63F4"/>
    <w:rsid w:val="002E6DCE"/>
    <w:rsid w:val="002F11EB"/>
    <w:rsid w:val="002F1800"/>
    <w:rsid w:val="002F3AE6"/>
    <w:rsid w:val="003018D0"/>
    <w:rsid w:val="00301C10"/>
    <w:rsid w:val="00302EEA"/>
    <w:rsid w:val="00304285"/>
    <w:rsid w:val="00306096"/>
    <w:rsid w:val="0030655A"/>
    <w:rsid w:val="00306673"/>
    <w:rsid w:val="00306E9D"/>
    <w:rsid w:val="00311EC5"/>
    <w:rsid w:val="00314879"/>
    <w:rsid w:val="00314B52"/>
    <w:rsid w:val="003150C0"/>
    <w:rsid w:val="0031797C"/>
    <w:rsid w:val="00321D84"/>
    <w:rsid w:val="003227E4"/>
    <w:rsid w:val="00323B9C"/>
    <w:rsid w:val="00327EF5"/>
    <w:rsid w:val="003301D7"/>
    <w:rsid w:val="00332EB3"/>
    <w:rsid w:val="003343C7"/>
    <w:rsid w:val="00335F51"/>
    <w:rsid w:val="00336124"/>
    <w:rsid w:val="00336276"/>
    <w:rsid w:val="00337C02"/>
    <w:rsid w:val="00343B3B"/>
    <w:rsid w:val="0034534B"/>
    <w:rsid w:val="00345D4C"/>
    <w:rsid w:val="00346717"/>
    <w:rsid w:val="00346B12"/>
    <w:rsid w:val="003472A0"/>
    <w:rsid w:val="00352546"/>
    <w:rsid w:val="00352D92"/>
    <w:rsid w:val="0035590A"/>
    <w:rsid w:val="0035624F"/>
    <w:rsid w:val="00356F7E"/>
    <w:rsid w:val="00357182"/>
    <w:rsid w:val="00357AC1"/>
    <w:rsid w:val="00360AD3"/>
    <w:rsid w:val="0036199B"/>
    <w:rsid w:val="0036356B"/>
    <w:rsid w:val="00365F17"/>
    <w:rsid w:val="00367356"/>
    <w:rsid w:val="00371E81"/>
    <w:rsid w:val="00377FE1"/>
    <w:rsid w:val="00381822"/>
    <w:rsid w:val="00382281"/>
    <w:rsid w:val="00382D10"/>
    <w:rsid w:val="003846B7"/>
    <w:rsid w:val="0038470B"/>
    <w:rsid w:val="00384B92"/>
    <w:rsid w:val="003850B3"/>
    <w:rsid w:val="00385B6D"/>
    <w:rsid w:val="003868EC"/>
    <w:rsid w:val="00386EA2"/>
    <w:rsid w:val="00390B76"/>
    <w:rsid w:val="00391F0C"/>
    <w:rsid w:val="003932FA"/>
    <w:rsid w:val="0039562A"/>
    <w:rsid w:val="003961D5"/>
    <w:rsid w:val="00396481"/>
    <w:rsid w:val="00396694"/>
    <w:rsid w:val="003966F8"/>
    <w:rsid w:val="00397551"/>
    <w:rsid w:val="003A10A0"/>
    <w:rsid w:val="003A3C2B"/>
    <w:rsid w:val="003A451D"/>
    <w:rsid w:val="003A4D39"/>
    <w:rsid w:val="003B2145"/>
    <w:rsid w:val="003B21E6"/>
    <w:rsid w:val="003B240A"/>
    <w:rsid w:val="003B3C49"/>
    <w:rsid w:val="003B4364"/>
    <w:rsid w:val="003B53C7"/>
    <w:rsid w:val="003B62F0"/>
    <w:rsid w:val="003B6457"/>
    <w:rsid w:val="003B68D2"/>
    <w:rsid w:val="003B7E1E"/>
    <w:rsid w:val="003C12BB"/>
    <w:rsid w:val="003C3A08"/>
    <w:rsid w:val="003C5E9D"/>
    <w:rsid w:val="003C69E9"/>
    <w:rsid w:val="003D2AFB"/>
    <w:rsid w:val="003D49B1"/>
    <w:rsid w:val="003D6109"/>
    <w:rsid w:val="003D656A"/>
    <w:rsid w:val="003E030A"/>
    <w:rsid w:val="003E0EC0"/>
    <w:rsid w:val="003E2FDE"/>
    <w:rsid w:val="003E6B25"/>
    <w:rsid w:val="003E6F66"/>
    <w:rsid w:val="003F2CB9"/>
    <w:rsid w:val="003F4119"/>
    <w:rsid w:val="003F5BD5"/>
    <w:rsid w:val="003F7072"/>
    <w:rsid w:val="003F7101"/>
    <w:rsid w:val="0040085C"/>
    <w:rsid w:val="00400A4E"/>
    <w:rsid w:val="004030C9"/>
    <w:rsid w:val="004041FB"/>
    <w:rsid w:val="00404E1E"/>
    <w:rsid w:val="00404FB5"/>
    <w:rsid w:val="004051BB"/>
    <w:rsid w:val="00405631"/>
    <w:rsid w:val="0040576E"/>
    <w:rsid w:val="00406DBF"/>
    <w:rsid w:val="004072B2"/>
    <w:rsid w:val="00407951"/>
    <w:rsid w:val="004101C2"/>
    <w:rsid w:val="00410AAD"/>
    <w:rsid w:val="00411038"/>
    <w:rsid w:val="004147AF"/>
    <w:rsid w:val="00417500"/>
    <w:rsid w:val="0042001D"/>
    <w:rsid w:val="00420F25"/>
    <w:rsid w:val="0042153B"/>
    <w:rsid w:val="0042207C"/>
    <w:rsid w:val="00422579"/>
    <w:rsid w:val="00423330"/>
    <w:rsid w:val="00423856"/>
    <w:rsid w:val="00424D2F"/>
    <w:rsid w:val="00425EBF"/>
    <w:rsid w:val="00426874"/>
    <w:rsid w:val="00431248"/>
    <w:rsid w:val="00432D63"/>
    <w:rsid w:val="004334C0"/>
    <w:rsid w:val="00435121"/>
    <w:rsid w:val="004351E2"/>
    <w:rsid w:val="00436389"/>
    <w:rsid w:val="00436C1F"/>
    <w:rsid w:val="00443BFC"/>
    <w:rsid w:val="004446D4"/>
    <w:rsid w:val="004450E6"/>
    <w:rsid w:val="00445313"/>
    <w:rsid w:val="00446376"/>
    <w:rsid w:val="00446F96"/>
    <w:rsid w:val="00447DC7"/>
    <w:rsid w:val="00453A5E"/>
    <w:rsid w:val="0045735D"/>
    <w:rsid w:val="0045762E"/>
    <w:rsid w:val="00460C66"/>
    <w:rsid w:val="004614FD"/>
    <w:rsid w:val="00463A81"/>
    <w:rsid w:val="00467568"/>
    <w:rsid w:val="00467D41"/>
    <w:rsid w:val="00471C9E"/>
    <w:rsid w:val="004729BB"/>
    <w:rsid w:val="0047310F"/>
    <w:rsid w:val="004738A1"/>
    <w:rsid w:val="004749BB"/>
    <w:rsid w:val="004763AA"/>
    <w:rsid w:val="004765B4"/>
    <w:rsid w:val="00476FAC"/>
    <w:rsid w:val="004776DF"/>
    <w:rsid w:val="00480BAF"/>
    <w:rsid w:val="00481F8F"/>
    <w:rsid w:val="00486942"/>
    <w:rsid w:val="00487204"/>
    <w:rsid w:val="004907A3"/>
    <w:rsid w:val="00492BB4"/>
    <w:rsid w:val="0049394A"/>
    <w:rsid w:val="00494CC7"/>
    <w:rsid w:val="004950CC"/>
    <w:rsid w:val="00495907"/>
    <w:rsid w:val="00497BA4"/>
    <w:rsid w:val="004A2287"/>
    <w:rsid w:val="004A2499"/>
    <w:rsid w:val="004A347B"/>
    <w:rsid w:val="004A40A0"/>
    <w:rsid w:val="004A464F"/>
    <w:rsid w:val="004A6F49"/>
    <w:rsid w:val="004A71BF"/>
    <w:rsid w:val="004B0A52"/>
    <w:rsid w:val="004B0D97"/>
    <w:rsid w:val="004B1AF0"/>
    <w:rsid w:val="004B42BD"/>
    <w:rsid w:val="004B5910"/>
    <w:rsid w:val="004B5D94"/>
    <w:rsid w:val="004B5E32"/>
    <w:rsid w:val="004B64A5"/>
    <w:rsid w:val="004B6B8B"/>
    <w:rsid w:val="004C16B3"/>
    <w:rsid w:val="004C309B"/>
    <w:rsid w:val="004C39E4"/>
    <w:rsid w:val="004C5039"/>
    <w:rsid w:val="004C5DCF"/>
    <w:rsid w:val="004C6159"/>
    <w:rsid w:val="004C6CA7"/>
    <w:rsid w:val="004C7B4A"/>
    <w:rsid w:val="004C7FD4"/>
    <w:rsid w:val="004D11BF"/>
    <w:rsid w:val="004D37DC"/>
    <w:rsid w:val="004D3C7D"/>
    <w:rsid w:val="004D77F0"/>
    <w:rsid w:val="004D7804"/>
    <w:rsid w:val="004D7A50"/>
    <w:rsid w:val="004E005C"/>
    <w:rsid w:val="004E046A"/>
    <w:rsid w:val="004E15E3"/>
    <w:rsid w:val="004E2D69"/>
    <w:rsid w:val="004E2E5F"/>
    <w:rsid w:val="004E3625"/>
    <w:rsid w:val="004E3C83"/>
    <w:rsid w:val="004E4246"/>
    <w:rsid w:val="004E4C46"/>
    <w:rsid w:val="004E5885"/>
    <w:rsid w:val="004E5D1F"/>
    <w:rsid w:val="004E6FB3"/>
    <w:rsid w:val="004E7217"/>
    <w:rsid w:val="004F1E96"/>
    <w:rsid w:val="004F24D9"/>
    <w:rsid w:val="004F4F50"/>
    <w:rsid w:val="004F4FD1"/>
    <w:rsid w:val="004F5336"/>
    <w:rsid w:val="004F5E1E"/>
    <w:rsid w:val="004F6188"/>
    <w:rsid w:val="004F74C3"/>
    <w:rsid w:val="004F7708"/>
    <w:rsid w:val="005004C4"/>
    <w:rsid w:val="00501B16"/>
    <w:rsid w:val="00502363"/>
    <w:rsid w:val="005033DE"/>
    <w:rsid w:val="00504812"/>
    <w:rsid w:val="005059BD"/>
    <w:rsid w:val="0050610C"/>
    <w:rsid w:val="00506F45"/>
    <w:rsid w:val="0050788E"/>
    <w:rsid w:val="00507C9B"/>
    <w:rsid w:val="005101ED"/>
    <w:rsid w:val="00512AF2"/>
    <w:rsid w:val="00513602"/>
    <w:rsid w:val="00514A6A"/>
    <w:rsid w:val="00514D83"/>
    <w:rsid w:val="005153FC"/>
    <w:rsid w:val="005156BB"/>
    <w:rsid w:val="00515AD2"/>
    <w:rsid w:val="00516810"/>
    <w:rsid w:val="00516FF0"/>
    <w:rsid w:val="00522FFE"/>
    <w:rsid w:val="005247CA"/>
    <w:rsid w:val="00524C2B"/>
    <w:rsid w:val="00524F75"/>
    <w:rsid w:val="00525796"/>
    <w:rsid w:val="0052655A"/>
    <w:rsid w:val="00526702"/>
    <w:rsid w:val="00526EFD"/>
    <w:rsid w:val="0053068E"/>
    <w:rsid w:val="00531185"/>
    <w:rsid w:val="005312F2"/>
    <w:rsid w:val="00531A5A"/>
    <w:rsid w:val="005325BB"/>
    <w:rsid w:val="0053292B"/>
    <w:rsid w:val="00532C24"/>
    <w:rsid w:val="00533688"/>
    <w:rsid w:val="0053437F"/>
    <w:rsid w:val="005373A1"/>
    <w:rsid w:val="00543EEC"/>
    <w:rsid w:val="0054606D"/>
    <w:rsid w:val="00547FA7"/>
    <w:rsid w:val="00547FC6"/>
    <w:rsid w:val="005503D9"/>
    <w:rsid w:val="0055105E"/>
    <w:rsid w:val="005530BD"/>
    <w:rsid w:val="005603BA"/>
    <w:rsid w:val="005610D7"/>
    <w:rsid w:val="00564D50"/>
    <w:rsid w:val="00566233"/>
    <w:rsid w:val="005662AA"/>
    <w:rsid w:val="00566913"/>
    <w:rsid w:val="005670C9"/>
    <w:rsid w:val="00567A08"/>
    <w:rsid w:val="00570946"/>
    <w:rsid w:val="00572886"/>
    <w:rsid w:val="00572D6F"/>
    <w:rsid w:val="0057315F"/>
    <w:rsid w:val="00574C7D"/>
    <w:rsid w:val="005763EC"/>
    <w:rsid w:val="00576D9E"/>
    <w:rsid w:val="00577D0B"/>
    <w:rsid w:val="005813D0"/>
    <w:rsid w:val="00581E32"/>
    <w:rsid w:val="00581E3A"/>
    <w:rsid w:val="0058371C"/>
    <w:rsid w:val="00583CB2"/>
    <w:rsid w:val="00584885"/>
    <w:rsid w:val="00585172"/>
    <w:rsid w:val="00586506"/>
    <w:rsid w:val="0058690D"/>
    <w:rsid w:val="00586FA9"/>
    <w:rsid w:val="00591922"/>
    <w:rsid w:val="005933AE"/>
    <w:rsid w:val="00595134"/>
    <w:rsid w:val="005B25EC"/>
    <w:rsid w:val="005B290D"/>
    <w:rsid w:val="005B5D11"/>
    <w:rsid w:val="005B5EFB"/>
    <w:rsid w:val="005B713C"/>
    <w:rsid w:val="005C0033"/>
    <w:rsid w:val="005C1DA2"/>
    <w:rsid w:val="005C2654"/>
    <w:rsid w:val="005C3232"/>
    <w:rsid w:val="005C5961"/>
    <w:rsid w:val="005C7C15"/>
    <w:rsid w:val="005C7F70"/>
    <w:rsid w:val="005D06E1"/>
    <w:rsid w:val="005D115F"/>
    <w:rsid w:val="005D178C"/>
    <w:rsid w:val="005D5496"/>
    <w:rsid w:val="005D6356"/>
    <w:rsid w:val="005D6800"/>
    <w:rsid w:val="005E0CED"/>
    <w:rsid w:val="005E0F09"/>
    <w:rsid w:val="005E1C72"/>
    <w:rsid w:val="005E367E"/>
    <w:rsid w:val="005E3C5E"/>
    <w:rsid w:val="005E5683"/>
    <w:rsid w:val="005E6CBE"/>
    <w:rsid w:val="005F1A07"/>
    <w:rsid w:val="005F1D61"/>
    <w:rsid w:val="005F3BBF"/>
    <w:rsid w:val="005F4101"/>
    <w:rsid w:val="005F4CB1"/>
    <w:rsid w:val="005F4FFE"/>
    <w:rsid w:val="005F58AD"/>
    <w:rsid w:val="005F5AA6"/>
    <w:rsid w:val="006009A9"/>
    <w:rsid w:val="00605CC1"/>
    <w:rsid w:val="00606D35"/>
    <w:rsid w:val="00607816"/>
    <w:rsid w:val="00611622"/>
    <w:rsid w:val="00611B0A"/>
    <w:rsid w:val="0061217D"/>
    <w:rsid w:val="006130D2"/>
    <w:rsid w:val="00614569"/>
    <w:rsid w:val="00615139"/>
    <w:rsid w:val="006151A1"/>
    <w:rsid w:val="0061581B"/>
    <w:rsid w:val="00622D06"/>
    <w:rsid w:val="00622D20"/>
    <w:rsid w:val="00624527"/>
    <w:rsid w:val="00625D54"/>
    <w:rsid w:val="00625FC1"/>
    <w:rsid w:val="006320FB"/>
    <w:rsid w:val="006325AE"/>
    <w:rsid w:val="0063467A"/>
    <w:rsid w:val="00635973"/>
    <w:rsid w:val="00635E90"/>
    <w:rsid w:val="00635F4A"/>
    <w:rsid w:val="006400BF"/>
    <w:rsid w:val="00640AB2"/>
    <w:rsid w:val="00641109"/>
    <w:rsid w:val="006447F8"/>
    <w:rsid w:val="0064652B"/>
    <w:rsid w:val="0064670E"/>
    <w:rsid w:val="006516CD"/>
    <w:rsid w:val="006517FE"/>
    <w:rsid w:val="00656E4C"/>
    <w:rsid w:val="006578A1"/>
    <w:rsid w:val="00657EC3"/>
    <w:rsid w:val="006619B1"/>
    <w:rsid w:val="00661BBF"/>
    <w:rsid w:val="00663A9D"/>
    <w:rsid w:val="0066548D"/>
    <w:rsid w:val="00665ED9"/>
    <w:rsid w:val="006665D4"/>
    <w:rsid w:val="0066770B"/>
    <w:rsid w:val="0067384D"/>
    <w:rsid w:val="00673B56"/>
    <w:rsid w:val="00674B98"/>
    <w:rsid w:val="00674C9E"/>
    <w:rsid w:val="0067587F"/>
    <w:rsid w:val="00675A83"/>
    <w:rsid w:val="00676513"/>
    <w:rsid w:val="0067734B"/>
    <w:rsid w:val="0068054C"/>
    <w:rsid w:val="00682909"/>
    <w:rsid w:val="0068339E"/>
    <w:rsid w:val="006837AF"/>
    <w:rsid w:val="006853E2"/>
    <w:rsid w:val="00685C79"/>
    <w:rsid w:val="00685D3E"/>
    <w:rsid w:val="00690439"/>
    <w:rsid w:val="006919EE"/>
    <w:rsid w:val="0069221E"/>
    <w:rsid w:val="006938BF"/>
    <w:rsid w:val="0069425A"/>
    <w:rsid w:val="0069433D"/>
    <w:rsid w:val="00695123"/>
    <w:rsid w:val="0069687F"/>
    <w:rsid w:val="006A0CB0"/>
    <w:rsid w:val="006A3D05"/>
    <w:rsid w:val="006A4C78"/>
    <w:rsid w:val="006A5F95"/>
    <w:rsid w:val="006A6E2D"/>
    <w:rsid w:val="006A714C"/>
    <w:rsid w:val="006A73C9"/>
    <w:rsid w:val="006A7E0E"/>
    <w:rsid w:val="006B1921"/>
    <w:rsid w:val="006B21FC"/>
    <w:rsid w:val="006B2613"/>
    <w:rsid w:val="006B2E41"/>
    <w:rsid w:val="006B2F19"/>
    <w:rsid w:val="006B5360"/>
    <w:rsid w:val="006B586F"/>
    <w:rsid w:val="006B5C49"/>
    <w:rsid w:val="006B6872"/>
    <w:rsid w:val="006B7078"/>
    <w:rsid w:val="006B726D"/>
    <w:rsid w:val="006C0016"/>
    <w:rsid w:val="006C194F"/>
    <w:rsid w:val="006C2B8B"/>
    <w:rsid w:val="006C3BFB"/>
    <w:rsid w:val="006C45BB"/>
    <w:rsid w:val="006C56C9"/>
    <w:rsid w:val="006C57C4"/>
    <w:rsid w:val="006C5C2E"/>
    <w:rsid w:val="006C71E3"/>
    <w:rsid w:val="006D2ACD"/>
    <w:rsid w:val="006D3F3D"/>
    <w:rsid w:val="006D590F"/>
    <w:rsid w:val="006D7D14"/>
    <w:rsid w:val="006E19B3"/>
    <w:rsid w:val="006E2156"/>
    <w:rsid w:val="006E2DE9"/>
    <w:rsid w:val="006E3401"/>
    <w:rsid w:val="006E4BAD"/>
    <w:rsid w:val="006E5863"/>
    <w:rsid w:val="006E5BA2"/>
    <w:rsid w:val="006E627E"/>
    <w:rsid w:val="006E6344"/>
    <w:rsid w:val="006E776A"/>
    <w:rsid w:val="006F04F7"/>
    <w:rsid w:val="006F0D41"/>
    <w:rsid w:val="006F14DF"/>
    <w:rsid w:val="006F1999"/>
    <w:rsid w:val="006F1B5D"/>
    <w:rsid w:val="006F259F"/>
    <w:rsid w:val="006F2672"/>
    <w:rsid w:val="006F2729"/>
    <w:rsid w:val="006F340F"/>
    <w:rsid w:val="006F37C7"/>
    <w:rsid w:val="006F5FBB"/>
    <w:rsid w:val="006F68AD"/>
    <w:rsid w:val="006F7B64"/>
    <w:rsid w:val="0070331B"/>
    <w:rsid w:val="0070341C"/>
    <w:rsid w:val="00703914"/>
    <w:rsid w:val="007040AE"/>
    <w:rsid w:val="007044A7"/>
    <w:rsid w:val="00704F85"/>
    <w:rsid w:val="00704F9C"/>
    <w:rsid w:val="0071003D"/>
    <w:rsid w:val="00710504"/>
    <w:rsid w:val="00710AE0"/>
    <w:rsid w:val="0071309B"/>
    <w:rsid w:val="00715489"/>
    <w:rsid w:val="00715773"/>
    <w:rsid w:val="00715C03"/>
    <w:rsid w:val="007161B5"/>
    <w:rsid w:val="0071670A"/>
    <w:rsid w:val="0071735E"/>
    <w:rsid w:val="0072136C"/>
    <w:rsid w:val="00721750"/>
    <w:rsid w:val="00721BBB"/>
    <w:rsid w:val="0072266E"/>
    <w:rsid w:val="00723A0F"/>
    <w:rsid w:val="00725228"/>
    <w:rsid w:val="00725690"/>
    <w:rsid w:val="00727E3B"/>
    <w:rsid w:val="00733E58"/>
    <w:rsid w:val="00736BD9"/>
    <w:rsid w:val="00736C7A"/>
    <w:rsid w:val="00737238"/>
    <w:rsid w:val="0073790E"/>
    <w:rsid w:val="00742450"/>
    <w:rsid w:val="00742516"/>
    <w:rsid w:val="00744A67"/>
    <w:rsid w:val="00746D89"/>
    <w:rsid w:val="00750890"/>
    <w:rsid w:val="007515E9"/>
    <w:rsid w:val="007522D0"/>
    <w:rsid w:val="00752713"/>
    <w:rsid w:val="00753A64"/>
    <w:rsid w:val="00753FB1"/>
    <w:rsid w:val="00754061"/>
    <w:rsid w:val="0075467C"/>
    <w:rsid w:val="00754DC5"/>
    <w:rsid w:val="00755CFA"/>
    <w:rsid w:val="00756427"/>
    <w:rsid w:val="00757360"/>
    <w:rsid w:val="00760D46"/>
    <w:rsid w:val="00762F2A"/>
    <w:rsid w:val="00763E2C"/>
    <w:rsid w:val="007643D2"/>
    <w:rsid w:val="0076490E"/>
    <w:rsid w:val="00765533"/>
    <w:rsid w:val="00767760"/>
    <w:rsid w:val="00767883"/>
    <w:rsid w:val="0077198B"/>
    <w:rsid w:val="00775193"/>
    <w:rsid w:val="00775DA1"/>
    <w:rsid w:val="00782958"/>
    <w:rsid w:val="00782A03"/>
    <w:rsid w:val="007831FC"/>
    <w:rsid w:val="0078612A"/>
    <w:rsid w:val="00786A3C"/>
    <w:rsid w:val="00787BF5"/>
    <w:rsid w:val="007906A7"/>
    <w:rsid w:val="00790732"/>
    <w:rsid w:val="00790919"/>
    <w:rsid w:val="00790E51"/>
    <w:rsid w:val="00793D77"/>
    <w:rsid w:val="00794A00"/>
    <w:rsid w:val="007A0848"/>
    <w:rsid w:val="007A5367"/>
    <w:rsid w:val="007A67E6"/>
    <w:rsid w:val="007B01CD"/>
    <w:rsid w:val="007B052D"/>
    <w:rsid w:val="007B0913"/>
    <w:rsid w:val="007B1646"/>
    <w:rsid w:val="007B7C13"/>
    <w:rsid w:val="007C370B"/>
    <w:rsid w:val="007C4ACF"/>
    <w:rsid w:val="007D49C8"/>
    <w:rsid w:val="007E2574"/>
    <w:rsid w:val="007E297C"/>
    <w:rsid w:val="007E4541"/>
    <w:rsid w:val="007E622B"/>
    <w:rsid w:val="007E79F5"/>
    <w:rsid w:val="007F0BF9"/>
    <w:rsid w:val="007F0D35"/>
    <w:rsid w:val="007F4153"/>
    <w:rsid w:val="007F4B80"/>
    <w:rsid w:val="007F558C"/>
    <w:rsid w:val="007F62C9"/>
    <w:rsid w:val="007F6373"/>
    <w:rsid w:val="007F6725"/>
    <w:rsid w:val="007F7071"/>
    <w:rsid w:val="007F7520"/>
    <w:rsid w:val="00801618"/>
    <w:rsid w:val="0080300A"/>
    <w:rsid w:val="008040D9"/>
    <w:rsid w:val="00804836"/>
    <w:rsid w:val="0080758B"/>
    <w:rsid w:val="008116F1"/>
    <w:rsid w:val="008142B6"/>
    <w:rsid w:val="00815945"/>
    <w:rsid w:val="00816227"/>
    <w:rsid w:val="00816E17"/>
    <w:rsid w:val="00817BE4"/>
    <w:rsid w:val="00820CE9"/>
    <w:rsid w:val="008243C2"/>
    <w:rsid w:val="008257E2"/>
    <w:rsid w:val="00826784"/>
    <w:rsid w:val="00826F31"/>
    <w:rsid w:val="00831ECC"/>
    <w:rsid w:val="00833118"/>
    <w:rsid w:val="00833E2A"/>
    <w:rsid w:val="00834885"/>
    <w:rsid w:val="00836819"/>
    <w:rsid w:val="008409FC"/>
    <w:rsid w:val="00840D2D"/>
    <w:rsid w:val="00840FBC"/>
    <w:rsid w:val="00841976"/>
    <w:rsid w:val="00842EC6"/>
    <w:rsid w:val="00843C83"/>
    <w:rsid w:val="00843DC8"/>
    <w:rsid w:val="008509ED"/>
    <w:rsid w:val="00851718"/>
    <w:rsid w:val="00852724"/>
    <w:rsid w:val="00852B2B"/>
    <w:rsid w:val="008534F6"/>
    <w:rsid w:val="008538A0"/>
    <w:rsid w:val="0085493E"/>
    <w:rsid w:val="00855251"/>
    <w:rsid w:val="0085598C"/>
    <w:rsid w:val="00860CDC"/>
    <w:rsid w:val="00861345"/>
    <w:rsid w:val="0086171F"/>
    <w:rsid w:val="008640B6"/>
    <w:rsid w:val="00864B13"/>
    <w:rsid w:val="00865344"/>
    <w:rsid w:val="00865824"/>
    <w:rsid w:val="00866CB6"/>
    <w:rsid w:val="00867A06"/>
    <w:rsid w:val="008733AC"/>
    <w:rsid w:val="00873C76"/>
    <w:rsid w:val="00873D69"/>
    <w:rsid w:val="0087564C"/>
    <w:rsid w:val="008761E7"/>
    <w:rsid w:val="00881434"/>
    <w:rsid w:val="00883B8B"/>
    <w:rsid w:val="00883F90"/>
    <w:rsid w:val="0088403A"/>
    <w:rsid w:val="0088620A"/>
    <w:rsid w:val="00886F9F"/>
    <w:rsid w:val="0088715E"/>
    <w:rsid w:val="008873BE"/>
    <w:rsid w:val="00887B95"/>
    <w:rsid w:val="00891340"/>
    <w:rsid w:val="00891DA7"/>
    <w:rsid w:val="00891E33"/>
    <w:rsid w:val="00894112"/>
    <w:rsid w:val="0089717B"/>
    <w:rsid w:val="00897815"/>
    <w:rsid w:val="008978E1"/>
    <w:rsid w:val="008A0C47"/>
    <w:rsid w:val="008A0D3D"/>
    <w:rsid w:val="008A290D"/>
    <w:rsid w:val="008A368E"/>
    <w:rsid w:val="008A51AD"/>
    <w:rsid w:val="008A51C4"/>
    <w:rsid w:val="008A6ECA"/>
    <w:rsid w:val="008B0332"/>
    <w:rsid w:val="008B1C36"/>
    <w:rsid w:val="008B1CDD"/>
    <w:rsid w:val="008B3414"/>
    <w:rsid w:val="008B4B9F"/>
    <w:rsid w:val="008B4E60"/>
    <w:rsid w:val="008B52A9"/>
    <w:rsid w:val="008B6D47"/>
    <w:rsid w:val="008C12C6"/>
    <w:rsid w:val="008C33B9"/>
    <w:rsid w:val="008C6C95"/>
    <w:rsid w:val="008D004A"/>
    <w:rsid w:val="008D360A"/>
    <w:rsid w:val="008D3610"/>
    <w:rsid w:val="008D36F3"/>
    <w:rsid w:val="008D3BE3"/>
    <w:rsid w:val="008D3F0A"/>
    <w:rsid w:val="008D4D77"/>
    <w:rsid w:val="008D636E"/>
    <w:rsid w:val="008D655F"/>
    <w:rsid w:val="008E0BC9"/>
    <w:rsid w:val="008E0C65"/>
    <w:rsid w:val="008E21A2"/>
    <w:rsid w:val="008E28A1"/>
    <w:rsid w:val="008E4054"/>
    <w:rsid w:val="008E5EA4"/>
    <w:rsid w:val="008E6712"/>
    <w:rsid w:val="008F0DEB"/>
    <w:rsid w:val="008F0E1E"/>
    <w:rsid w:val="008F2AEB"/>
    <w:rsid w:val="008F2E8B"/>
    <w:rsid w:val="008F45AD"/>
    <w:rsid w:val="008F6830"/>
    <w:rsid w:val="00900869"/>
    <w:rsid w:val="00900889"/>
    <w:rsid w:val="00903D70"/>
    <w:rsid w:val="00904A8A"/>
    <w:rsid w:val="00906393"/>
    <w:rsid w:val="00907583"/>
    <w:rsid w:val="00911FFC"/>
    <w:rsid w:val="00913E2F"/>
    <w:rsid w:val="009150F4"/>
    <w:rsid w:val="009221FE"/>
    <w:rsid w:val="00925260"/>
    <w:rsid w:val="00925DC0"/>
    <w:rsid w:val="009262F1"/>
    <w:rsid w:val="009266D9"/>
    <w:rsid w:val="00926CFB"/>
    <w:rsid w:val="00927300"/>
    <w:rsid w:val="00932642"/>
    <w:rsid w:val="00932AE3"/>
    <w:rsid w:val="00932B97"/>
    <w:rsid w:val="009334AF"/>
    <w:rsid w:val="00935EA6"/>
    <w:rsid w:val="00936C36"/>
    <w:rsid w:val="009401C3"/>
    <w:rsid w:val="00940C57"/>
    <w:rsid w:val="0094102B"/>
    <w:rsid w:val="00941052"/>
    <w:rsid w:val="00941751"/>
    <w:rsid w:val="00941C4F"/>
    <w:rsid w:val="00944B2E"/>
    <w:rsid w:val="00945620"/>
    <w:rsid w:val="0094720A"/>
    <w:rsid w:val="00951EE6"/>
    <w:rsid w:val="00952A40"/>
    <w:rsid w:val="009537D4"/>
    <w:rsid w:val="00953B3C"/>
    <w:rsid w:val="00954E52"/>
    <w:rsid w:val="00955889"/>
    <w:rsid w:val="009600F7"/>
    <w:rsid w:val="009605A7"/>
    <w:rsid w:val="0096066E"/>
    <w:rsid w:val="00960FBB"/>
    <w:rsid w:val="00961C39"/>
    <w:rsid w:val="00962022"/>
    <w:rsid w:val="00965486"/>
    <w:rsid w:val="00965566"/>
    <w:rsid w:val="00965B62"/>
    <w:rsid w:val="00966FDA"/>
    <w:rsid w:val="00970240"/>
    <w:rsid w:val="00972457"/>
    <w:rsid w:val="0097268F"/>
    <w:rsid w:val="0097405C"/>
    <w:rsid w:val="009757B3"/>
    <w:rsid w:val="00975897"/>
    <w:rsid w:val="00977F7D"/>
    <w:rsid w:val="0098186E"/>
    <w:rsid w:val="00983673"/>
    <w:rsid w:val="00986534"/>
    <w:rsid w:val="00987A04"/>
    <w:rsid w:val="00990E44"/>
    <w:rsid w:val="009912D9"/>
    <w:rsid w:val="00992129"/>
    <w:rsid w:val="00992671"/>
    <w:rsid w:val="00992E6D"/>
    <w:rsid w:val="00993A49"/>
    <w:rsid w:val="009951DA"/>
    <w:rsid w:val="009956DC"/>
    <w:rsid w:val="00996DDC"/>
    <w:rsid w:val="0099700E"/>
    <w:rsid w:val="009A2A55"/>
    <w:rsid w:val="009A676C"/>
    <w:rsid w:val="009A70BA"/>
    <w:rsid w:val="009A7179"/>
    <w:rsid w:val="009A7931"/>
    <w:rsid w:val="009A7EA9"/>
    <w:rsid w:val="009B144E"/>
    <w:rsid w:val="009B2197"/>
    <w:rsid w:val="009B253D"/>
    <w:rsid w:val="009B3631"/>
    <w:rsid w:val="009B4C2B"/>
    <w:rsid w:val="009B58A9"/>
    <w:rsid w:val="009B6259"/>
    <w:rsid w:val="009C03AC"/>
    <w:rsid w:val="009C0F34"/>
    <w:rsid w:val="009C138D"/>
    <w:rsid w:val="009C191D"/>
    <w:rsid w:val="009D3012"/>
    <w:rsid w:val="009D3991"/>
    <w:rsid w:val="009D5422"/>
    <w:rsid w:val="009D54C0"/>
    <w:rsid w:val="009D5AE5"/>
    <w:rsid w:val="009D5BE7"/>
    <w:rsid w:val="009D6CCF"/>
    <w:rsid w:val="009D7F05"/>
    <w:rsid w:val="009E0188"/>
    <w:rsid w:val="009E0192"/>
    <w:rsid w:val="009E118B"/>
    <w:rsid w:val="009E174B"/>
    <w:rsid w:val="009E4776"/>
    <w:rsid w:val="009F3128"/>
    <w:rsid w:val="009F35D3"/>
    <w:rsid w:val="009F3D0F"/>
    <w:rsid w:val="009F3E11"/>
    <w:rsid w:val="009F4CF4"/>
    <w:rsid w:val="009F60BD"/>
    <w:rsid w:val="009F698B"/>
    <w:rsid w:val="009F7820"/>
    <w:rsid w:val="00A00E15"/>
    <w:rsid w:val="00A0134B"/>
    <w:rsid w:val="00A01D6F"/>
    <w:rsid w:val="00A04823"/>
    <w:rsid w:val="00A07377"/>
    <w:rsid w:val="00A076D3"/>
    <w:rsid w:val="00A11A43"/>
    <w:rsid w:val="00A11F77"/>
    <w:rsid w:val="00A1415A"/>
    <w:rsid w:val="00A14AA7"/>
    <w:rsid w:val="00A1581B"/>
    <w:rsid w:val="00A15AD6"/>
    <w:rsid w:val="00A17124"/>
    <w:rsid w:val="00A20150"/>
    <w:rsid w:val="00A20952"/>
    <w:rsid w:val="00A2200B"/>
    <w:rsid w:val="00A22D15"/>
    <w:rsid w:val="00A22F50"/>
    <w:rsid w:val="00A2350A"/>
    <w:rsid w:val="00A26470"/>
    <w:rsid w:val="00A27AF2"/>
    <w:rsid w:val="00A3103A"/>
    <w:rsid w:val="00A34327"/>
    <w:rsid w:val="00A35004"/>
    <w:rsid w:val="00A35696"/>
    <w:rsid w:val="00A371AB"/>
    <w:rsid w:val="00A40BA1"/>
    <w:rsid w:val="00A40FB7"/>
    <w:rsid w:val="00A41A75"/>
    <w:rsid w:val="00A41E33"/>
    <w:rsid w:val="00A44708"/>
    <w:rsid w:val="00A477DF"/>
    <w:rsid w:val="00A51D0D"/>
    <w:rsid w:val="00A537DA"/>
    <w:rsid w:val="00A57CE0"/>
    <w:rsid w:val="00A60636"/>
    <w:rsid w:val="00A6120D"/>
    <w:rsid w:val="00A618A6"/>
    <w:rsid w:val="00A621AC"/>
    <w:rsid w:val="00A65689"/>
    <w:rsid w:val="00A660A1"/>
    <w:rsid w:val="00A700B2"/>
    <w:rsid w:val="00A70873"/>
    <w:rsid w:val="00A7454B"/>
    <w:rsid w:val="00A75B20"/>
    <w:rsid w:val="00A802F5"/>
    <w:rsid w:val="00A819ED"/>
    <w:rsid w:val="00A82AF5"/>
    <w:rsid w:val="00A839CA"/>
    <w:rsid w:val="00A85CAC"/>
    <w:rsid w:val="00A86D0E"/>
    <w:rsid w:val="00A877C8"/>
    <w:rsid w:val="00A87998"/>
    <w:rsid w:val="00A919D5"/>
    <w:rsid w:val="00A9589D"/>
    <w:rsid w:val="00A96875"/>
    <w:rsid w:val="00A974E5"/>
    <w:rsid w:val="00A97C15"/>
    <w:rsid w:val="00A97E2F"/>
    <w:rsid w:val="00AA01FB"/>
    <w:rsid w:val="00AA07D8"/>
    <w:rsid w:val="00AA25B8"/>
    <w:rsid w:val="00AA3524"/>
    <w:rsid w:val="00AA3C5E"/>
    <w:rsid w:val="00AA49B6"/>
    <w:rsid w:val="00AA5866"/>
    <w:rsid w:val="00AA5CD6"/>
    <w:rsid w:val="00AA6B55"/>
    <w:rsid w:val="00AA76C9"/>
    <w:rsid w:val="00AB2046"/>
    <w:rsid w:val="00AB324F"/>
    <w:rsid w:val="00AB4004"/>
    <w:rsid w:val="00AB6DBE"/>
    <w:rsid w:val="00AB7EEF"/>
    <w:rsid w:val="00AC3B99"/>
    <w:rsid w:val="00AC542B"/>
    <w:rsid w:val="00AC59CC"/>
    <w:rsid w:val="00AC7031"/>
    <w:rsid w:val="00AD1036"/>
    <w:rsid w:val="00AD1DDA"/>
    <w:rsid w:val="00AD28BE"/>
    <w:rsid w:val="00AD2B08"/>
    <w:rsid w:val="00AD3F2E"/>
    <w:rsid w:val="00AD50E9"/>
    <w:rsid w:val="00AD62BB"/>
    <w:rsid w:val="00AD67C6"/>
    <w:rsid w:val="00AD7D6D"/>
    <w:rsid w:val="00AE0700"/>
    <w:rsid w:val="00AE35C2"/>
    <w:rsid w:val="00AE4942"/>
    <w:rsid w:val="00AE4F32"/>
    <w:rsid w:val="00AE58B7"/>
    <w:rsid w:val="00AE60DE"/>
    <w:rsid w:val="00AE637F"/>
    <w:rsid w:val="00AE6522"/>
    <w:rsid w:val="00AE6755"/>
    <w:rsid w:val="00AE734B"/>
    <w:rsid w:val="00AE7949"/>
    <w:rsid w:val="00AF7ECA"/>
    <w:rsid w:val="00B01680"/>
    <w:rsid w:val="00B01F29"/>
    <w:rsid w:val="00B02014"/>
    <w:rsid w:val="00B04837"/>
    <w:rsid w:val="00B06504"/>
    <w:rsid w:val="00B06FF6"/>
    <w:rsid w:val="00B10058"/>
    <w:rsid w:val="00B11A92"/>
    <w:rsid w:val="00B130B9"/>
    <w:rsid w:val="00B138CC"/>
    <w:rsid w:val="00B13A43"/>
    <w:rsid w:val="00B16ECC"/>
    <w:rsid w:val="00B20AC0"/>
    <w:rsid w:val="00B222E6"/>
    <w:rsid w:val="00B2436F"/>
    <w:rsid w:val="00B246EA"/>
    <w:rsid w:val="00B2656A"/>
    <w:rsid w:val="00B304B8"/>
    <w:rsid w:val="00B3192F"/>
    <w:rsid w:val="00B3263D"/>
    <w:rsid w:val="00B34BC0"/>
    <w:rsid w:val="00B36F44"/>
    <w:rsid w:val="00B41D69"/>
    <w:rsid w:val="00B44897"/>
    <w:rsid w:val="00B45DA8"/>
    <w:rsid w:val="00B4701E"/>
    <w:rsid w:val="00B47493"/>
    <w:rsid w:val="00B5036B"/>
    <w:rsid w:val="00B51EDD"/>
    <w:rsid w:val="00B54A48"/>
    <w:rsid w:val="00B574D2"/>
    <w:rsid w:val="00B57C7F"/>
    <w:rsid w:val="00B60345"/>
    <w:rsid w:val="00B622BA"/>
    <w:rsid w:val="00B63445"/>
    <w:rsid w:val="00B64D67"/>
    <w:rsid w:val="00B6623D"/>
    <w:rsid w:val="00B670DD"/>
    <w:rsid w:val="00B704FD"/>
    <w:rsid w:val="00B70C7C"/>
    <w:rsid w:val="00B719CF"/>
    <w:rsid w:val="00B7294B"/>
    <w:rsid w:val="00B73F49"/>
    <w:rsid w:val="00B80DE2"/>
    <w:rsid w:val="00B817E8"/>
    <w:rsid w:val="00B81A9C"/>
    <w:rsid w:val="00B82F7F"/>
    <w:rsid w:val="00B84212"/>
    <w:rsid w:val="00B86F7C"/>
    <w:rsid w:val="00B87B17"/>
    <w:rsid w:val="00B87FC6"/>
    <w:rsid w:val="00B90C2A"/>
    <w:rsid w:val="00B91405"/>
    <w:rsid w:val="00B9178C"/>
    <w:rsid w:val="00B920B1"/>
    <w:rsid w:val="00B923EC"/>
    <w:rsid w:val="00B9421A"/>
    <w:rsid w:val="00B960C6"/>
    <w:rsid w:val="00B9615F"/>
    <w:rsid w:val="00B969D6"/>
    <w:rsid w:val="00B96BF2"/>
    <w:rsid w:val="00BA1DA9"/>
    <w:rsid w:val="00BA501D"/>
    <w:rsid w:val="00BA7D39"/>
    <w:rsid w:val="00BB1604"/>
    <w:rsid w:val="00BB3A59"/>
    <w:rsid w:val="00BB3C23"/>
    <w:rsid w:val="00BB4E88"/>
    <w:rsid w:val="00BB5436"/>
    <w:rsid w:val="00BB57F1"/>
    <w:rsid w:val="00BB585F"/>
    <w:rsid w:val="00BB5A6B"/>
    <w:rsid w:val="00BB6E9D"/>
    <w:rsid w:val="00BB74A2"/>
    <w:rsid w:val="00BC0273"/>
    <w:rsid w:val="00BC0B97"/>
    <w:rsid w:val="00BC17BA"/>
    <w:rsid w:val="00BC2207"/>
    <w:rsid w:val="00BC50CA"/>
    <w:rsid w:val="00BC57FB"/>
    <w:rsid w:val="00BC6757"/>
    <w:rsid w:val="00BD30EE"/>
    <w:rsid w:val="00BD6F5A"/>
    <w:rsid w:val="00BD77D9"/>
    <w:rsid w:val="00BD7AC5"/>
    <w:rsid w:val="00BE4ED3"/>
    <w:rsid w:val="00BE5F14"/>
    <w:rsid w:val="00BE652E"/>
    <w:rsid w:val="00BE65D4"/>
    <w:rsid w:val="00BE69D5"/>
    <w:rsid w:val="00BE72BE"/>
    <w:rsid w:val="00BE7616"/>
    <w:rsid w:val="00BF1833"/>
    <w:rsid w:val="00BF262B"/>
    <w:rsid w:val="00BF3099"/>
    <w:rsid w:val="00BF3760"/>
    <w:rsid w:val="00BF4839"/>
    <w:rsid w:val="00BF6F92"/>
    <w:rsid w:val="00C0163E"/>
    <w:rsid w:val="00C01F40"/>
    <w:rsid w:val="00C0287D"/>
    <w:rsid w:val="00C02D42"/>
    <w:rsid w:val="00C03AAC"/>
    <w:rsid w:val="00C05ECC"/>
    <w:rsid w:val="00C12944"/>
    <w:rsid w:val="00C13AA8"/>
    <w:rsid w:val="00C15556"/>
    <w:rsid w:val="00C16F18"/>
    <w:rsid w:val="00C172C4"/>
    <w:rsid w:val="00C20D33"/>
    <w:rsid w:val="00C21371"/>
    <w:rsid w:val="00C249A4"/>
    <w:rsid w:val="00C24E1E"/>
    <w:rsid w:val="00C2522C"/>
    <w:rsid w:val="00C2567C"/>
    <w:rsid w:val="00C25B83"/>
    <w:rsid w:val="00C30D44"/>
    <w:rsid w:val="00C30F2D"/>
    <w:rsid w:val="00C33975"/>
    <w:rsid w:val="00C35ABA"/>
    <w:rsid w:val="00C374D9"/>
    <w:rsid w:val="00C37F72"/>
    <w:rsid w:val="00C41E8D"/>
    <w:rsid w:val="00C42528"/>
    <w:rsid w:val="00C42AF2"/>
    <w:rsid w:val="00C435B8"/>
    <w:rsid w:val="00C44C2D"/>
    <w:rsid w:val="00C4513B"/>
    <w:rsid w:val="00C4536B"/>
    <w:rsid w:val="00C47306"/>
    <w:rsid w:val="00C503B8"/>
    <w:rsid w:val="00C508D8"/>
    <w:rsid w:val="00C50902"/>
    <w:rsid w:val="00C51EC7"/>
    <w:rsid w:val="00C52356"/>
    <w:rsid w:val="00C52878"/>
    <w:rsid w:val="00C53550"/>
    <w:rsid w:val="00C55B4F"/>
    <w:rsid w:val="00C63AC9"/>
    <w:rsid w:val="00C6616E"/>
    <w:rsid w:val="00C67A20"/>
    <w:rsid w:val="00C70F93"/>
    <w:rsid w:val="00C71122"/>
    <w:rsid w:val="00C744AD"/>
    <w:rsid w:val="00C766C3"/>
    <w:rsid w:val="00C77C26"/>
    <w:rsid w:val="00C77C64"/>
    <w:rsid w:val="00C80884"/>
    <w:rsid w:val="00C81C6B"/>
    <w:rsid w:val="00C81FFD"/>
    <w:rsid w:val="00C8228A"/>
    <w:rsid w:val="00C82690"/>
    <w:rsid w:val="00C82D40"/>
    <w:rsid w:val="00C833F1"/>
    <w:rsid w:val="00C85404"/>
    <w:rsid w:val="00C86739"/>
    <w:rsid w:val="00C877B8"/>
    <w:rsid w:val="00C8784E"/>
    <w:rsid w:val="00C87A55"/>
    <w:rsid w:val="00C9044D"/>
    <w:rsid w:val="00C914E9"/>
    <w:rsid w:val="00C921EA"/>
    <w:rsid w:val="00C92216"/>
    <w:rsid w:val="00C930AF"/>
    <w:rsid w:val="00C939CE"/>
    <w:rsid w:val="00C93B8A"/>
    <w:rsid w:val="00C93CA8"/>
    <w:rsid w:val="00C93DF6"/>
    <w:rsid w:val="00C94686"/>
    <w:rsid w:val="00C94939"/>
    <w:rsid w:val="00C94A57"/>
    <w:rsid w:val="00C95959"/>
    <w:rsid w:val="00C960F5"/>
    <w:rsid w:val="00C96302"/>
    <w:rsid w:val="00CA05FB"/>
    <w:rsid w:val="00CB05FA"/>
    <w:rsid w:val="00CB34FF"/>
    <w:rsid w:val="00CB351A"/>
    <w:rsid w:val="00CB5744"/>
    <w:rsid w:val="00CB582F"/>
    <w:rsid w:val="00CB6741"/>
    <w:rsid w:val="00CB73DB"/>
    <w:rsid w:val="00CB7B29"/>
    <w:rsid w:val="00CB7DCD"/>
    <w:rsid w:val="00CC1EF9"/>
    <w:rsid w:val="00CC3020"/>
    <w:rsid w:val="00CC3F3A"/>
    <w:rsid w:val="00CC4CCC"/>
    <w:rsid w:val="00CC5DA2"/>
    <w:rsid w:val="00CC71E8"/>
    <w:rsid w:val="00CC7AF0"/>
    <w:rsid w:val="00CD43C1"/>
    <w:rsid w:val="00CD4AB3"/>
    <w:rsid w:val="00CD610F"/>
    <w:rsid w:val="00CD6A5D"/>
    <w:rsid w:val="00CD7A35"/>
    <w:rsid w:val="00CD7FDE"/>
    <w:rsid w:val="00CE29BE"/>
    <w:rsid w:val="00CE7A46"/>
    <w:rsid w:val="00CF0FBD"/>
    <w:rsid w:val="00CF10AC"/>
    <w:rsid w:val="00CF3420"/>
    <w:rsid w:val="00CF54AA"/>
    <w:rsid w:val="00CF5EE9"/>
    <w:rsid w:val="00CF62DC"/>
    <w:rsid w:val="00D03709"/>
    <w:rsid w:val="00D06031"/>
    <w:rsid w:val="00D06756"/>
    <w:rsid w:val="00D06802"/>
    <w:rsid w:val="00D07813"/>
    <w:rsid w:val="00D07F80"/>
    <w:rsid w:val="00D10ACB"/>
    <w:rsid w:val="00D124FA"/>
    <w:rsid w:val="00D12683"/>
    <w:rsid w:val="00D137BD"/>
    <w:rsid w:val="00D166C3"/>
    <w:rsid w:val="00D20E17"/>
    <w:rsid w:val="00D21870"/>
    <w:rsid w:val="00D21D71"/>
    <w:rsid w:val="00D22049"/>
    <w:rsid w:val="00D22240"/>
    <w:rsid w:val="00D22DDC"/>
    <w:rsid w:val="00D24C57"/>
    <w:rsid w:val="00D2763F"/>
    <w:rsid w:val="00D27B43"/>
    <w:rsid w:val="00D3098F"/>
    <w:rsid w:val="00D30B23"/>
    <w:rsid w:val="00D3167B"/>
    <w:rsid w:val="00D34751"/>
    <w:rsid w:val="00D358D9"/>
    <w:rsid w:val="00D36000"/>
    <w:rsid w:val="00D369ED"/>
    <w:rsid w:val="00D4171A"/>
    <w:rsid w:val="00D43E47"/>
    <w:rsid w:val="00D43F23"/>
    <w:rsid w:val="00D44C9A"/>
    <w:rsid w:val="00D457DD"/>
    <w:rsid w:val="00D470E9"/>
    <w:rsid w:val="00D476E8"/>
    <w:rsid w:val="00D5156C"/>
    <w:rsid w:val="00D54B9D"/>
    <w:rsid w:val="00D56459"/>
    <w:rsid w:val="00D57C53"/>
    <w:rsid w:val="00D603B1"/>
    <w:rsid w:val="00D60D13"/>
    <w:rsid w:val="00D60DD3"/>
    <w:rsid w:val="00D624FC"/>
    <w:rsid w:val="00D62E71"/>
    <w:rsid w:val="00D63875"/>
    <w:rsid w:val="00D64562"/>
    <w:rsid w:val="00D65320"/>
    <w:rsid w:val="00D666A2"/>
    <w:rsid w:val="00D71593"/>
    <w:rsid w:val="00D71FDA"/>
    <w:rsid w:val="00D732BF"/>
    <w:rsid w:val="00D73CBA"/>
    <w:rsid w:val="00D74405"/>
    <w:rsid w:val="00D74499"/>
    <w:rsid w:val="00D74FE5"/>
    <w:rsid w:val="00D76C9C"/>
    <w:rsid w:val="00D771C4"/>
    <w:rsid w:val="00D77206"/>
    <w:rsid w:val="00D82300"/>
    <w:rsid w:val="00D84805"/>
    <w:rsid w:val="00D84993"/>
    <w:rsid w:val="00D84FB5"/>
    <w:rsid w:val="00D87065"/>
    <w:rsid w:val="00D87ADB"/>
    <w:rsid w:val="00D87C0F"/>
    <w:rsid w:val="00D90124"/>
    <w:rsid w:val="00D9061F"/>
    <w:rsid w:val="00D90718"/>
    <w:rsid w:val="00D94974"/>
    <w:rsid w:val="00D94DE9"/>
    <w:rsid w:val="00D95A5C"/>
    <w:rsid w:val="00D95F85"/>
    <w:rsid w:val="00DA0022"/>
    <w:rsid w:val="00DA7E69"/>
    <w:rsid w:val="00DB090E"/>
    <w:rsid w:val="00DB2757"/>
    <w:rsid w:val="00DB32F9"/>
    <w:rsid w:val="00DB3CC1"/>
    <w:rsid w:val="00DC0910"/>
    <w:rsid w:val="00DC242D"/>
    <w:rsid w:val="00DC3112"/>
    <w:rsid w:val="00DC6B09"/>
    <w:rsid w:val="00DD0786"/>
    <w:rsid w:val="00DD118E"/>
    <w:rsid w:val="00DD27EF"/>
    <w:rsid w:val="00DD2DCA"/>
    <w:rsid w:val="00DD3320"/>
    <w:rsid w:val="00DD3378"/>
    <w:rsid w:val="00DD3A3B"/>
    <w:rsid w:val="00DD3F41"/>
    <w:rsid w:val="00DD4CFA"/>
    <w:rsid w:val="00DD5096"/>
    <w:rsid w:val="00DD64CC"/>
    <w:rsid w:val="00DE3E45"/>
    <w:rsid w:val="00DE4734"/>
    <w:rsid w:val="00DE6590"/>
    <w:rsid w:val="00DE7C4D"/>
    <w:rsid w:val="00DF13C7"/>
    <w:rsid w:val="00DF26DF"/>
    <w:rsid w:val="00DF46C8"/>
    <w:rsid w:val="00DF4778"/>
    <w:rsid w:val="00DF4D5E"/>
    <w:rsid w:val="00DF52CE"/>
    <w:rsid w:val="00DF52E1"/>
    <w:rsid w:val="00DF571B"/>
    <w:rsid w:val="00DF5D95"/>
    <w:rsid w:val="00DF6C02"/>
    <w:rsid w:val="00DF7857"/>
    <w:rsid w:val="00DF7E10"/>
    <w:rsid w:val="00E017FD"/>
    <w:rsid w:val="00E01D28"/>
    <w:rsid w:val="00E02644"/>
    <w:rsid w:val="00E06FF5"/>
    <w:rsid w:val="00E1254E"/>
    <w:rsid w:val="00E12572"/>
    <w:rsid w:val="00E126A3"/>
    <w:rsid w:val="00E14787"/>
    <w:rsid w:val="00E16138"/>
    <w:rsid w:val="00E16894"/>
    <w:rsid w:val="00E20C83"/>
    <w:rsid w:val="00E21745"/>
    <w:rsid w:val="00E2242E"/>
    <w:rsid w:val="00E2286B"/>
    <w:rsid w:val="00E22C6C"/>
    <w:rsid w:val="00E23783"/>
    <w:rsid w:val="00E24425"/>
    <w:rsid w:val="00E24C2A"/>
    <w:rsid w:val="00E26A21"/>
    <w:rsid w:val="00E26AE0"/>
    <w:rsid w:val="00E26B38"/>
    <w:rsid w:val="00E27053"/>
    <w:rsid w:val="00E3001B"/>
    <w:rsid w:val="00E3074E"/>
    <w:rsid w:val="00E309C8"/>
    <w:rsid w:val="00E34F09"/>
    <w:rsid w:val="00E3695D"/>
    <w:rsid w:val="00E40575"/>
    <w:rsid w:val="00E517EF"/>
    <w:rsid w:val="00E53118"/>
    <w:rsid w:val="00E61484"/>
    <w:rsid w:val="00E61842"/>
    <w:rsid w:val="00E6474A"/>
    <w:rsid w:val="00E65C3C"/>
    <w:rsid w:val="00E65C6A"/>
    <w:rsid w:val="00E66E81"/>
    <w:rsid w:val="00E670B5"/>
    <w:rsid w:val="00E741C1"/>
    <w:rsid w:val="00E76DE6"/>
    <w:rsid w:val="00E82A60"/>
    <w:rsid w:val="00E83334"/>
    <w:rsid w:val="00E83AF1"/>
    <w:rsid w:val="00E85641"/>
    <w:rsid w:val="00E8734A"/>
    <w:rsid w:val="00E906BD"/>
    <w:rsid w:val="00E94E90"/>
    <w:rsid w:val="00E9688F"/>
    <w:rsid w:val="00E9697B"/>
    <w:rsid w:val="00E971DC"/>
    <w:rsid w:val="00EA02F5"/>
    <w:rsid w:val="00EA0675"/>
    <w:rsid w:val="00EA2B21"/>
    <w:rsid w:val="00EA3130"/>
    <w:rsid w:val="00EA4AFF"/>
    <w:rsid w:val="00EA4FCB"/>
    <w:rsid w:val="00EA7724"/>
    <w:rsid w:val="00EA7FD4"/>
    <w:rsid w:val="00EB050A"/>
    <w:rsid w:val="00EB48A0"/>
    <w:rsid w:val="00EB4EC0"/>
    <w:rsid w:val="00EB5519"/>
    <w:rsid w:val="00EB686C"/>
    <w:rsid w:val="00EB758D"/>
    <w:rsid w:val="00EC1E9D"/>
    <w:rsid w:val="00EC2A4C"/>
    <w:rsid w:val="00EC53B7"/>
    <w:rsid w:val="00EC6D61"/>
    <w:rsid w:val="00EC7D5A"/>
    <w:rsid w:val="00ED0CA8"/>
    <w:rsid w:val="00ED13C6"/>
    <w:rsid w:val="00ED538B"/>
    <w:rsid w:val="00ED7D18"/>
    <w:rsid w:val="00EE00FD"/>
    <w:rsid w:val="00EE2114"/>
    <w:rsid w:val="00EE2924"/>
    <w:rsid w:val="00EE331A"/>
    <w:rsid w:val="00EE33FC"/>
    <w:rsid w:val="00EE3B89"/>
    <w:rsid w:val="00EE4565"/>
    <w:rsid w:val="00EE58FA"/>
    <w:rsid w:val="00EE5D61"/>
    <w:rsid w:val="00EE65A6"/>
    <w:rsid w:val="00EF00C9"/>
    <w:rsid w:val="00EF43C9"/>
    <w:rsid w:val="00EF5AA7"/>
    <w:rsid w:val="00EF5CB4"/>
    <w:rsid w:val="00EF7F40"/>
    <w:rsid w:val="00F049CC"/>
    <w:rsid w:val="00F04BED"/>
    <w:rsid w:val="00F050CF"/>
    <w:rsid w:val="00F0598A"/>
    <w:rsid w:val="00F05B20"/>
    <w:rsid w:val="00F05BF4"/>
    <w:rsid w:val="00F066A6"/>
    <w:rsid w:val="00F06DB7"/>
    <w:rsid w:val="00F10338"/>
    <w:rsid w:val="00F112EC"/>
    <w:rsid w:val="00F12421"/>
    <w:rsid w:val="00F12612"/>
    <w:rsid w:val="00F12F63"/>
    <w:rsid w:val="00F13C1D"/>
    <w:rsid w:val="00F14DFE"/>
    <w:rsid w:val="00F16B9B"/>
    <w:rsid w:val="00F17ECA"/>
    <w:rsid w:val="00F2010E"/>
    <w:rsid w:val="00F207C0"/>
    <w:rsid w:val="00F22C7F"/>
    <w:rsid w:val="00F250EE"/>
    <w:rsid w:val="00F26002"/>
    <w:rsid w:val="00F26316"/>
    <w:rsid w:val="00F26B8C"/>
    <w:rsid w:val="00F26D31"/>
    <w:rsid w:val="00F27A36"/>
    <w:rsid w:val="00F308BB"/>
    <w:rsid w:val="00F30D3D"/>
    <w:rsid w:val="00F3145A"/>
    <w:rsid w:val="00F33D5A"/>
    <w:rsid w:val="00F36CDB"/>
    <w:rsid w:val="00F371B9"/>
    <w:rsid w:val="00F376A3"/>
    <w:rsid w:val="00F40318"/>
    <w:rsid w:val="00F40446"/>
    <w:rsid w:val="00F40BBA"/>
    <w:rsid w:val="00F41171"/>
    <w:rsid w:val="00F4134E"/>
    <w:rsid w:val="00F44E5D"/>
    <w:rsid w:val="00F47E99"/>
    <w:rsid w:val="00F50B93"/>
    <w:rsid w:val="00F52BEE"/>
    <w:rsid w:val="00F5344D"/>
    <w:rsid w:val="00F53B33"/>
    <w:rsid w:val="00F54AC6"/>
    <w:rsid w:val="00F600C5"/>
    <w:rsid w:val="00F6047A"/>
    <w:rsid w:val="00F6775B"/>
    <w:rsid w:val="00F67CB4"/>
    <w:rsid w:val="00F67F73"/>
    <w:rsid w:val="00F70C7A"/>
    <w:rsid w:val="00F71404"/>
    <w:rsid w:val="00F731D5"/>
    <w:rsid w:val="00F739B7"/>
    <w:rsid w:val="00F73EEB"/>
    <w:rsid w:val="00F7424D"/>
    <w:rsid w:val="00F758A9"/>
    <w:rsid w:val="00F760CD"/>
    <w:rsid w:val="00F8003B"/>
    <w:rsid w:val="00F80135"/>
    <w:rsid w:val="00F812C9"/>
    <w:rsid w:val="00F812DD"/>
    <w:rsid w:val="00F817BE"/>
    <w:rsid w:val="00F83C3B"/>
    <w:rsid w:val="00F84464"/>
    <w:rsid w:val="00F84931"/>
    <w:rsid w:val="00F85684"/>
    <w:rsid w:val="00F85687"/>
    <w:rsid w:val="00F869EA"/>
    <w:rsid w:val="00F90394"/>
    <w:rsid w:val="00F90814"/>
    <w:rsid w:val="00F925BC"/>
    <w:rsid w:val="00F94638"/>
    <w:rsid w:val="00F94E82"/>
    <w:rsid w:val="00F962EE"/>
    <w:rsid w:val="00F96855"/>
    <w:rsid w:val="00F96932"/>
    <w:rsid w:val="00F96AF7"/>
    <w:rsid w:val="00F96F10"/>
    <w:rsid w:val="00F9703A"/>
    <w:rsid w:val="00FA069B"/>
    <w:rsid w:val="00FA06DC"/>
    <w:rsid w:val="00FA1B5C"/>
    <w:rsid w:val="00FA2212"/>
    <w:rsid w:val="00FA3430"/>
    <w:rsid w:val="00FA3DBC"/>
    <w:rsid w:val="00FA487C"/>
    <w:rsid w:val="00FA518A"/>
    <w:rsid w:val="00FA5683"/>
    <w:rsid w:val="00FA6431"/>
    <w:rsid w:val="00FA6807"/>
    <w:rsid w:val="00FA6E3C"/>
    <w:rsid w:val="00FA71C8"/>
    <w:rsid w:val="00FA762C"/>
    <w:rsid w:val="00FB0C5D"/>
    <w:rsid w:val="00FB0E29"/>
    <w:rsid w:val="00FB0FFD"/>
    <w:rsid w:val="00FB14B0"/>
    <w:rsid w:val="00FB2B9D"/>
    <w:rsid w:val="00FB2E3D"/>
    <w:rsid w:val="00FB306E"/>
    <w:rsid w:val="00FB4266"/>
    <w:rsid w:val="00FB7B8E"/>
    <w:rsid w:val="00FC2945"/>
    <w:rsid w:val="00FC3277"/>
    <w:rsid w:val="00FC385F"/>
    <w:rsid w:val="00FC3AB3"/>
    <w:rsid w:val="00FC4275"/>
    <w:rsid w:val="00FC4B86"/>
    <w:rsid w:val="00FC5EAE"/>
    <w:rsid w:val="00FC75D8"/>
    <w:rsid w:val="00FD0531"/>
    <w:rsid w:val="00FD1451"/>
    <w:rsid w:val="00FD1C93"/>
    <w:rsid w:val="00FD2122"/>
    <w:rsid w:val="00FD3C03"/>
    <w:rsid w:val="00FD4554"/>
    <w:rsid w:val="00FD5FB3"/>
    <w:rsid w:val="00FF13EC"/>
    <w:rsid w:val="00FF164F"/>
    <w:rsid w:val="00FF3E74"/>
    <w:rsid w:val="00FF5399"/>
    <w:rsid w:val="00FF5B55"/>
    <w:rsid w:val="00FF61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E937"/>
  <w15:chartTrackingRefBased/>
  <w15:docId w15:val="{1E105C79-57BB-43AB-93FD-4739E297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86F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01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0124"/>
    <w:rPr>
      <w:sz w:val="20"/>
      <w:szCs w:val="20"/>
    </w:rPr>
  </w:style>
  <w:style w:type="character" w:styleId="FootnoteReference">
    <w:name w:val="footnote reference"/>
    <w:basedOn w:val="DefaultParagraphFont"/>
    <w:uiPriority w:val="99"/>
    <w:semiHidden/>
    <w:unhideWhenUsed/>
    <w:rsid w:val="00D90124"/>
    <w:rPr>
      <w:vertAlign w:val="superscript"/>
    </w:rPr>
  </w:style>
  <w:style w:type="paragraph" w:styleId="ListParagraph">
    <w:name w:val="List Paragraph"/>
    <w:basedOn w:val="Normal"/>
    <w:uiPriority w:val="34"/>
    <w:qFormat/>
    <w:rsid w:val="0015163F"/>
    <w:pPr>
      <w:ind w:left="720"/>
      <w:contextualSpacing/>
    </w:pPr>
  </w:style>
  <w:style w:type="paragraph" w:customStyle="1" w:styleId="DraftHeading1">
    <w:name w:val="Draft Heading 1"/>
    <w:basedOn w:val="Normal"/>
    <w:next w:val="Normal"/>
    <w:rsid w:val="004E005C"/>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sz w:val="24"/>
      <w:szCs w:val="24"/>
    </w:rPr>
  </w:style>
  <w:style w:type="paragraph" w:customStyle="1" w:styleId="DraftHeading2">
    <w:name w:val="Draft Heading 2"/>
    <w:basedOn w:val="Normal"/>
    <w:next w:val="Normal"/>
    <w:rsid w:val="004E005C"/>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3">
    <w:name w:val="Draft Heading 3"/>
    <w:basedOn w:val="Normal"/>
    <w:next w:val="Normal"/>
    <w:rsid w:val="004E005C"/>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ShoulderReference">
    <w:name w:val="Shoulder Reference"/>
    <w:next w:val="Normal"/>
    <w:rsid w:val="004E005C"/>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rPr>
  </w:style>
  <w:style w:type="character" w:customStyle="1" w:styleId="CharSectNo">
    <w:name w:val="CharSectNo"/>
    <w:basedOn w:val="DefaultParagraphFont"/>
    <w:rsid w:val="00831ECC"/>
  </w:style>
  <w:style w:type="paragraph" w:styleId="BalloonText">
    <w:name w:val="Balloon Text"/>
    <w:basedOn w:val="Normal"/>
    <w:link w:val="BalloonTextChar"/>
    <w:uiPriority w:val="99"/>
    <w:semiHidden/>
    <w:unhideWhenUsed/>
    <w:rsid w:val="00DE47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734"/>
    <w:rPr>
      <w:rFonts w:ascii="Segoe UI" w:hAnsi="Segoe UI" w:cs="Segoe UI"/>
      <w:sz w:val="18"/>
      <w:szCs w:val="18"/>
    </w:rPr>
  </w:style>
  <w:style w:type="character" w:customStyle="1" w:styleId="ro1">
    <w:name w:val="ro1"/>
    <w:basedOn w:val="DefaultParagraphFont"/>
    <w:rsid w:val="00492BB4"/>
    <w:rPr>
      <w:b w:val="0"/>
      <w:bCs w:val="0"/>
    </w:rPr>
  </w:style>
  <w:style w:type="character" w:styleId="Hyperlink">
    <w:name w:val="Hyperlink"/>
    <w:basedOn w:val="DefaultParagraphFont"/>
    <w:uiPriority w:val="99"/>
    <w:unhideWhenUsed/>
    <w:rsid w:val="00492BB4"/>
    <w:rPr>
      <w:rFonts w:ascii="Verdana" w:hAnsi="Verdana" w:hint="default"/>
      <w:strike w:val="0"/>
      <w:dstrike w:val="0"/>
      <w:color w:val="004B91"/>
      <w:u w:val="none"/>
      <w:effect w:val="none"/>
    </w:rPr>
  </w:style>
  <w:style w:type="character" w:customStyle="1" w:styleId="emphasis1">
    <w:name w:val="emphasis1"/>
    <w:basedOn w:val="DefaultParagraphFont"/>
    <w:rsid w:val="006151A1"/>
    <w:rPr>
      <w:i/>
      <w:iCs/>
    </w:rPr>
  </w:style>
  <w:style w:type="character" w:customStyle="1" w:styleId="hit1">
    <w:name w:val="hit1"/>
    <w:basedOn w:val="DefaultParagraphFont"/>
    <w:rsid w:val="000234D9"/>
    <w:rPr>
      <w:b/>
      <w:bCs/>
      <w:color w:val="CC0033"/>
    </w:rPr>
  </w:style>
  <w:style w:type="paragraph" w:customStyle="1" w:styleId="Recommendations">
    <w:name w:val="Recommendations"/>
    <w:basedOn w:val="Heading3"/>
    <w:qFormat/>
    <w:rsid w:val="00B86F7C"/>
    <w:pPr>
      <w:keepNext w:val="0"/>
      <w:spacing w:before="240" w:after="240" w:line="240" w:lineRule="auto"/>
    </w:pPr>
    <w:rPr>
      <w:rFonts w:ascii="Arial" w:eastAsia="Times New Roman" w:hAnsi="Arial" w:cs="Arial"/>
      <w:b/>
      <w:bCs/>
      <w:color w:val="auto"/>
      <w:sz w:val="21"/>
      <w:szCs w:val="26"/>
      <w:lang w:eastAsia="en-AU"/>
    </w:rPr>
  </w:style>
  <w:style w:type="character" w:customStyle="1" w:styleId="Heading3Char">
    <w:name w:val="Heading 3 Char"/>
    <w:basedOn w:val="DefaultParagraphFont"/>
    <w:link w:val="Heading3"/>
    <w:uiPriority w:val="9"/>
    <w:semiHidden/>
    <w:rsid w:val="00B86F7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74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FE5"/>
  </w:style>
  <w:style w:type="paragraph" w:styleId="Footer">
    <w:name w:val="footer"/>
    <w:basedOn w:val="Normal"/>
    <w:link w:val="FooterChar"/>
    <w:uiPriority w:val="99"/>
    <w:unhideWhenUsed/>
    <w:rsid w:val="00D74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41371">
      <w:bodyDiv w:val="1"/>
      <w:marLeft w:val="75"/>
      <w:marRight w:val="75"/>
      <w:marTop w:val="0"/>
      <w:marBottom w:val="0"/>
      <w:divBdr>
        <w:top w:val="none" w:sz="0" w:space="0" w:color="auto"/>
        <w:left w:val="none" w:sz="0" w:space="0" w:color="auto"/>
        <w:bottom w:val="none" w:sz="0" w:space="0" w:color="auto"/>
        <w:right w:val="none" w:sz="0" w:space="0" w:color="auto"/>
      </w:divBdr>
      <w:divsChild>
        <w:div w:id="495457115">
          <w:marLeft w:val="0"/>
          <w:marRight w:val="0"/>
          <w:marTop w:val="0"/>
          <w:marBottom w:val="0"/>
          <w:divBdr>
            <w:top w:val="none" w:sz="0" w:space="0" w:color="auto"/>
            <w:left w:val="none" w:sz="0" w:space="0" w:color="auto"/>
            <w:bottom w:val="none" w:sz="0" w:space="0" w:color="auto"/>
            <w:right w:val="none" w:sz="0" w:space="0" w:color="auto"/>
          </w:divBdr>
        </w:div>
      </w:divsChild>
    </w:div>
    <w:div w:id="343481509">
      <w:bodyDiv w:val="1"/>
      <w:marLeft w:val="75"/>
      <w:marRight w:val="75"/>
      <w:marTop w:val="0"/>
      <w:marBottom w:val="0"/>
      <w:divBdr>
        <w:top w:val="none" w:sz="0" w:space="0" w:color="auto"/>
        <w:left w:val="none" w:sz="0" w:space="0" w:color="auto"/>
        <w:bottom w:val="none" w:sz="0" w:space="0" w:color="auto"/>
        <w:right w:val="none" w:sz="0" w:space="0" w:color="auto"/>
      </w:divBdr>
      <w:divsChild>
        <w:div w:id="520700906">
          <w:marLeft w:val="0"/>
          <w:marRight w:val="0"/>
          <w:marTop w:val="0"/>
          <w:marBottom w:val="0"/>
          <w:divBdr>
            <w:top w:val="none" w:sz="0" w:space="0" w:color="auto"/>
            <w:left w:val="none" w:sz="0" w:space="0" w:color="auto"/>
            <w:bottom w:val="none" w:sz="0" w:space="0" w:color="auto"/>
            <w:right w:val="none" w:sz="0" w:space="0" w:color="auto"/>
          </w:divBdr>
        </w:div>
      </w:divsChild>
    </w:div>
    <w:div w:id="1357999345">
      <w:bodyDiv w:val="1"/>
      <w:marLeft w:val="75"/>
      <w:marRight w:val="75"/>
      <w:marTop w:val="0"/>
      <w:marBottom w:val="0"/>
      <w:divBdr>
        <w:top w:val="none" w:sz="0" w:space="0" w:color="auto"/>
        <w:left w:val="none" w:sz="0" w:space="0" w:color="auto"/>
        <w:bottom w:val="none" w:sz="0" w:space="0" w:color="auto"/>
        <w:right w:val="none" w:sz="0" w:space="0" w:color="auto"/>
      </w:divBdr>
      <w:divsChild>
        <w:div w:id="1320575298">
          <w:marLeft w:val="0"/>
          <w:marRight w:val="0"/>
          <w:marTop w:val="0"/>
          <w:marBottom w:val="0"/>
          <w:divBdr>
            <w:top w:val="none" w:sz="0" w:space="0" w:color="auto"/>
            <w:left w:val="none" w:sz="0" w:space="0" w:color="auto"/>
            <w:bottom w:val="none" w:sz="0" w:space="0" w:color="auto"/>
            <w:right w:val="none" w:sz="0" w:space="0" w:color="auto"/>
          </w:divBdr>
        </w:div>
      </w:divsChild>
    </w:div>
    <w:div w:id="1358041985">
      <w:bodyDiv w:val="1"/>
      <w:marLeft w:val="75"/>
      <w:marRight w:val="75"/>
      <w:marTop w:val="0"/>
      <w:marBottom w:val="0"/>
      <w:divBdr>
        <w:top w:val="none" w:sz="0" w:space="0" w:color="auto"/>
        <w:left w:val="none" w:sz="0" w:space="0" w:color="auto"/>
        <w:bottom w:val="none" w:sz="0" w:space="0" w:color="auto"/>
        <w:right w:val="none" w:sz="0" w:space="0" w:color="auto"/>
      </w:divBdr>
      <w:divsChild>
        <w:div w:id="229270767">
          <w:marLeft w:val="0"/>
          <w:marRight w:val="0"/>
          <w:marTop w:val="0"/>
          <w:marBottom w:val="0"/>
          <w:divBdr>
            <w:top w:val="none" w:sz="0" w:space="0" w:color="auto"/>
            <w:left w:val="none" w:sz="0" w:space="0" w:color="auto"/>
            <w:bottom w:val="none" w:sz="0" w:space="0" w:color="auto"/>
            <w:right w:val="none" w:sz="0" w:space="0" w:color="auto"/>
          </w:divBdr>
        </w:div>
      </w:divsChild>
    </w:div>
    <w:div w:id="1749305393">
      <w:bodyDiv w:val="1"/>
      <w:marLeft w:val="75"/>
      <w:marRight w:val="75"/>
      <w:marTop w:val="0"/>
      <w:marBottom w:val="0"/>
      <w:divBdr>
        <w:top w:val="none" w:sz="0" w:space="0" w:color="auto"/>
        <w:left w:val="none" w:sz="0" w:space="0" w:color="auto"/>
        <w:bottom w:val="none" w:sz="0" w:space="0" w:color="auto"/>
        <w:right w:val="none" w:sz="0" w:space="0" w:color="auto"/>
      </w:divBdr>
      <w:divsChild>
        <w:div w:id="742683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liv.asn.au/For-Lawyers/Submissions-and-LIV-projects/Charter-Case-Audit/Charter-Case-Audit-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6D2117A00204994AE689FDDA0E487" ma:contentTypeVersion="0" ma:contentTypeDescription="Create a new document." ma:contentTypeScope="" ma:versionID="e8be5455ccc8ab240565f93b782266d5">
  <xsd:schema xmlns:xsd="http://www.w3.org/2001/XMLSchema" xmlns:xs="http://www.w3.org/2001/XMLSchema" xmlns:p="http://schemas.microsoft.com/office/2006/metadata/properties" targetNamespace="http://schemas.microsoft.com/office/2006/metadata/properties" ma:root="true" ma:fieldsID="8c180a8389243951cd65b31068827a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D47A1-95F8-4AB2-AFC5-197B1E0A0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613D69-72E7-49FE-83E3-E84D923A720C}">
  <ds:schemaRefs>
    <ds:schemaRef ds:uri="http://schemas.microsoft.com/sharepoint/v3/contenttype/forms"/>
  </ds:schemaRefs>
</ds:datastoreItem>
</file>

<file path=customXml/itemProps3.xml><?xml version="1.0" encoding="utf-8"?>
<ds:datastoreItem xmlns:ds="http://schemas.openxmlformats.org/officeDocument/2006/customXml" ds:itemID="{1A37E9FF-9467-4EDB-88FB-13C383246E6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46F9518-2302-4C83-9D78-F1FBBBC4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6507</Words>
  <Characters>37091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Weinberg</dc:creator>
  <cp:keywords/>
  <dc:description/>
  <cp:lastModifiedBy>Bronwyn Gardiner</cp:lastModifiedBy>
  <cp:revision>7</cp:revision>
  <cp:lastPrinted>2016-03-04T03:45:00Z</cp:lastPrinted>
  <dcterms:created xsi:type="dcterms:W3CDTF">2016-03-06T23:07:00Z</dcterms:created>
  <dcterms:modified xsi:type="dcterms:W3CDTF">2016-03-06T23:12:00Z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0x0101001066D2117A00204994AE689FDDA0E487</vt:lpwstr>
  </property>
</Properties>
</file>