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1FB3" w14:textId="77777777" w:rsidR="00C12B78" w:rsidRPr="00DD0A57" w:rsidRDefault="00C12B78" w:rsidP="00C12B78">
      <w:pPr>
        <w:jc w:val="center"/>
        <w:rPr>
          <w:rFonts w:ascii="Tahoma" w:hAnsi="Tahoma" w:cs="Tahoma"/>
          <w:b/>
          <w:sz w:val="36"/>
          <w:szCs w:val="36"/>
          <w:u w:val="single"/>
        </w:rPr>
      </w:pPr>
      <w:r w:rsidRPr="00DD0A57">
        <w:rPr>
          <w:rFonts w:ascii="Tahoma" w:hAnsi="Tahoma" w:cs="Tahoma"/>
          <w:b/>
          <w:sz w:val="36"/>
          <w:szCs w:val="36"/>
          <w:u w:val="single"/>
        </w:rPr>
        <w:t>Responding to young people offending</w:t>
      </w:r>
    </w:p>
    <w:p w14:paraId="1839F138" w14:textId="77777777" w:rsidR="00C12B78" w:rsidRDefault="00C12B78" w:rsidP="00C12B78">
      <w:pPr>
        <w:spacing w:after="0" w:line="240" w:lineRule="auto"/>
        <w:jc w:val="center"/>
        <w:rPr>
          <w:rFonts w:ascii="Tahoma" w:hAnsi="Tahoma" w:cs="Tahoma"/>
          <w:sz w:val="32"/>
          <w:szCs w:val="32"/>
        </w:rPr>
      </w:pPr>
    </w:p>
    <w:p w14:paraId="01E7A6FF" w14:textId="77777777" w:rsidR="00C12B78" w:rsidRPr="00F77E89" w:rsidRDefault="00C12B78" w:rsidP="00C12B78">
      <w:pPr>
        <w:spacing w:after="0" w:line="240" w:lineRule="auto"/>
        <w:jc w:val="center"/>
        <w:rPr>
          <w:rFonts w:ascii="Tahoma" w:hAnsi="Tahoma" w:cs="Tahoma"/>
          <w:sz w:val="32"/>
          <w:szCs w:val="32"/>
        </w:rPr>
      </w:pPr>
      <w:r w:rsidRPr="00F77E89">
        <w:rPr>
          <w:rFonts w:ascii="Tahoma" w:hAnsi="Tahoma" w:cs="Tahoma"/>
          <w:sz w:val="32"/>
          <w:szCs w:val="32"/>
        </w:rPr>
        <w:t>Remarks of the Hon Marilyn Warren AC</w:t>
      </w:r>
    </w:p>
    <w:p w14:paraId="2EFE3A36" w14:textId="77777777" w:rsidR="00C12B78" w:rsidRPr="00F77E89" w:rsidRDefault="00C12B78" w:rsidP="00C12B78">
      <w:pPr>
        <w:spacing w:after="0" w:line="240" w:lineRule="auto"/>
        <w:jc w:val="center"/>
        <w:rPr>
          <w:rFonts w:ascii="Tahoma" w:hAnsi="Tahoma" w:cs="Tahoma"/>
          <w:sz w:val="32"/>
          <w:szCs w:val="32"/>
        </w:rPr>
      </w:pPr>
      <w:r w:rsidRPr="00F77E89">
        <w:rPr>
          <w:rFonts w:ascii="Tahoma" w:hAnsi="Tahoma" w:cs="Tahoma"/>
          <w:sz w:val="32"/>
          <w:szCs w:val="32"/>
        </w:rPr>
        <w:t>Chief Justice of Victoria</w:t>
      </w:r>
    </w:p>
    <w:p w14:paraId="6A0BFE96" w14:textId="77777777" w:rsidR="00C12B78" w:rsidRPr="00F77E89" w:rsidRDefault="00C12B78" w:rsidP="00C12B78">
      <w:pPr>
        <w:spacing w:after="0" w:line="240" w:lineRule="auto"/>
        <w:jc w:val="center"/>
        <w:rPr>
          <w:rFonts w:ascii="Tahoma" w:hAnsi="Tahoma" w:cs="Tahoma"/>
          <w:sz w:val="32"/>
          <w:szCs w:val="32"/>
        </w:rPr>
      </w:pPr>
      <w:r w:rsidRPr="00F77E89">
        <w:rPr>
          <w:rFonts w:ascii="Tahoma" w:hAnsi="Tahoma" w:cs="Tahoma"/>
          <w:sz w:val="32"/>
          <w:szCs w:val="32"/>
        </w:rPr>
        <w:t xml:space="preserve">The Hon Austin </w:t>
      </w:r>
      <w:proofErr w:type="spellStart"/>
      <w:r w:rsidRPr="00F77E89">
        <w:rPr>
          <w:rFonts w:ascii="Tahoma" w:hAnsi="Tahoma" w:cs="Tahoma"/>
          <w:sz w:val="32"/>
          <w:szCs w:val="32"/>
        </w:rPr>
        <w:t>Asche</w:t>
      </w:r>
      <w:proofErr w:type="spellEnd"/>
      <w:r w:rsidRPr="00F77E89">
        <w:rPr>
          <w:rFonts w:ascii="Tahoma" w:hAnsi="Tahoma" w:cs="Tahoma"/>
          <w:sz w:val="32"/>
          <w:szCs w:val="32"/>
        </w:rPr>
        <w:t xml:space="preserve"> AC QC Oration in Law and Governance</w:t>
      </w:r>
    </w:p>
    <w:p w14:paraId="6932B095" w14:textId="77777777" w:rsidR="00C12B78" w:rsidRPr="00F77E89" w:rsidRDefault="00C12B78" w:rsidP="00C12B78">
      <w:pPr>
        <w:spacing w:after="0" w:line="240" w:lineRule="auto"/>
        <w:jc w:val="center"/>
        <w:rPr>
          <w:rFonts w:ascii="Tahoma" w:hAnsi="Tahoma" w:cs="Tahoma"/>
          <w:sz w:val="32"/>
          <w:szCs w:val="32"/>
        </w:rPr>
      </w:pPr>
      <w:r w:rsidRPr="00F77E89">
        <w:rPr>
          <w:rFonts w:ascii="Tahoma" w:hAnsi="Tahoma" w:cs="Tahoma"/>
          <w:sz w:val="32"/>
          <w:szCs w:val="32"/>
        </w:rPr>
        <w:t>Charles Darwin University</w:t>
      </w:r>
    </w:p>
    <w:p w14:paraId="58AD3A24" w14:textId="77777777" w:rsidR="00C12B78" w:rsidRPr="00F77E89" w:rsidRDefault="00C12B78" w:rsidP="00C12B78">
      <w:pPr>
        <w:spacing w:after="0" w:line="240" w:lineRule="auto"/>
        <w:jc w:val="center"/>
        <w:rPr>
          <w:rFonts w:ascii="Tahoma" w:hAnsi="Tahoma" w:cs="Tahoma"/>
          <w:sz w:val="32"/>
          <w:szCs w:val="32"/>
        </w:rPr>
      </w:pPr>
      <w:r w:rsidRPr="00F77E89">
        <w:rPr>
          <w:rFonts w:ascii="Tahoma" w:hAnsi="Tahoma" w:cs="Tahoma"/>
          <w:sz w:val="32"/>
          <w:szCs w:val="32"/>
        </w:rPr>
        <w:t>11 October 2016</w:t>
      </w:r>
    </w:p>
    <w:p w14:paraId="3A584233" w14:textId="77777777" w:rsidR="00C12B78" w:rsidRDefault="00C12B78" w:rsidP="0035310B">
      <w:pPr>
        <w:spacing w:line="480" w:lineRule="auto"/>
        <w:rPr>
          <w:rFonts w:ascii="Tahoma" w:hAnsi="Tahoma" w:cs="Tahoma"/>
          <w:sz w:val="32"/>
          <w:szCs w:val="32"/>
        </w:rPr>
      </w:pPr>
    </w:p>
    <w:p w14:paraId="6D6B5573" w14:textId="77777777" w:rsidR="00D24F0F" w:rsidRDefault="00D24F0F" w:rsidP="0035310B">
      <w:pPr>
        <w:spacing w:line="480" w:lineRule="auto"/>
        <w:rPr>
          <w:rFonts w:ascii="Tahoma" w:hAnsi="Tahoma" w:cs="Tahoma"/>
          <w:sz w:val="32"/>
          <w:szCs w:val="32"/>
        </w:rPr>
      </w:pPr>
      <w:r>
        <w:rPr>
          <w:rFonts w:ascii="Tahoma" w:hAnsi="Tahoma" w:cs="Tahoma"/>
          <w:sz w:val="32"/>
          <w:szCs w:val="32"/>
        </w:rPr>
        <w:t xml:space="preserve">I acknowledge that we meet on the traditional lands of the </w:t>
      </w:r>
      <w:proofErr w:type="spellStart"/>
      <w:r>
        <w:rPr>
          <w:rFonts w:ascii="Tahoma" w:hAnsi="Tahoma" w:cs="Tahoma"/>
          <w:sz w:val="32"/>
          <w:szCs w:val="32"/>
        </w:rPr>
        <w:t>Larrakia</w:t>
      </w:r>
      <w:proofErr w:type="spellEnd"/>
      <w:r>
        <w:rPr>
          <w:rFonts w:ascii="Tahoma" w:hAnsi="Tahoma" w:cs="Tahoma"/>
          <w:sz w:val="32"/>
          <w:szCs w:val="32"/>
        </w:rPr>
        <w:t xml:space="preserve"> people.  I pay my respects to their elders, past and present.</w:t>
      </w:r>
    </w:p>
    <w:p w14:paraId="041359A4" w14:textId="77777777" w:rsidR="00D24F0F" w:rsidRDefault="00D24F0F" w:rsidP="0035310B">
      <w:pPr>
        <w:spacing w:line="480" w:lineRule="auto"/>
        <w:rPr>
          <w:rFonts w:ascii="Tahoma" w:hAnsi="Tahoma" w:cs="Tahoma"/>
          <w:sz w:val="32"/>
          <w:szCs w:val="32"/>
        </w:rPr>
      </w:pPr>
    </w:p>
    <w:p w14:paraId="75629FB9"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Your Excellency, the Administrator and Mrs Hardy</w:t>
      </w:r>
    </w:p>
    <w:p w14:paraId="6303D5E1"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Chief Justice Michael Grant</w:t>
      </w:r>
    </w:p>
    <w:p w14:paraId="5D2F13D5"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Your Honours</w:t>
      </w:r>
    </w:p>
    <w:p w14:paraId="39F7F678"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The Hon Kevin Lindgren</w:t>
      </w:r>
    </w:p>
    <w:p w14:paraId="08DD0C0F"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 xml:space="preserve">The Hon Austin </w:t>
      </w:r>
      <w:proofErr w:type="spellStart"/>
      <w:r w:rsidRPr="0035310B">
        <w:rPr>
          <w:rFonts w:ascii="Tahoma" w:hAnsi="Tahoma" w:cs="Tahoma"/>
          <w:sz w:val="32"/>
          <w:szCs w:val="32"/>
        </w:rPr>
        <w:t>Asche</w:t>
      </w:r>
      <w:proofErr w:type="spellEnd"/>
      <w:r w:rsidRPr="0035310B">
        <w:rPr>
          <w:rFonts w:ascii="Tahoma" w:hAnsi="Tahoma" w:cs="Tahoma"/>
          <w:sz w:val="32"/>
          <w:szCs w:val="32"/>
        </w:rPr>
        <w:t xml:space="preserve"> and Dr </w:t>
      </w:r>
      <w:proofErr w:type="spellStart"/>
      <w:r w:rsidRPr="0035310B">
        <w:rPr>
          <w:rFonts w:ascii="Tahoma" w:hAnsi="Tahoma" w:cs="Tahoma"/>
          <w:sz w:val="32"/>
          <w:szCs w:val="32"/>
        </w:rPr>
        <w:t>Asche</w:t>
      </w:r>
      <w:proofErr w:type="spellEnd"/>
    </w:p>
    <w:p w14:paraId="272BD3E0"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 xml:space="preserve">The Hon Margaret White and Commissioner </w:t>
      </w:r>
      <w:proofErr w:type="spellStart"/>
      <w:r w:rsidRPr="0035310B">
        <w:rPr>
          <w:rFonts w:ascii="Tahoma" w:hAnsi="Tahoma" w:cs="Tahoma"/>
          <w:sz w:val="32"/>
          <w:szCs w:val="32"/>
        </w:rPr>
        <w:t>Gooda</w:t>
      </w:r>
      <w:proofErr w:type="spellEnd"/>
    </w:p>
    <w:p w14:paraId="66882AB9" w14:textId="77777777"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Vice-Chancellor</w:t>
      </w:r>
    </w:p>
    <w:p w14:paraId="5D8033E8" w14:textId="184F2C6C"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Distinguished members of the Academy</w:t>
      </w:r>
    </w:p>
    <w:p w14:paraId="20327E6C" w14:textId="386F1396" w:rsidR="00D24F0F" w:rsidRPr="0035310B" w:rsidRDefault="00D24F0F" w:rsidP="0035310B">
      <w:pPr>
        <w:pStyle w:val="ListParagraph"/>
        <w:numPr>
          <w:ilvl w:val="0"/>
          <w:numId w:val="5"/>
        </w:numPr>
        <w:spacing w:line="480" w:lineRule="auto"/>
        <w:rPr>
          <w:rFonts w:ascii="Tahoma" w:hAnsi="Tahoma" w:cs="Tahoma"/>
          <w:sz w:val="32"/>
          <w:szCs w:val="32"/>
        </w:rPr>
      </w:pPr>
      <w:r w:rsidRPr="0035310B">
        <w:rPr>
          <w:rFonts w:ascii="Tahoma" w:hAnsi="Tahoma" w:cs="Tahoma"/>
          <w:sz w:val="32"/>
          <w:szCs w:val="32"/>
        </w:rPr>
        <w:t>Ladies and Gentleman</w:t>
      </w:r>
      <w:r w:rsidRPr="0035310B">
        <w:rPr>
          <w:rFonts w:ascii="Tahoma" w:hAnsi="Tahoma" w:cs="Tahoma"/>
          <w:sz w:val="32"/>
          <w:szCs w:val="32"/>
        </w:rPr>
        <w:br w:type="page"/>
      </w:r>
    </w:p>
    <w:p w14:paraId="6C90605D" w14:textId="77777777" w:rsidR="009E60BC" w:rsidRPr="00F77E89" w:rsidRDefault="009E60BC" w:rsidP="00ED020B">
      <w:pPr>
        <w:spacing w:after="0" w:line="360" w:lineRule="auto"/>
        <w:jc w:val="both"/>
        <w:rPr>
          <w:rFonts w:ascii="Tahoma" w:hAnsi="Tahoma" w:cs="Tahoma"/>
          <w:sz w:val="32"/>
          <w:szCs w:val="32"/>
        </w:rPr>
      </w:pPr>
      <w:bookmarkStart w:id="0" w:name="_GoBack"/>
      <w:bookmarkEnd w:id="0"/>
    </w:p>
    <w:p w14:paraId="79CDBD7A" w14:textId="5443E3E0" w:rsidR="009E60BC" w:rsidRPr="00F77E89" w:rsidRDefault="009E60BC" w:rsidP="00ED020B">
      <w:pPr>
        <w:spacing w:after="0" w:line="360" w:lineRule="auto"/>
        <w:ind w:firstLine="720"/>
        <w:jc w:val="both"/>
        <w:rPr>
          <w:rFonts w:ascii="Tahoma" w:hAnsi="Tahoma" w:cs="Tahoma"/>
          <w:sz w:val="32"/>
          <w:szCs w:val="32"/>
        </w:rPr>
      </w:pPr>
      <w:r w:rsidRPr="00F77E89">
        <w:rPr>
          <w:rFonts w:ascii="Tahoma" w:hAnsi="Tahoma" w:cs="Tahoma"/>
          <w:sz w:val="32"/>
          <w:szCs w:val="32"/>
        </w:rPr>
        <w:t>Many months ago</w:t>
      </w:r>
      <w:r w:rsidR="008878BB" w:rsidRPr="00F77E89">
        <w:rPr>
          <w:rFonts w:ascii="Tahoma" w:hAnsi="Tahoma" w:cs="Tahoma"/>
          <w:sz w:val="32"/>
          <w:szCs w:val="32"/>
        </w:rPr>
        <w:t xml:space="preserve"> I was graciously invited </w:t>
      </w:r>
      <w:r w:rsidR="007F1267">
        <w:rPr>
          <w:rFonts w:ascii="Tahoma" w:hAnsi="Tahoma" w:cs="Tahoma"/>
          <w:sz w:val="32"/>
          <w:szCs w:val="32"/>
        </w:rPr>
        <w:t xml:space="preserve">by Professor Les </w:t>
      </w:r>
      <w:proofErr w:type="spellStart"/>
      <w:r w:rsidR="007F1267">
        <w:rPr>
          <w:rFonts w:ascii="Tahoma" w:hAnsi="Tahoma" w:cs="Tahoma"/>
          <w:sz w:val="32"/>
          <w:szCs w:val="32"/>
        </w:rPr>
        <w:t>McCrimmon</w:t>
      </w:r>
      <w:proofErr w:type="spellEnd"/>
      <w:r w:rsidR="007F1267">
        <w:rPr>
          <w:rFonts w:ascii="Tahoma" w:hAnsi="Tahoma" w:cs="Tahoma"/>
          <w:sz w:val="32"/>
          <w:szCs w:val="32"/>
        </w:rPr>
        <w:t xml:space="preserve"> of the Law School </w:t>
      </w:r>
      <w:r w:rsidR="008878BB" w:rsidRPr="00F77E89">
        <w:rPr>
          <w:rFonts w:ascii="Tahoma" w:hAnsi="Tahoma" w:cs="Tahoma"/>
          <w:sz w:val="32"/>
          <w:szCs w:val="32"/>
        </w:rPr>
        <w:t xml:space="preserve">to give this year’s Austin </w:t>
      </w:r>
      <w:proofErr w:type="spellStart"/>
      <w:r w:rsidR="008878BB" w:rsidRPr="00F77E89">
        <w:rPr>
          <w:rFonts w:ascii="Tahoma" w:hAnsi="Tahoma" w:cs="Tahoma"/>
          <w:sz w:val="32"/>
          <w:szCs w:val="32"/>
        </w:rPr>
        <w:t>Asche</w:t>
      </w:r>
      <w:proofErr w:type="spellEnd"/>
      <w:r w:rsidR="008878BB" w:rsidRPr="00F77E89">
        <w:rPr>
          <w:rFonts w:ascii="Tahoma" w:hAnsi="Tahoma" w:cs="Tahoma"/>
          <w:sz w:val="32"/>
          <w:szCs w:val="32"/>
        </w:rPr>
        <w:t xml:space="preserve"> Oration.  I </w:t>
      </w:r>
      <w:r w:rsidR="009541D6">
        <w:rPr>
          <w:rFonts w:ascii="Tahoma" w:hAnsi="Tahoma" w:cs="Tahoma"/>
          <w:sz w:val="32"/>
          <w:szCs w:val="32"/>
        </w:rPr>
        <w:t xml:space="preserve">am </w:t>
      </w:r>
      <w:r w:rsidR="008878BB" w:rsidRPr="00F77E89">
        <w:rPr>
          <w:rFonts w:ascii="Tahoma" w:hAnsi="Tahoma" w:cs="Tahoma"/>
          <w:sz w:val="32"/>
          <w:szCs w:val="32"/>
        </w:rPr>
        <w:t>greatly honoured</w:t>
      </w:r>
      <w:r w:rsidR="009541D6">
        <w:rPr>
          <w:rFonts w:ascii="Tahoma" w:hAnsi="Tahoma" w:cs="Tahoma"/>
          <w:sz w:val="32"/>
          <w:szCs w:val="32"/>
        </w:rPr>
        <w:t xml:space="preserve"> that the University and the Australian Academy would invite me to speak</w:t>
      </w:r>
      <w:r w:rsidR="007F1267">
        <w:rPr>
          <w:rFonts w:ascii="Tahoma" w:hAnsi="Tahoma" w:cs="Tahoma"/>
          <w:sz w:val="32"/>
          <w:szCs w:val="32"/>
        </w:rPr>
        <w:t>.</w:t>
      </w:r>
    </w:p>
    <w:p w14:paraId="1523ACFC" w14:textId="77777777" w:rsidR="008878BB" w:rsidRPr="00F77E89" w:rsidRDefault="008878BB" w:rsidP="00ED020B">
      <w:pPr>
        <w:spacing w:after="0" w:line="360" w:lineRule="auto"/>
        <w:jc w:val="both"/>
        <w:rPr>
          <w:rFonts w:ascii="Tahoma" w:hAnsi="Tahoma" w:cs="Tahoma"/>
          <w:sz w:val="32"/>
          <w:szCs w:val="32"/>
        </w:rPr>
      </w:pPr>
    </w:p>
    <w:p w14:paraId="2E4EBFAC" w14:textId="4FDCF453" w:rsidR="008878BB" w:rsidRDefault="008878BB" w:rsidP="00ED020B">
      <w:pPr>
        <w:spacing w:after="0" w:line="360" w:lineRule="auto"/>
        <w:jc w:val="both"/>
        <w:rPr>
          <w:rFonts w:ascii="Tahoma" w:hAnsi="Tahoma" w:cs="Tahoma"/>
          <w:sz w:val="32"/>
          <w:szCs w:val="32"/>
        </w:rPr>
      </w:pPr>
      <w:r w:rsidRPr="00F77E89">
        <w:rPr>
          <w:rFonts w:ascii="Tahoma" w:hAnsi="Tahoma" w:cs="Tahoma"/>
          <w:sz w:val="32"/>
          <w:szCs w:val="32"/>
        </w:rPr>
        <w:tab/>
        <w:t xml:space="preserve">Many, many years ago I attended a lecture given by </w:t>
      </w:r>
      <w:r w:rsidR="007F1267">
        <w:rPr>
          <w:rFonts w:ascii="Tahoma" w:hAnsi="Tahoma" w:cs="Tahoma"/>
          <w:sz w:val="32"/>
          <w:szCs w:val="32"/>
        </w:rPr>
        <w:t xml:space="preserve">the Hon </w:t>
      </w:r>
      <w:r w:rsidRPr="00F77E89">
        <w:rPr>
          <w:rFonts w:ascii="Tahoma" w:hAnsi="Tahoma" w:cs="Tahoma"/>
          <w:sz w:val="32"/>
          <w:szCs w:val="32"/>
        </w:rPr>
        <w:t xml:space="preserve">Austin </w:t>
      </w:r>
      <w:proofErr w:type="spellStart"/>
      <w:r w:rsidRPr="00F77E89">
        <w:rPr>
          <w:rFonts w:ascii="Tahoma" w:hAnsi="Tahoma" w:cs="Tahoma"/>
          <w:sz w:val="32"/>
          <w:szCs w:val="32"/>
        </w:rPr>
        <w:t>Asche</w:t>
      </w:r>
      <w:proofErr w:type="spellEnd"/>
      <w:r w:rsidRPr="00F77E89">
        <w:rPr>
          <w:rFonts w:ascii="Tahoma" w:hAnsi="Tahoma" w:cs="Tahoma"/>
          <w:sz w:val="32"/>
          <w:szCs w:val="32"/>
        </w:rPr>
        <w:t xml:space="preserve"> at the Royal Children’s Hospital in Melbourne.  The lecture was on the topic of child protection and the role that the medical profession plays.  Around that time mandatory reporting was being debated triggered by some very tragic cases where very young children had died from neglect and cruelty.  The lecture hall was packed</w:t>
      </w:r>
      <w:r w:rsidR="009541D6">
        <w:rPr>
          <w:rFonts w:ascii="Tahoma" w:hAnsi="Tahoma" w:cs="Tahoma"/>
          <w:sz w:val="32"/>
          <w:szCs w:val="32"/>
        </w:rPr>
        <w:t>.</w:t>
      </w:r>
      <w:r w:rsidRPr="00F77E89">
        <w:rPr>
          <w:rFonts w:ascii="Tahoma" w:hAnsi="Tahoma" w:cs="Tahoma"/>
          <w:sz w:val="32"/>
          <w:szCs w:val="32"/>
        </w:rPr>
        <w:t xml:space="preserve"> </w:t>
      </w:r>
      <w:r w:rsidR="009541D6">
        <w:rPr>
          <w:rFonts w:ascii="Tahoma" w:hAnsi="Tahoma" w:cs="Tahoma"/>
          <w:sz w:val="32"/>
          <w:szCs w:val="32"/>
        </w:rPr>
        <w:t xml:space="preserve"> T</w:t>
      </w:r>
      <w:r w:rsidRPr="00F77E89">
        <w:rPr>
          <w:rFonts w:ascii="Tahoma" w:hAnsi="Tahoma" w:cs="Tahoma"/>
          <w:sz w:val="32"/>
          <w:szCs w:val="32"/>
        </w:rPr>
        <w:t xml:space="preserve">here was standing room only.  I was </w:t>
      </w:r>
      <w:r w:rsidR="009541D6">
        <w:rPr>
          <w:rFonts w:ascii="Tahoma" w:hAnsi="Tahoma" w:cs="Tahoma"/>
          <w:sz w:val="32"/>
          <w:szCs w:val="32"/>
        </w:rPr>
        <w:t xml:space="preserve">struck </w:t>
      </w:r>
      <w:r w:rsidR="007F1267">
        <w:rPr>
          <w:rFonts w:ascii="Tahoma" w:hAnsi="Tahoma" w:cs="Tahoma"/>
          <w:sz w:val="32"/>
          <w:szCs w:val="32"/>
        </w:rPr>
        <w:t xml:space="preserve">by the </w:t>
      </w:r>
      <w:r w:rsidRPr="00F77E89">
        <w:rPr>
          <w:rFonts w:ascii="Tahoma" w:hAnsi="Tahoma" w:cs="Tahoma"/>
          <w:sz w:val="32"/>
          <w:szCs w:val="32"/>
        </w:rPr>
        <w:t xml:space="preserve">extraordinary respect </w:t>
      </w:r>
      <w:r w:rsidR="009541D6">
        <w:rPr>
          <w:rFonts w:ascii="Tahoma" w:hAnsi="Tahoma" w:cs="Tahoma"/>
          <w:sz w:val="32"/>
          <w:szCs w:val="32"/>
        </w:rPr>
        <w:t xml:space="preserve">from a non-legal audience </w:t>
      </w:r>
      <w:r w:rsidR="00E149A5">
        <w:rPr>
          <w:rFonts w:ascii="Tahoma" w:hAnsi="Tahoma" w:cs="Tahoma"/>
          <w:sz w:val="32"/>
          <w:szCs w:val="32"/>
        </w:rPr>
        <w:t xml:space="preserve">that Austin </w:t>
      </w:r>
      <w:proofErr w:type="spellStart"/>
      <w:r w:rsidR="00E149A5">
        <w:rPr>
          <w:rFonts w:ascii="Tahoma" w:hAnsi="Tahoma" w:cs="Tahoma"/>
          <w:sz w:val="32"/>
          <w:szCs w:val="32"/>
        </w:rPr>
        <w:t>Asche</w:t>
      </w:r>
      <w:proofErr w:type="spellEnd"/>
      <w:r w:rsidR="00E149A5">
        <w:rPr>
          <w:rFonts w:ascii="Tahoma" w:hAnsi="Tahoma" w:cs="Tahoma"/>
          <w:sz w:val="32"/>
          <w:szCs w:val="32"/>
        </w:rPr>
        <w:t xml:space="preserve"> commanded </w:t>
      </w:r>
      <w:r w:rsidRPr="00F77E89">
        <w:rPr>
          <w:rFonts w:ascii="Tahoma" w:hAnsi="Tahoma" w:cs="Tahoma"/>
          <w:sz w:val="32"/>
          <w:szCs w:val="32"/>
        </w:rPr>
        <w:t xml:space="preserve">on a </w:t>
      </w:r>
      <w:r w:rsidR="009541D6">
        <w:rPr>
          <w:rFonts w:ascii="Tahoma" w:hAnsi="Tahoma" w:cs="Tahoma"/>
          <w:sz w:val="32"/>
          <w:szCs w:val="32"/>
        </w:rPr>
        <w:t xml:space="preserve">very </w:t>
      </w:r>
      <w:r w:rsidRPr="00F77E89">
        <w:rPr>
          <w:rFonts w:ascii="Tahoma" w:hAnsi="Tahoma" w:cs="Tahoma"/>
          <w:sz w:val="32"/>
          <w:szCs w:val="32"/>
        </w:rPr>
        <w:t>controversial topic</w:t>
      </w:r>
      <w:r w:rsidR="007F1267">
        <w:rPr>
          <w:rFonts w:ascii="Tahoma" w:hAnsi="Tahoma" w:cs="Tahoma"/>
          <w:sz w:val="32"/>
          <w:szCs w:val="32"/>
        </w:rPr>
        <w:t>.</w:t>
      </w:r>
    </w:p>
    <w:p w14:paraId="3F65B8F1" w14:textId="77777777" w:rsidR="00F77E89" w:rsidRPr="00F77E89" w:rsidRDefault="00F77E89" w:rsidP="00ED020B">
      <w:pPr>
        <w:spacing w:after="0" w:line="360" w:lineRule="auto"/>
        <w:jc w:val="both"/>
        <w:rPr>
          <w:rFonts w:ascii="Tahoma" w:hAnsi="Tahoma" w:cs="Tahoma"/>
          <w:sz w:val="32"/>
          <w:szCs w:val="32"/>
        </w:rPr>
      </w:pPr>
    </w:p>
    <w:p w14:paraId="3D82745C" w14:textId="77777777" w:rsidR="00603DBE" w:rsidRDefault="008878BB" w:rsidP="00ED020B">
      <w:pPr>
        <w:spacing w:after="0" w:line="360" w:lineRule="auto"/>
        <w:jc w:val="both"/>
        <w:rPr>
          <w:rFonts w:ascii="Tahoma" w:hAnsi="Tahoma" w:cs="Tahoma"/>
          <w:sz w:val="32"/>
          <w:szCs w:val="32"/>
        </w:rPr>
      </w:pPr>
      <w:r w:rsidRPr="00F77E89">
        <w:rPr>
          <w:rFonts w:ascii="Tahoma" w:hAnsi="Tahoma" w:cs="Tahoma"/>
          <w:sz w:val="32"/>
          <w:szCs w:val="32"/>
        </w:rPr>
        <w:tab/>
      </w:r>
      <w:r w:rsidR="00357A8B" w:rsidRPr="00F77E89">
        <w:rPr>
          <w:rFonts w:ascii="Tahoma" w:hAnsi="Tahoma" w:cs="Tahoma"/>
          <w:sz w:val="32"/>
          <w:szCs w:val="32"/>
        </w:rPr>
        <w:t xml:space="preserve">I reflected on my almost two decades as a judge and I was very struck by the fact that I wanted to talk about something in the criminal justice system </w:t>
      </w:r>
      <w:r w:rsidR="009541D6">
        <w:rPr>
          <w:rFonts w:ascii="Tahoma" w:hAnsi="Tahoma" w:cs="Tahoma"/>
          <w:sz w:val="32"/>
          <w:szCs w:val="32"/>
        </w:rPr>
        <w:t xml:space="preserve">that </w:t>
      </w:r>
      <w:r w:rsidR="00357A8B" w:rsidRPr="00F77E89">
        <w:rPr>
          <w:rFonts w:ascii="Tahoma" w:hAnsi="Tahoma" w:cs="Tahoma"/>
          <w:sz w:val="32"/>
          <w:szCs w:val="32"/>
        </w:rPr>
        <w:t>is very obvious but about which little attention seems to be paid</w:t>
      </w:r>
      <w:r w:rsidR="009541D6">
        <w:rPr>
          <w:rFonts w:ascii="Tahoma" w:hAnsi="Tahoma" w:cs="Tahoma"/>
          <w:sz w:val="32"/>
          <w:szCs w:val="32"/>
        </w:rPr>
        <w:t xml:space="preserve"> and which is related to children and young persons</w:t>
      </w:r>
      <w:r w:rsidR="00357A8B" w:rsidRPr="00F77E89">
        <w:rPr>
          <w:rFonts w:ascii="Tahoma" w:hAnsi="Tahoma" w:cs="Tahoma"/>
          <w:sz w:val="32"/>
          <w:szCs w:val="32"/>
        </w:rPr>
        <w:t xml:space="preserve">.  </w:t>
      </w:r>
    </w:p>
    <w:p w14:paraId="63B6C59F" w14:textId="77777777" w:rsidR="00603DBE" w:rsidRDefault="00603DBE" w:rsidP="00ED020B">
      <w:pPr>
        <w:spacing w:after="0" w:line="360" w:lineRule="auto"/>
        <w:jc w:val="both"/>
        <w:rPr>
          <w:rFonts w:ascii="Tahoma" w:hAnsi="Tahoma" w:cs="Tahoma"/>
          <w:sz w:val="32"/>
          <w:szCs w:val="32"/>
        </w:rPr>
      </w:pPr>
    </w:p>
    <w:p w14:paraId="75C84DE2" w14:textId="77777777" w:rsidR="00603DBE" w:rsidRDefault="00357A8B" w:rsidP="002C1267">
      <w:pPr>
        <w:spacing w:after="0" w:line="360" w:lineRule="auto"/>
        <w:ind w:firstLine="720"/>
        <w:jc w:val="both"/>
        <w:rPr>
          <w:rFonts w:ascii="Tahoma" w:hAnsi="Tahoma" w:cs="Tahoma"/>
          <w:sz w:val="32"/>
          <w:szCs w:val="32"/>
        </w:rPr>
      </w:pPr>
      <w:r w:rsidRPr="00F77E89">
        <w:rPr>
          <w:rFonts w:ascii="Tahoma" w:hAnsi="Tahoma" w:cs="Tahoma"/>
          <w:sz w:val="32"/>
          <w:szCs w:val="32"/>
        </w:rPr>
        <w:t xml:space="preserve">Essentially it comes down to this: if the problems of education, social dysfunction and homelessness are addressed many of the problems </w:t>
      </w:r>
      <w:r w:rsidR="005E027C">
        <w:rPr>
          <w:rFonts w:ascii="Tahoma" w:hAnsi="Tahoma" w:cs="Tahoma"/>
          <w:sz w:val="32"/>
          <w:szCs w:val="32"/>
        </w:rPr>
        <w:t>resulting in</w:t>
      </w:r>
      <w:r w:rsidR="005E027C" w:rsidRPr="00F77E89">
        <w:rPr>
          <w:rFonts w:ascii="Tahoma" w:hAnsi="Tahoma" w:cs="Tahoma"/>
          <w:sz w:val="32"/>
          <w:szCs w:val="32"/>
        </w:rPr>
        <w:t xml:space="preserve"> </w:t>
      </w:r>
      <w:r w:rsidRPr="00F77E89">
        <w:rPr>
          <w:rFonts w:ascii="Tahoma" w:hAnsi="Tahoma" w:cs="Tahoma"/>
          <w:sz w:val="32"/>
          <w:szCs w:val="32"/>
        </w:rPr>
        <w:t xml:space="preserve">the horrific cases </w:t>
      </w:r>
      <w:r w:rsidR="005E027C">
        <w:rPr>
          <w:rFonts w:ascii="Tahoma" w:hAnsi="Tahoma" w:cs="Tahoma"/>
          <w:sz w:val="32"/>
          <w:szCs w:val="32"/>
        </w:rPr>
        <w:t xml:space="preserve">we see </w:t>
      </w:r>
      <w:r w:rsidRPr="00F77E89">
        <w:rPr>
          <w:rFonts w:ascii="Tahoma" w:hAnsi="Tahoma" w:cs="Tahoma"/>
          <w:sz w:val="32"/>
          <w:szCs w:val="32"/>
        </w:rPr>
        <w:t>may</w:t>
      </w:r>
      <w:r w:rsidR="00FF767E" w:rsidRPr="00F77E89">
        <w:rPr>
          <w:rFonts w:ascii="Tahoma" w:hAnsi="Tahoma" w:cs="Tahoma"/>
          <w:sz w:val="32"/>
          <w:szCs w:val="32"/>
        </w:rPr>
        <w:t xml:space="preserve"> </w:t>
      </w:r>
      <w:r w:rsidRPr="00F77E89">
        <w:rPr>
          <w:rFonts w:ascii="Tahoma" w:hAnsi="Tahoma" w:cs="Tahoma"/>
          <w:sz w:val="32"/>
          <w:szCs w:val="32"/>
        </w:rPr>
        <w:t>be</w:t>
      </w:r>
      <w:r w:rsidR="00FF767E" w:rsidRPr="00F77E89">
        <w:rPr>
          <w:rFonts w:ascii="Tahoma" w:hAnsi="Tahoma" w:cs="Tahoma"/>
          <w:sz w:val="32"/>
          <w:szCs w:val="32"/>
        </w:rPr>
        <w:t xml:space="preserve"> </w:t>
      </w:r>
      <w:r w:rsidRPr="00F77E89">
        <w:rPr>
          <w:rFonts w:ascii="Tahoma" w:hAnsi="Tahoma" w:cs="Tahoma"/>
          <w:sz w:val="32"/>
          <w:szCs w:val="32"/>
        </w:rPr>
        <w:t xml:space="preserve">avoided.  </w:t>
      </w:r>
    </w:p>
    <w:p w14:paraId="3D47C7A2" w14:textId="77777777" w:rsidR="00603DBE" w:rsidRDefault="00603DBE" w:rsidP="00ED020B">
      <w:pPr>
        <w:spacing w:after="0" w:line="360" w:lineRule="auto"/>
        <w:jc w:val="both"/>
        <w:rPr>
          <w:rFonts w:ascii="Tahoma" w:hAnsi="Tahoma" w:cs="Tahoma"/>
          <w:sz w:val="32"/>
          <w:szCs w:val="32"/>
        </w:rPr>
      </w:pPr>
    </w:p>
    <w:p w14:paraId="02AB0B3E" w14:textId="475D8979" w:rsidR="00357A8B" w:rsidRPr="00F77E89" w:rsidRDefault="00357A8B" w:rsidP="002C1267">
      <w:pPr>
        <w:spacing w:after="0" w:line="360" w:lineRule="auto"/>
        <w:ind w:firstLine="720"/>
        <w:jc w:val="both"/>
        <w:rPr>
          <w:rFonts w:ascii="Tahoma" w:hAnsi="Tahoma" w:cs="Tahoma"/>
          <w:sz w:val="32"/>
          <w:szCs w:val="32"/>
        </w:rPr>
      </w:pPr>
      <w:r w:rsidRPr="00F77E89">
        <w:rPr>
          <w:rFonts w:ascii="Tahoma" w:hAnsi="Tahoma" w:cs="Tahoma"/>
          <w:sz w:val="32"/>
          <w:szCs w:val="32"/>
        </w:rPr>
        <w:t>During my time as a judge</w:t>
      </w:r>
      <w:r w:rsidR="00E302EC">
        <w:rPr>
          <w:rFonts w:ascii="Tahoma" w:hAnsi="Tahoma" w:cs="Tahoma"/>
          <w:sz w:val="32"/>
          <w:szCs w:val="32"/>
        </w:rPr>
        <w:t>,</w:t>
      </w:r>
      <w:r w:rsidRPr="00F77E89">
        <w:rPr>
          <w:rFonts w:ascii="Tahoma" w:hAnsi="Tahoma" w:cs="Tahoma"/>
          <w:sz w:val="32"/>
          <w:szCs w:val="32"/>
        </w:rPr>
        <w:t xml:space="preserve"> I have sat on </w:t>
      </w:r>
      <w:r w:rsidR="00E302EC">
        <w:rPr>
          <w:rFonts w:ascii="Tahoma" w:hAnsi="Tahoma" w:cs="Tahoma"/>
          <w:sz w:val="32"/>
          <w:szCs w:val="32"/>
        </w:rPr>
        <w:t xml:space="preserve">a </w:t>
      </w:r>
      <w:r w:rsidRPr="00F77E89">
        <w:rPr>
          <w:rFonts w:ascii="Tahoma" w:hAnsi="Tahoma" w:cs="Tahoma"/>
          <w:sz w:val="32"/>
          <w:szCs w:val="32"/>
        </w:rPr>
        <w:t xml:space="preserve">number of cases involving criminal conduct which </w:t>
      </w:r>
      <w:r w:rsidR="005E027C">
        <w:rPr>
          <w:rFonts w:ascii="Tahoma" w:hAnsi="Tahoma" w:cs="Tahoma"/>
          <w:sz w:val="32"/>
          <w:szCs w:val="32"/>
        </w:rPr>
        <w:t>were</w:t>
      </w:r>
      <w:r w:rsidR="005E027C" w:rsidRPr="00F77E89">
        <w:rPr>
          <w:rFonts w:ascii="Tahoma" w:hAnsi="Tahoma" w:cs="Tahoma"/>
          <w:sz w:val="32"/>
          <w:szCs w:val="32"/>
        </w:rPr>
        <w:t xml:space="preserve"> </w:t>
      </w:r>
      <w:r w:rsidRPr="00F77E89">
        <w:rPr>
          <w:rFonts w:ascii="Tahoma" w:hAnsi="Tahoma" w:cs="Tahoma"/>
          <w:sz w:val="32"/>
          <w:szCs w:val="32"/>
        </w:rPr>
        <w:t>confronting, cruel and overwhelming</w:t>
      </w:r>
      <w:r w:rsidR="00FF767E" w:rsidRPr="00F77E89">
        <w:rPr>
          <w:rFonts w:ascii="Tahoma" w:hAnsi="Tahoma" w:cs="Tahoma"/>
          <w:sz w:val="32"/>
          <w:szCs w:val="32"/>
        </w:rPr>
        <w:t>ly</w:t>
      </w:r>
      <w:r w:rsidRPr="00F77E89">
        <w:rPr>
          <w:rFonts w:ascii="Tahoma" w:hAnsi="Tahoma" w:cs="Tahoma"/>
          <w:sz w:val="32"/>
          <w:szCs w:val="32"/>
        </w:rPr>
        <w:t xml:space="preserve"> anti-social.  So often the perpetrator of these</w:t>
      </w:r>
      <w:r w:rsidR="00BE6967" w:rsidRPr="00F77E89">
        <w:rPr>
          <w:rFonts w:ascii="Tahoma" w:hAnsi="Tahoma" w:cs="Tahoma"/>
          <w:sz w:val="32"/>
          <w:szCs w:val="32"/>
        </w:rPr>
        <w:t xml:space="preserve"> offences has killed an innocent</w:t>
      </w:r>
      <w:r w:rsidRPr="00F77E89">
        <w:rPr>
          <w:rFonts w:ascii="Tahoma" w:hAnsi="Tahoma" w:cs="Tahoma"/>
          <w:sz w:val="32"/>
          <w:szCs w:val="32"/>
        </w:rPr>
        <w:t xml:space="preserve"> victim.  I provide an anecdotal snapshot:  the offender is inv</w:t>
      </w:r>
      <w:r w:rsidR="00BE6967" w:rsidRPr="00F77E89">
        <w:rPr>
          <w:rFonts w:ascii="Tahoma" w:hAnsi="Tahoma" w:cs="Tahoma"/>
          <w:sz w:val="32"/>
          <w:szCs w:val="32"/>
        </w:rPr>
        <w:t>ariably male, somewhere in his 20’s or 30’s, has</w:t>
      </w:r>
      <w:r w:rsidRPr="00F77E89">
        <w:rPr>
          <w:rFonts w:ascii="Tahoma" w:hAnsi="Tahoma" w:cs="Tahoma"/>
          <w:sz w:val="32"/>
          <w:szCs w:val="32"/>
        </w:rPr>
        <w:t xml:space="preserve"> been the subject of cruelty and more often than not sexual abuse as a yo</w:t>
      </w:r>
      <w:r w:rsidR="00BE6967" w:rsidRPr="00F77E89">
        <w:rPr>
          <w:rFonts w:ascii="Tahoma" w:hAnsi="Tahoma" w:cs="Tahoma"/>
          <w:sz w:val="32"/>
          <w:szCs w:val="32"/>
        </w:rPr>
        <w:t>ung child, neglected, lacking</w:t>
      </w:r>
      <w:r w:rsidRPr="00F77E89">
        <w:rPr>
          <w:rFonts w:ascii="Tahoma" w:hAnsi="Tahoma" w:cs="Tahoma"/>
          <w:sz w:val="32"/>
          <w:szCs w:val="32"/>
        </w:rPr>
        <w:t xml:space="preserve"> a good and positive male role model in their </w:t>
      </w:r>
      <w:r w:rsidR="00BE6967" w:rsidRPr="00F77E89">
        <w:rPr>
          <w:rFonts w:ascii="Tahoma" w:hAnsi="Tahoma" w:cs="Tahoma"/>
          <w:sz w:val="32"/>
          <w:szCs w:val="32"/>
        </w:rPr>
        <w:t>youth</w:t>
      </w:r>
      <w:r w:rsidRPr="00F77E89">
        <w:rPr>
          <w:rFonts w:ascii="Tahoma" w:hAnsi="Tahoma" w:cs="Tahoma"/>
          <w:sz w:val="32"/>
          <w:szCs w:val="32"/>
        </w:rPr>
        <w:t xml:space="preserve">, lacking support to achieve an education, </w:t>
      </w:r>
      <w:r w:rsidR="005E027C">
        <w:rPr>
          <w:rFonts w:ascii="Tahoma" w:hAnsi="Tahoma" w:cs="Tahoma"/>
          <w:sz w:val="32"/>
          <w:szCs w:val="32"/>
        </w:rPr>
        <w:t>has</w:t>
      </w:r>
      <w:r w:rsidR="005E027C" w:rsidRPr="00F77E89">
        <w:rPr>
          <w:rFonts w:ascii="Tahoma" w:hAnsi="Tahoma" w:cs="Tahoma"/>
          <w:sz w:val="32"/>
          <w:szCs w:val="32"/>
        </w:rPr>
        <w:t xml:space="preserve"> </w:t>
      </w:r>
      <w:r w:rsidRPr="00F77E89">
        <w:rPr>
          <w:rFonts w:ascii="Tahoma" w:hAnsi="Tahoma" w:cs="Tahoma"/>
          <w:sz w:val="32"/>
          <w:szCs w:val="32"/>
        </w:rPr>
        <w:t>enter</w:t>
      </w:r>
      <w:r w:rsidR="00BE6967" w:rsidRPr="00F77E89">
        <w:rPr>
          <w:rFonts w:ascii="Tahoma" w:hAnsi="Tahoma" w:cs="Tahoma"/>
          <w:sz w:val="32"/>
          <w:szCs w:val="32"/>
        </w:rPr>
        <w:t>ed</w:t>
      </w:r>
      <w:r w:rsidRPr="00F77E89">
        <w:rPr>
          <w:rFonts w:ascii="Tahoma" w:hAnsi="Tahoma" w:cs="Tahoma"/>
          <w:sz w:val="32"/>
          <w:szCs w:val="32"/>
        </w:rPr>
        <w:t xml:space="preserve"> the juvenile justice system, become schooled in further </w:t>
      </w:r>
      <w:r w:rsidR="00D24F0F">
        <w:rPr>
          <w:rFonts w:ascii="Tahoma" w:hAnsi="Tahoma" w:cs="Tahoma"/>
          <w:sz w:val="32"/>
          <w:szCs w:val="32"/>
        </w:rPr>
        <w:t>anti-</w:t>
      </w:r>
      <w:r w:rsidR="00D24F0F" w:rsidRPr="00F77E89">
        <w:rPr>
          <w:rFonts w:ascii="Tahoma" w:hAnsi="Tahoma" w:cs="Tahoma"/>
          <w:sz w:val="32"/>
          <w:szCs w:val="32"/>
        </w:rPr>
        <w:t>social</w:t>
      </w:r>
      <w:r w:rsidRPr="00F77E89">
        <w:rPr>
          <w:rFonts w:ascii="Tahoma" w:hAnsi="Tahoma" w:cs="Tahoma"/>
          <w:sz w:val="32"/>
          <w:szCs w:val="32"/>
        </w:rPr>
        <w:t xml:space="preserve"> and dysfunctional misbehaviour, graduate</w:t>
      </w:r>
      <w:r w:rsidR="00BE6967" w:rsidRPr="00F77E89">
        <w:rPr>
          <w:rFonts w:ascii="Tahoma" w:hAnsi="Tahoma" w:cs="Tahoma"/>
          <w:sz w:val="32"/>
          <w:szCs w:val="32"/>
        </w:rPr>
        <w:t>d</w:t>
      </w:r>
      <w:r w:rsidRPr="00F77E89">
        <w:rPr>
          <w:rFonts w:ascii="Tahoma" w:hAnsi="Tahoma" w:cs="Tahoma"/>
          <w:sz w:val="32"/>
          <w:szCs w:val="32"/>
        </w:rPr>
        <w:t xml:space="preserve"> into adult prisons, serve</w:t>
      </w:r>
      <w:r w:rsidR="00BE6967" w:rsidRPr="00F77E89">
        <w:rPr>
          <w:rFonts w:ascii="Tahoma" w:hAnsi="Tahoma" w:cs="Tahoma"/>
          <w:sz w:val="32"/>
          <w:szCs w:val="32"/>
        </w:rPr>
        <w:t>d</w:t>
      </w:r>
      <w:r w:rsidRPr="00F77E89">
        <w:rPr>
          <w:rFonts w:ascii="Tahoma" w:hAnsi="Tahoma" w:cs="Tahoma"/>
          <w:sz w:val="32"/>
          <w:szCs w:val="32"/>
        </w:rPr>
        <w:t xml:space="preserve"> </w:t>
      </w:r>
      <w:r w:rsidR="00BE6967" w:rsidRPr="00F77E89">
        <w:rPr>
          <w:rFonts w:ascii="Tahoma" w:hAnsi="Tahoma" w:cs="Tahoma"/>
          <w:sz w:val="32"/>
          <w:szCs w:val="32"/>
        </w:rPr>
        <w:t>a criminal apprenticeship, left</w:t>
      </w:r>
      <w:r w:rsidRPr="00F77E89">
        <w:rPr>
          <w:rFonts w:ascii="Tahoma" w:hAnsi="Tahoma" w:cs="Tahoma"/>
          <w:sz w:val="32"/>
          <w:szCs w:val="32"/>
        </w:rPr>
        <w:t xml:space="preserve"> prison </w:t>
      </w:r>
      <w:proofErr w:type="spellStart"/>
      <w:r w:rsidRPr="00F77E89">
        <w:rPr>
          <w:rFonts w:ascii="Tahoma" w:hAnsi="Tahoma" w:cs="Tahoma"/>
          <w:sz w:val="32"/>
          <w:szCs w:val="32"/>
        </w:rPr>
        <w:t>unrehabilitated</w:t>
      </w:r>
      <w:proofErr w:type="spellEnd"/>
      <w:r w:rsidRPr="00F77E89">
        <w:rPr>
          <w:rFonts w:ascii="Tahoma" w:hAnsi="Tahoma" w:cs="Tahoma"/>
          <w:sz w:val="32"/>
          <w:szCs w:val="32"/>
        </w:rPr>
        <w:t xml:space="preserve"> and gradually progress</w:t>
      </w:r>
      <w:r w:rsidR="00BE6967" w:rsidRPr="00F77E89">
        <w:rPr>
          <w:rFonts w:ascii="Tahoma" w:hAnsi="Tahoma" w:cs="Tahoma"/>
          <w:sz w:val="32"/>
          <w:szCs w:val="32"/>
        </w:rPr>
        <w:t>ed</w:t>
      </w:r>
      <w:r w:rsidRPr="00F77E89">
        <w:rPr>
          <w:rFonts w:ascii="Tahoma" w:hAnsi="Tahoma" w:cs="Tahoma"/>
          <w:sz w:val="32"/>
          <w:szCs w:val="32"/>
        </w:rPr>
        <w:t xml:space="preserve"> through further offending until they ultimately destroy the life of another human being.</w:t>
      </w:r>
      <w:r w:rsidR="009541D6">
        <w:rPr>
          <w:rFonts w:ascii="Tahoma" w:hAnsi="Tahoma" w:cs="Tahoma"/>
          <w:sz w:val="32"/>
          <w:szCs w:val="32"/>
        </w:rPr>
        <w:t xml:space="preserve"> </w:t>
      </w:r>
    </w:p>
    <w:p w14:paraId="57C3B7EE" w14:textId="77777777" w:rsidR="00357A8B" w:rsidRDefault="00357A8B" w:rsidP="00ED020B">
      <w:pPr>
        <w:spacing w:after="0" w:line="360" w:lineRule="auto"/>
        <w:jc w:val="both"/>
        <w:rPr>
          <w:rFonts w:ascii="Tahoma" w:hAnsi="Tahoma" w:cs="Tahoma"/>
          <w:sz w:val="32"/>
          <w:szCs w:val="32"/>
        </w:rPr>
      </w:pPr>
    </w:p>
    <w:p w14:paraId="45003B25" w14:textId="77777777" w:rsidR="00603DBE" w:rsidRPr="00F77E89" w:rsidRDefault="00603DBE" w:rsidP="00603DBE">
      <w:pPr>
        <w:spacing w:after="0" w:line="360" w:lineRule="auto"/>
        <w:jc w:val="both"/>
        <w:rPr>
          <w:rFonts w:ascii="Tahoma" w:hAnsi="Tahoma" w:cs="Tahoma"/>
          <w:sz w:val="32"/>
          <w:szCs w:val="32"/>
        </w:rPr>
      </w:pPr>
      <w:r w:rsidRPr="00F77E89">
        <w:rPr>
          <w:rFonts w:ascii="Tahoma" w:hAnsi="Tahoma" w:cs="Tahoma"/>
          <w:sz w:val="32"/>
          <w:szCs w:val="32"/>
        </w:rPr>
        <w:tab/>
        <w:t xml:space="preserve">Judges are intrinsically involved in the sentencing process.  </w:t>
      </w:r>
      <w:r>
        <w:rPr>
          <w:rFonts w:ascii="Tahoma" w:hAnsi="Tahoma" w:cs="Tahoma"/>
          <w:sz w:val="32"/>
          <w:szCs w:val="32"/>
        </w:rPr>
        <w:t>Yet, w</w:t>
      </w:r>
      <w:r w:rsidRPr="00F77E89">
        <w:rPr>
          <w:rFonts w:ascii="Tahoma" w:hAnsi="Tahoma" w:cs="Tahoma"/>
          <w:sz w:val="32"/>
          <w:szCs w:val="32"/>
        </w:rPr>
        <w:t>e are not part of the education, social welfare, medical or corrections environment or context for the individual.  When judges complete trials or appeals and then turn to the sentencing process a sentence will be imposed or, where appropriate</w:t>
      </w:r>
      <w:r>
        <w:rPr>
          <w:rFonts w:ascii="Tahoma" w:hAnsi="Tahoma" w:cs="Tahoma"/>
          <w:sz w:val="32"/>
          <w:szCs w:val="32"/>
        </w:rPr>
        <w:t>,</w:t>
      </w:r>
      <w:r w:rsidRPr="00F77E89">
        <w:rPr>
          <w:rFonts w:ascii="Tahoma" w:hAnsi="Tahoma" w:cs="Tahoma"/>
          <w:sz w:val="32"/>
          <w:szCs w:val="32"/>
        </w:rPr>
        <w:t xml:space="preserve"> a resentence or a</w:t>
      </w:r>
      <w:r>
        <w:rPr>
          <w:rFonts w:ascii="Tahoma" w:hAnsi="Tahoma" w:cs="Tahoma"/>
          <w:sz w:val="32"/>
          <w:szCs w:val="32"/>
        </w:rPr>
        <w:t>n</w:t>
      </w:r>
      <w:r w:rsidRPr="00F77E89">
        <w:rPr>
          <w:rFonts w:ascii="Tahoma" w:hAnsi="Tahoma" w:cs="Tahoma"/>
          <w:sz w:val="32"/>
          <w:szCs w:val="32"/>
        </w:rPr>
        <w:t xml:space="preserve"> upholding of an earlier sentence</w:t>
      </w:r>
      <w:r>
        <w:rPr>
          <w:rFonts w:ascii="Tahoma" w:hAnsi="Tahoma" w:cs="Tahoma"/>
          <w:sz w:val="32"/>
          <w:szCs w:val="32"/>
        </w:rPr>
        <w:t xml:space="preserve"> will occur</w:t>
      </w:r>
      <w:r w:rsidRPr="00F77E89">
        <w:rPr>
          <w:rFonts w:ascii="Tahoma" w:hAnsi="Tahoma" w:cs="Tahoma"/>
          <w:sz w:val="32"/>
          <w:szCs w:val="32"/>
        </w:rPr>
        <w:t xml:space="preserve">.  The prisoner is then taken away and judges have no further involvement in the </w:t>
      </w:r>
      <w:r w:rsidRPr="00F77E89">
        <w:rPr>
          <w:rFonts w:ascii="Tahoma" w:hAnsi="Tahoma" w:cs="Tahoma"/>
          <w:sz w:val="32"/>
          <w:szCs w:val="32"/>
        </w:rPr>
        <w:lastRenderedPageBreak/>
        <w:t>process</w:t>
      </w:r>
      <w:r>
        <w:rPr>
          <w:rFonts w:ascii="Tahoma" w:hAnsi="Tahoma" w:cs="Tahoma"/>
          <w:sz w:val="32"/>
          <w:szCs w:val="32"/>
        </w:rPr>
        <w:t>.</w:t>
      </w:r>
      <w:r>
        <w:rPr>
          <w:rStyle w:val="FootnoteReference"/>
          <w:rFonts w:ascii="Tahoma" w:hAnsi="Tahoma" w:cs="Tahoma"/>
          <w:sz w:val="32"/>
          <w:szCs w:val="32"/>
        </w:rPr>
        <w:footnoteReference w:id="2"/>
      </w:r>
      <w:r w:rsidRPr="00F77E89">
        <w:rPr>
          <w:rFonts w:ascii="Tahoma" w:hAnsi="Tahoma" w:cs="Tahoma"/>
          <w:sz w:val="32"/>
          <w:szCs w:val="32"/>
        </w:rPr>
        <w:t xml:space="preserve"> </w:t>
      </w:r>
      <w:r>
        <w:rPr>
          <w:rFonts w:ascii="Tahoma" w:hAnsi="Tahoma" w:cs="Tahoma"/>
          <w:sz w:val="32"/>
          <w:szCs w:val="32"/>
        </w:rPr>
        <w:t xml:space="preserve"> T</w:t>
      </w:r>
      <w:r w:rsidRPr="00F77E89">
        <w:rPr>
          <w:rFonts w:ascii="Tahoma" w:hAnsi="Tahoma" w:cs="Tahoma"/>
          <w:sz w:val="32"/>
          <w:szCs w:val="32"/>
        </w:rPr>
        <w:t>he sentencing judge will usually never hear of the individual they have sentenced again.  There is no judicial monitoring of what happens to the individual, where they are placed in the corrections system, how the individual’s rehabilitation is to be effected and so on.  If we reflect on it, this of itself might be said to be odd</w:t>
      </w:r>
      <w:r>
        <w:rPr>
          <w:rFonts w:ascii="Tahoma" w:hAnsi="Tahoma" w:cs="Tahoma"/>
          <w:sz w:val="32"/>
          <w:szCs w:val="32"/>
        </w:rPr>
        <w:t xml:space="preserve">. </w:t>
      </w:r>
    </w:p>
    <w:p w14:paraId="34E9C48C" w14:textId="77777777" w:rsidR="00603DBE" w:rsidRPr="00F77E89" w:rsidRDefault="00603DBE" w:rsidP="00603DBE">
      <w:pPr>
        <w:spacing w:after="0" w:line="360" w:lineRule="auto"/>
        <w:jc w:val="both"/>
        <w:rPr>
          <w:rFonts w:ascii="Tahoma" w:hAnsi="Tahoma" w:cs="Tahoma"/>
          <w:sz w:val="32"/>
          <w:szCs w:val="32"/>
        </w:rPr>
      </w:pPr>
    </w:p>
    <w:p w14:paraId="0725FAFE" w14:textId="68773E8D" w:rsidR="00603DBE" w:rsidRDefault="00603DBE" w:rsidP="00603DBE">
      <w:pPr>
        <w:spacing w:after="0" w:line="360" w:lineRule="auto"/>
        <w:ind w:firstLine="720"/>
        <w:jc w:val="both"/>
        <w:rPr>
          <w:rFonts w:ascii="Tahoma" w:hAnsi="Tahoma" w:cs="Tahoma"/>
          <w:sz w:val="32"/>
          <w:szCs w:val="32"/>
        </w:rPr>
      </w:pPr>
      <w:r w:rsidRPr="00F77E89">
        <w:rPr>
          <w:rFonts w:ascii="Tahoma" w:hAnsi="Tahoma" w:cs="Tahoma"/>
          <w:sz w:val="32"/>
          <w:szCs w:val="32"/>
        </w:rPr>
        <w:t xml:space="preserve">I have reflected that when dealing with children and young offenders it would be better to have a holistic approach to </w:t>
      </w:r>
      <w:r>
        <w:rPr>
          <w:rFonts w:ascii="Tahoma" w:hAnsi="Tahoma" w:cs="Tahoma"/>
          <w:sz w:val="32"/>
          <w:szCs w:val="32"/>
        </w:rPr>
        <w:t xml:space="preserve">protection, </w:t>
      </w:r>
      <w:r w:rsidRPr="00F77E89">
        <w:rPr>
          <w:rFonts w:ascii="Tahoma" w:hAnsi="Tahoma" w:cs="Tahoma"/>
          <w:sz w:val="32"/>
          <w:szCs w:val="32"/>
        </w:rPr>
        <w:t>sentencing and detention.  Such</w:t>
      </w:r>
      <w:r>
        <w:rPr>
          <w:rFonts w:ascii="Tahoma" w:hAnsi="Tahoma" w:cs="Tahoma"/>
          <w:sz w:val="32"/>
          <w:szCs w:val="32"/>
        </w:rPr>
        <w:t xml:space="preserve"> an</w:t>
      </w:r>
      <w:r w:rsidRPr="00F77E89">
        <w:rPr>
          <w:rFonts w:ascii="Tahoma" w:hAnsi="Tahoma" w:cs="Tahoma"/>
          <w:sz w:val="32"/>
          <w:szCs w:val="32"/>
        </w:rPr>
        <w:t xml:space="preserve"> approach </w:t>
      </w:r>
      <w:r>
        <w:rPr>
          <w:rFonts w:ascii="Tahoma" w:hAnsi="Tahoma" w:cs="Tahoma"/>
          <w:sz w:val="32"/>
          <w:szCs w:val="32"/>
        </w:rPr>
        <w:t>would require</w:t>
      </w:r>
      <w:r w:rsidRPr="00F77E89">
        <w:rPr>
          <w:rFonts w:ascii="Tahoma" w:hAnsi="Tahoma" w:cs="Tahoma"/>
          <w:sz w:val="32"/>
          <w:szCs w:val="32"/>
        </w:rPr>
        <w:t xml:space="preserve"> a whole</w:t>
      </w:r>
      <w:r w:rsidR="00DA035B">
        <w:rPr>
          <w:rFonts w:ascii="Tahoma" w:hAnsi="Tahoma" w:cs="Tahoma"/>
          <w:sz w:val="32"/>
          <w:szCs w:val="32"/>
        </w:rPr>
        <w:t>-</w:t>
      </w:r>
      <w:r w:rsidRPr="00F77E89">
        <w:rPr>
          <w:rFonts w:ascii="Tahoma" w:hAnsi="Tahoma" w:cs="Tahoma"/>
          <w:sz w:val="32"/>
          <w:szCs w:val="32"/>
        </w:rPr>
        <w:t>of</w:t>
      </w:r>
      <w:r w:rsidR="00DA035B">
        <w:rPr>
          <w:rFonts w:ascii="Tahoma" w:hAnsi="Tahoma" w:cs="Tahoma"/>
          <w:sz w:val="32"/>
          <w:szCs w:val="32"/>
        </w:rPr>
        <w:t>-</w:t>
      </w:r>
      <w:r w:rsidRPr="00F77E89">
        <w:rPr>
          <w:rFonts w:ascii="Tahoma" w:hAnsi="Tahoma" w:cs="Tahoma"/>
          <w:sz w:val="32"/>
          <w:szCs w:val="32"/>
        </w:rPr>
        <w:t xml:space="preserve">government </w:t>
      </w:r>
      <w:r>
        <w:rPr>
          <w:rFonts w:ascii="Tahoma" w:hAnsi="Tahoma" w:cs="Tahoma"/>
          <w:sz w:val="32"/>
          <w:szCs w:val="32"/>
        </w:rPr>
        <w:t>response</w:t>
      </w:r>
      <w:r w:rsidRPr="00F77E89">
        <w:rPr>
          <w:rFonts w:ascii="Tahoma" w:hAnsi="Tahoma" w:cs="Tahoma"/>
          <w:sz w:val="32"/>
          <w:szCs w:val="32"/>
        </w:rPr>
        <w:t xml:space="preserve">.  There is no doubt that such a system </w:t>
      </w:r>
      <w:r w:rsidR="00E149A5">
        <w:rPr>
          <w:rFonts w:ascii="Tahoma" w:hAnsi="Tahoma" w:cs="Tahoma"/>
          <w:sz w:val="32"/>
          <w:szCs w:val="32"/>
        </w:rPr>
        <w:t>can be said to</w:t>
      </w:r>
      <w:r w:rsidRPr="00F77E89">
        <w:rPr>
          <w:rFonts w:ascii="Tahoma" w:hAnsi="Tahoma" w:cs="Tahoma"/>
          <w:sz w:val="32"/>
          <w:szCs w:val="32"/>
        </w:rPr>
        <w:t xml:space="preserve"> be costly.  </w:t>
      </w:r>
      <w:r w:rsidR="00E149A5">
        <w:rPr>
          <w:rFonts w:ascii="Tahoma" w:hAnsi="Tahoma" w:cs="Tahoma"/>
          <w:sz w:val="32"/>
          <w:szCs w:val="32"/>
        </w:rPr>
        <w:t>However,</w:t>
      </w:r>
      <w:r w:rsidRPr="00F77E89">
        <w:rPr>
          <w:rFonts w:ascii="Tahoma" w:hAnsi="Tahoma" w:cs="Tahoma"/>
          <w:sz w:val="32"/>
          <w:szCs w:val="32"/>
        </w:rPr>
        <w:t xml:space="preserve"> the long-term </w:t>
      </w:r>
      <w:r w:rsidR="00E149A5">
        <w:rPr>
          <w:rFonts w:ascii="Tahoma" w:hAnsi="Tahoma" w:cs="Tahoma"/>
          <w:sz w:val="32"/>
          <w:szCs w:val="32"/>
        </w:rPr>
        <w:t xml:space="preserve">savings can be appreciated.  The long-term </w:t>
      </w:r>
      <w:r w:rsidRPr="00F77E89">
        <w:rPr>
          <w:rFonts w:ascii="Tahoma" w:hAnsi="Tahoma" w:cs="Tahoma"/>
          <w:sz w:val="32"/>
          <w:szCs w:val="32"/>
        </w:rPr>
        <w:t xml:space="preserve">social investment may create a chance to </w:t>
      </w:r>
      <w:r>
        <w:rPr>
          <w:rFonts w:ascii="Tahoma" w:hAnsi="Tahoma" w:cs="Tahoma"/>
          <w:sz w:val="32"/>
          <w:szCs w:val="32"/>
        </w:rPr>
        <w:t xml:space="preserve">divert and rehabilitate the individual and, very importantly, </w:t>
      </w:r>
      <w:r w:rsidRPr="00F77E89">
        <w:rPr>
          <w:rFonts w:ascii="Tahoma" w:hAnsi="Tahoma" w:cs="Tahoma"/>
          <w:sz w:val="32"/>
          <w:szCs w:val="32"/>
        </w:rPr>
        <w:t>save victims</w:t>
      </w:r>
      <w:r>
        <w:rPr>
          <w:rFonts w:ascii="Tahoma" w:hAnsi="Tahoma" w:cs="Tahoma"/>
          <w:sz w:val="32"/>
          <w:szCs w:val="32"/>
        </w:rPr>
        <w:t>’</w:t>
      </w:r>
      <w:r w:rsidRPr="00F77E89">
        <w:rPr>
          <w:rFonts w:ascii="Tahoma" w:hAnsi="Tahoma" w:cs="Tahoma"/>
          <w:sz w:val="32"/>
          <w:szCs w:val="32"/>
        </w:rPr>
        <w:t xml:space="preserve"> lives.</w:t>
      </w:r>
    </w:p>
    <w:p w14:paraId="5C12F097" w14:textId="77777777" w:rsidR="00D24716" w:rsidRDefault="00D24716" w:rsidP="00603DBE">
      <w:pPr>
        <w:spacing w:after="0" w:line="360" w:lineRule="auto"/>
        <w:ind w:firstLine="720"/>
        <w:jc w:val="both"/>
        <w:rPr>
          <w:rFonts w:ascii="Tahoma" w:hAnsi="Tahoma" w:cs="Tahoma"/>
          <w:sz w:val="32"/>
          <w:szCs w:val="32"/>
        </w:rPr>
      </w:pPr>
    </w:p>
    <w:p w14:paraId="4614DB45" w14:textId="4D1C91D2" w:rsidR="00D24716" w:rsidRPr="00F77E89" w:rsidRDefault="00D24716" w:rsidP="00603DBE">
      <w:pPr>
        <w:spacing w:after="0" w:line="360" w:lineRule="auto"/>
        <w:ind w:firstLine="720"/>
        <w:jc w:val="both"/>
        <w:rPr>
          <w:rFonts w:ascii="Tahoma" w:hAnsi="Tahoma" w:cs="Tahoma"/>
          <w:sz w:val="32"/>
          <w:szCs w:val="32"/>
        </w:rPr>
      </w:pPr>
      <w:r>
        <w:rPr>
          <w:rFonts w:ascii="Tahoma" w:hAnsi="Tahoma" w:cs="Tahoma"/>
          <w:sz w:val="32"/>
          <w:szCs w:val="32"/>
        </w:rPr>
        <w:t xml:space="preserve">To establish that this social investment is desirable and necessary, we need to consider several matters tonight.  First we need to understand the ways in which young minds are different to adult minds, and how this relates to youth offending.  We will need to look briefly at the law on sentencing young offenders.  Next we should turn back the clock to the 1990s, when an inquiry was held into how </w:t>
      </w:r>
      <w:r w:rsidRPr="00F77E89">
        <w:rPr>
          <w:rFonts w:ascii="Tahoma" w:hAnsi="Tahoma" w:cs="Tahoma"/>
          <w:sz w:val="32"/>
          <w:szCs w:val="32"/>
        </w:rPr>
        <w:t xml:space="preserve">children and young people should best be dealt with </w:t>
      </w:r>
      <w:r w:rsidRPr="00F77E89">
        <w:rPr>
          <w:rFonts w:ascii="Tahoma" w:hAnsi="Tahoma" w:cs="Tahoma"/>
          <w:sz w:val="32"/>
          <w:szCs w:val="32"/>
        </w:rPr>
        <w:lastRenderedPageBreak/>
        <w:t>in the legal process</w:t>
      </w:r>
      <w:r>
        <w:rPr>
          <w:rFonts w:ascii="Tahoma" w:hAnsi="Tahoma" w:cs="Tahoma"/>
          <w:sz w:val="32"/>
          <w:szCs w:val="32"/>
        </w:rPr>
        <w:t>.  We will see that slow progress has been made in Australia since the findings of that inquiry, especially in respect of young Indigenous offenders.  But we will see some shining examples of progress in multidisciplinary youth courts and indigenous youth courts, which bear out the importance of education to rehabilitation.  When considering how we should go about investigating what social investment is needed, we will draw upon the model of the Victorian Royal Commission into Family Violence as a novel and effective approach to investigating reform.</w:t>
      </w:r>
    </w:p>
    <w:p w14:paraId="697A1D23" w14:textId="3EC522C9" w:rsidR="00603DBE" w:rsidRDefault="00603DBE" w:rsidP="00ED020B">
      <w:pPr>
        <w:spacing w:after="0" w:line="360" w:lineRule="auto"/>
        <w:jc w:val="both"/>
        <w:rPr>
          <w:rFonts w:ascii="Tahoma" w:hAnsi="Tahoma" w:cs="Tahoma"/>
          <w:sz w:val="32"/>
          <w:szCs w:val="32"/>
        </w:rPr>
      </w:pPr>
    </w:p>
    <w:p w14:paraId="0049ECFA" w14:textId="298DDABA" w:rsidR="00446C9D" w:rsidRDefault="00446C9D" w:rsidP="002C1267">
      <w:pPr>
        <w:spacing w:after="0" w:line="360" w:lineRule="auto"/>
        <w:jc w:val="center"/>
        <w:rPr>
          <w:rFonts w:ascii="Tahoma" w:hAnsi="Tahoma" w:cs="Tahoma"/>
          <w:sz w:val="32"/>
          <w:szCs w:val="32"/>
        </w:rPr>
      </w:pPr>
      <w:r>
        <w:rPr>
          <w:rFonts w:ascii="Tahoma" w:hAnsi="Tahoma" w:cs="Tahoma"/>
          <w:sz w:val="32"/>
          <w:szCs w:val="32"/>
        </w:rPr>
        <w:t>************************************</w:t>
      </w:r>
    </w:p>
    <w:p w14:paraId="117F280C" w14:textId="77777777" w:rsidR="00E9513F" w:rsidRDefault="00E9513F" w:rsidP="002C1267">
      <w:pPr>
        <w:spacing w:after="0" w:line="360" w:lineRule="auto"/>
        <w:jc w:val="both"/>
        <w:rPr>
          <w:rFonts w:ascii="Tahoma" w:hAnsi="Tahoma" w:cs="Tahoma"/>
          <w:sz w:val="32"/>
          <w:szCs w:val="32"/>
        </w:rPr>
      </w:pPr>
    </w:p>
    <w:p w14:paraId="4C1829F8" w14:textId="0B6FEAE2" w:rsidR="00E9513F" w:rsidRPr="00F77E89" w:rsidRDefault="00E9513F" w:rsidP="00E9513F">
      <w:pPr>
        <w:spacing w:after="0" w:line="360" w:lineRule="auto"/>
        <w:ind w:firstLine="720"/>
        <w:jc w:val="both"/>
        <w:rPr>
          <w:rFonts w:ascii="Tahoma" w:hAnsi="Tahoma" w:cs="Tahoma"/>
          <w:sz w:val="32"/>
          <w:szCs w:val="32"/>
        </w:rPr>
      </w:pPr>
      <w:r w:rsidRPr="00F77E89">
        <w:rPr>
          <w:rFonts w:ascii="Tahoma" w:hAnsi="Tahoma" w:cs="Tahoma"/>
          <w:sz w:val="32"/>
          <w:szCs w:val="32"/>
        </w:rPr>
        <w:t>We must bear in mind that children’s cognitive capacity develops gradually from the age of around 10 right through young adulthood which is usually regarded as concluding at around 24 years of age.</w:t>
      </w:r>
      <w:r w:rsidRPr="00F77E89">
        <w:rPr>
          <w:rStyle w:val="FootnoteReference"/>
          <w:rFonts w:ascii="Tahoma" w:hAnsi="Tahoma" w:cs="Tahoma"/>
          <w:sz w:val="32"/>
          <w:szCs w:val="32"/>
        </w:rPr>
        <w:footnoteReference w:id="3"/>
      </w:r>
      <w:r w:rsidRPr="00F77E89">
        <w:rPr>
          <w:rFonts w:ascii="Tahoma" w:hAnsi="Tahoma" w:cs="Tahoma"/>
          <w:sz w:val="32"/>
          <w:szCs w:val="32"/>
        </w:rPr>
        <w:t xml:space="preserve">  In early adolescence, children are ‘mostly interested in [the] present with little thought about the future’ and </w:t>
      </w:r>
      <w:r>
        <w:rPr>
          <w:rFonts w:ascii="Tahoma" w:hAnsi="Tahoma" w:cs="Tahoma"/>
          <w:sz w:val="32"/>
          <w:szCs w:val="32"/>
        </w:rPr>
        <w:t>wa</w:t>
      </w:r>
      <w:r w:rsidRPr="00F77E89">
        <w:rPr>
          <w:rFonts w:ascii="Tahoma" w:hAnsi="Tahoma" w:cs="Tahoma"/>
          <w:sz w:val="32"/>
          <w:szCs w:val="32"/>
        </w:rPr>
        <w:t>nt to ‘test rules and limits’.</w:t>
      </w:r>
      <w:r w:rsidRPr="00F77E89">
        <w:rPr>
          <w:rStyle w:val="FootnoteReference"/>
          <w:rFonts w:ascii="Tahoma" w:hAnsi="Tahoma" w:cs="Tahoma"/>
          <w:sz w:val="32"/>
          <w:szCs w:val="32"/>
        </w:rPr>
        <w:footnoteReference w:id="4"/>
      </w:r>
      <w:r w:rsidRPr="00F77E89">
        <w:rPr>
          <w:rFonts w:ascii="Tahoma" w:hAnsi="Tahoma" w:cs="Tahoma"/>
          <w:sz w:val="32"/>
          <w:szCs w:val="32"/>
        </w:rPr>
        <w:t xml:space="preserve">  It is not until </w:t>
      </w:r>
      <w:r w:rsidR="00F06125">
        <w:rPr>
          <w:rFonts w:ascii="Tahoma" w:hAnsi="Tahoma" w:cs="Tahoma"/>
          <w:sz w:val="32"/>
          <w:szCs w:val="32"/>
        </w:rPr>
        <w:t>young people</w:t>
      </w:r>
      <w:r w:rsidRPr="00F77E89">
        <w:rPr>
          <w:rFonts w:ascii="Tahoma" w:hAnsi="Tahoma" w:cs="Tahoma"/>
          <w:sz w:val="32"/>
          <w:szCs w:val="32"/>
        </w:rPr>
        <w:t xml:space="preserve"> are around 20 years of age that they will usually have the ‘ability to think ideas through from beginning to end’ or the ‘ability to delay gratification’.</w:t>
      </w:r>
      <w:r w:rsidRPr="00F77E89">
        <w:rPr>
          <w:rStyle w:val="FootnoteReference"/>
          <w:rFonts w:ascii="Tahoma" w:hAnsi="Tahoma" w:cs="Tahoma"/>
          <w:sz w:val="32"/>
          <w:szCs w:val="32"/>
        </w:rPr>
        <w:footnoteReference w:id="5"/>
      </w:r>
    </w:p>
    <w:p w14:paraId="560EFB10" w14:textId="77777777" w:rsidR="00E9513F" w:rsidRPr="00F77E89" w:rsidRDefault="00E9513F" w:rsidP="00E9513F">
      <w:pPr>
        <w:spacing w:after="0" w:line="360" w:lineRule="auto"/>
        <w:jc w:val="both"/>
        <w:rPr>
          <w:rFonts w:ascii="Tahoma" w:hAnsi="Tahoma" w:cs="Tahoma"/>
          <w:sz w:val="32"/>
          <w:szCs w:val="32"/>
        </w:rPr>
      </w:pPr>
    </w:p>
    <w:p w14:paraId="17C28B34" w14:textId="5E14F1FE" w:rsidR="00E9513F" w:rsidRPr="00F77E89" w:rsidRDefault="00E9513F" w:rsidP="00E9513F">
      <w:pPr>
        <w:spacing w:after="0" w:line="360" w:lineRule="auto"/>
        <w:ind w:firstLine="720"/>
        <w:jc w:val="both"/>
        <w:rPr>
          <w:rFonts w:ascii="Tahoma" w:hAnsi="Tahoma" w:cs="Tahoma"/>
          <w:sz w:val="32"/>
          <w:szCs w:val="32"/>
        </w:rPr>
      </w:pPr>
      <w:r w:rsidRPr="00F77E89">
        <w:rPr>
          <w:rFonts w:ascii="Tahoma" w:hAnsi="Tahoma" w:cs="Tahoma"/>
          <w:sz w:val="32"/>
          <w:szCs w:val="32"/>
        </w:rPr>
        <w:lastRenderedPageBreak/>
        <w:t>Crucially adolescence is also a ‘sensitive time for social learning through imitation of behaviours’</w:t>
      </w:r>
      <w:r w:rsidRPr="00F77E89">
        <w:rPr>
          <w:rStyle w:val="FootnoteReference"/>
          <w:rFonts w:ascii="Tahoma" w:hAnsi="Tahoma" w:cs="Tahoma"/>
          <w:sz w:val="32"/>
          <w:szCs w:val="32"/>
        </w:rPr>
        <w:footnoteReference w:id="6"/>
      </w:r>
      <w:r w:rsidRPr="00F77E89">
        <w:rPr>
          <w:rFonts w:ascii="Tahoma" w:hAnsi="Tahoma" w:cs="Tahoma"/>
          <w:sz w:val="32"/>
          <w:szCs w:val="32"/>
        </w:rPr>
        <w:t xml:space="preserve"> and a period ‘in which both normative and maladaptive patterns shape future trajectories’.</w:t>
      </w:r>
      <w:r w:rsidRPr="00F77E89">
        <w:rPr>
          <w:rStyle w:val="FootnoteReference"/>
          <w:rFonts w:ascii="Tahoma" w:hAnsi="Tahoma" w:cs="Tahoma"/>
          <w:sz w:val="32"/>
          <w:szCs w:val="32"/>
        </w:rPr>
        <w:footnoteReference w:id="7"/>
      </w:r>
      <w:r w:rsidRPr="00F77E89">
        <w:rPr>
          <w:rFonts w:ascii="Tahoma" w:hAnsi="Tahoma" w:cs="Tahoma"/>
          <w:sz w:val="32"/>
          <w:szCs w:val="32"/>
        </w:rPr>
        <w:t xml:space="preserve">  These traits make </w:t>
      </w:r>
      <w:r w:rsidR="00F06125">
        <w:rPr>
          <w:rFonts w:ascii="Tahoma" w:hAnsi="Tahoma" w:cs="Tahoma"/>
          <w:sz w:val="32"/>
          <w:szCs w:val="32"/>
        </w:rPr>
        <w:t xml:space="preserve">some </w:t>
      </w:r>
      <w:r w:rsidRPr="00F77E89">
        <w:rPr>
          <w:rFonts w:ascii="Tahoma" w:hAnsi="Tahoma" w:cs="Tahoma"/>
          <w:sz w:val="32"/>
          <w:szCs w:val="32"/>
        </w:rPr>
        <w:t>children and adolescents both more likely to contravene Australia’s criminal laws and more susceptible to the negative impacts of detention.</w:t>
      </w:r>
      <w:r>
        <w:rPr>
          <w:rFonts w:ascii="Tahoma" w:hAnsi="Tahoma" w:cs="Tahoma"/>
          <w:sz w:val="32"/>
          <w:szCs w:val="32"/>
        </w:rPr>
        <w:t xml:space="preserve">  Former Australian of the Year Professor Patrick </w:t>
      </w:r>
      <w:proofErr w:type="spellStart"/>
      <w:r>
        <w:rPr>
          <w:rFonts w:ascii="Tahoma" w:hAnsi="Tahoma" w:cs="Tahoma"/>
          <w:sz w:val="32"/>
          <w:szCs w:val="32"/>
        </w:rPr>
        <w:t>McGorry</w:t>
      </w:r>
      <w:proofErr w:type="spellEnd"/>
      <w:r>
        <w:rPr>
          <w:rFonts w:ascii="Tahoma" w:hAnsi="Tahoma" w:cs="Tahoma"/>
          <w:sz w:val="32"/>
          <w:szCs w:val="32"/>
        </w:rPr>
        <w:t xml:space="preserve"> stated clearly that poor mental health is </w:t>
      </w:r>
      <w:r w:rsidRPr="00992AAC">
        <w:rPr>
          <w:rFonts w:ascii="Tahoma" w:hAnsi="Tahoma" w:cs="Tahoma"/>
          <w:sz w:val="32"/>
          <w:szCs w:val="32"/>
        </w:rPr>
        <w:t>the</w:t>
      </w:r>
      <w:r>
        <w:rPr>
          <w:rFonts w:ascii="Tahoma" w:hAnsi="Tahoma" w:cs="Tahoma"/>
          <w:sz w:val="32"/>
          <w:szCs w:val="32"/>
        </w:rPr>
        <w:t xml:space="preserve"> biggest health risk for young people across Australia.</w:t>
      </w:r>
      <w:r>
        <w:rPr>
          <w:rStyle w:val="FootnoteReference"/>
          <w:rFonts w:ascii="Tahoma" w:hAnsi="Tahoma" w:cs="Tahoma"/>
          <w:sz w:val="32"/>
          <w:szCs w:val="32"/>
        </w:rPr>
        <w:footnoteReference w:id="8"/>
      </w:r>
      <w:r>
        <w:rPr>
          <w:rFonts w:ascii="Tahoma" w:hAnsi="Tahoma" w:cs="Tahoma"/>
          <w:sz w:val="32"/>
          <w:szCs w:val="32"/>
        </w:rPr>
        <w:t xml:space="preserve">  Professor </w:t>
      </w:r>
      <w:proofErr w:type="spellStart"/>
      <w:r>
        <w:rPr>
          <w:rFonts w:ascii="Tahoma" w:hAnsi="Tahoma" w:cs="Tahoma"/>
          <w:sz w:val="32"/>
          <w:szCs w:val="32"/>
        </w:rPr>
        <w:t>McGorry</w:t>
      </w:r>
      <w:proofErr w:type="spellEnd"/>
      <w:r>
        <w:rPr>
          <w:rFonts w:ascii="Tahoma" w:hAnsi="Tahoma" w:cs="Tahoma"/>
          <w:sz w:val="32"/>
          <w:szCs w:val="32"/>
        </w:rPr>
        <w:t xml:space="preserve"> cited statistics that suggest 50% of young people will develop a mental health problem.</w:t>
      </w:r>
      <w:r>
        <w:rPr>
          <w:rStyle w:val="FootnoteReference"/>
          <w:rFonts w:ascii="Tahoma" w:hAnsi="Tahoma" w:cs="Tahoma"/>
          <w:sz w:val="32"/>
          <w:szCs w:val="32"/>
        </w:rPr>
        <w:footnoteReference w:id="9"/>
      </w:r>
      <w:r>
        <w:rPr>
          <w:rFonts w:ascii="Tahoma" w:hAnsi="Tahoma" w:cs="Tahoma"/>
          <w:sz w:val="32"/>
          <w:szCs w:val="32"/>
        </w:rPr>
        <w:t xml:space="preserve">  Placing such vulnerable people in detention exacerbates this risk.  Professor </w:t>
      </w:r>
      <w:proofErr w:type="spellStart"/>
      <w:r>
        <w:rPr>
          <w:rFonts w:ascii="Tahoma" w:hAnsi="Tahoma" w:cs="Tahoma"/>
          <w:sz w:val="32"/>
          <w:szCs w:val="32"/>
        </w:rPr>
        <w:t>McGorry</w:t>
      </w:r>
      <w:proofErr w:type="spellEnd"/>
      <w:r>
        <w:rPr>
          <w:rFonts w:ascii="Tahoma" w:hAnsi="Tahoma" w:cs="Tahoma"/>
          <w:sz w:val="32"/>
          <w:szCs w:val="32"/>
        </w:rPr>
        <w:t xml:space="preserve"> has also referred to research indicating that detention ‘damages [young people’s] cognitive abilities, their emotional abilities and…really has the potential to blight their whole futures’.</w:t>
      </w:r>
      <w:r>
        <w:rPr>
          <w:rStyle w:val="FootnoteReference"/>
          <w:rFonts w:ascii="Tahoma" w:hAnsi="Tahoma" w:cs="Tahoma"/>
          <w:sz w:val="32"/>
          <w:szCs w:val="32"/>
        </w:rPr>
        <w:footnoteReference w:id="10"/>
      </w:r>
    </w:p>
    <w:p w14:paraId="1D62FD12" w14:textId="77777777" w:rsidR="00E9513F" w:rsidRPr="00F77E89" w:rsidRDefault="00E9513F" w:rsidP="00E9513F">
      <w:pPr>
        <w:spacing w:after="0" w:line="360" w:lineRule="auto"/>
        <w:jc w:val="both"/>
        <w:rPr>
          <w:rFonts w:ascii="Tahoma" w:hAnsi="Tahoma" w:cs="Tahoma"/>
          <w:sz w:val="32"/>
          <w:szCs w:val="32"/>
        </w:rPr>
      </w:pPr>
    </w:p>
    <w:p w14:paraId="79935156" w14:textId="77777777" w:rsidR="00E9513F" w:rsidRDefault="00E9513F" w:rsidP="00E9513F">
      <w:pPr>
        <w:spacing w:after="0" w:line="360" w:lineRule="auto"/>
        <w:jc w:val="both"/>
        <w:rPr>
          <w:rFonts w:ascii="Tahoma" w:hAnsi="Tahoma" w:cs="Tahoma"/>
          <w:sz w:val="32"/>
          <w:szCs w:val="32"/>
        </w:rPr>
      </w:pPr>
      <w:r>
        <w:rPr>
          <w:rFonts w:ascii="Tahoma" w:hAnsi="Tahoma" w:cs="Tahoma"/>
          <w:sz w:val="32"/>
          <w:szCs w:val="32"/>
        </w:rPr>
        <w:tab/>
      </w:r>
      <w:r w:rsidRPr="00F77E89">
        <w:rPr>
          <w:rFonts w:ascii="Tahoma" w:hAnsi="Tahoma" w:cs="Tahoma"/>
          <w:sz w:val="32"/>
          <w:szCs w:val="32"/>
        </w:rPr>
        <w:t>A report of the Sentencing Advisory Council of Victoria</w:t>
      </w:r>
      <w:r w:rsidRPr="00F77E89">
        <w:rPr>
          <w:rStyle w:val="FootnoteReference"/>
          <w:rFonts w:ascii="Tahoma" w:hAnsi="Tahoma" w:cs="Tahoma"/>
          <w:sz w:val="32"/>
          <w:szCs w:val="32"/>
        </w:rPr>
        <w:footnoteReference w:id="11"/>
      </w:r>
      <w:r w:rsidRPr="00F77E89">
        <w:rPr>
          <w:rFonts w:ascii="Tahoma" w:hAnsi="Tahoma" w:cs="Tahoma"/>
          <w:sz w:val="32"/>
          <w:szCs w:val="32"/>
        </w:rPr>
        <w:t xml:space="preserve"> </w:t>
      </w:r>
      <w:r>
        <w:rPr>
          <w:rFonts w:ascii="Tahoma" w:hAnsi="Tahoma" w:cs="Tahoma"/>
          <w:sz w:val="32"/>
          <w:szCs w:val="32"/>
        </w:rPr>
        <w:t>very recently made some highly relevant observations.</w:t>
      </w:r>
    </w:p>
    <w:p w14:paraId="23A43A1E" w14:textId="77777777" w:rsidR="00E9513F" w:rsidRDefault="00E9513F" w:rsidP="00E9513F">
      <w:pPr>
        <w:spacing w:after="0" w:line="360" w:lineRule="auto"/>
        <w:jc w:val="both"/>
        <w:rPr>
          <w:rFonts w:ascii="Tahoma" w:hAnsi="Tahoma" w:cs="Tahoma"/>
          <w:sz w:val="32"/>
          <w:szCs w:val="32"/>
        </w:rPr>
      </w:pPr>
    </w:p>
    <w:p w14:paraId="6E565DB3" w14:textId="5F928FFB" w:rsidR="00E9513F" w:rsidRDefault="00E9513F" w:rsidP="00E9513F">
      <w:pPr>
        <w:spacing w:after="0" w:line="360" w:lineRule="auto"/>
        <w:ind w:firstLine="720"/>
        <w:jc w:val="both"/>
        <w:rPr>
          <w:rFonts w:ascii="Tahoma" w:hAnsi="Tahoma" w:cs="Tahoma"/>
          <w:sz w:val="32"/>
          <w:szCs w:val="32"/>
        </w:rPr>
      </w:pPr>
      <w:r w:rsidRPr="004D499E">
        <w:rPr>
          <w:rFonts w:ascii="Tahoma" w:hAnsi="Tahoma" w:cs="Tahoma"/>
          <w:sz w:val="32"/>
          <w:szCs w:val="32"/>
        </w:rPr>
        <w:lastRenderedPageBreak/>
        <w:t>Being young is itself a risk factor for offending. Young people are over-represented compared with adults in alleged offending statistics – in 2009-2010 there were 3,</w:t>
      </w:r>
      <w:r>
        <w:rPr>
          <w:rFonts w:ascii="Tahoma" w:hAnsi="Tahoma" w:cs="Tahoma"/>
          <w:sz w:val="32"/>
          <w:szCs w:val="32"/>
        </w:rPr>
        <w:t>785</w:t>
      </w:r>
      <w:r w:rsidRPr="004D499E">
        <w:rPr>
          <w:rFonts w:ascii="Tahoma" w:hAnsi="Tahoma" w:cs="Tahoma"/>
          <w:sz w:val="32"/>
          <w:szCs w:val="32"/>
        </w:rPr>
        <w:t xml:space="preserve"> offenders </w:t>
      </w:r>
      <w:r>
        <w:rPr>
          <w:rFonts w:ascii="Tahoma" w:hAnsi="Tahoma" w:cs="Tahoma"/>
          <w:sz w:val="32"/>
          <w:szCs w:val="32"/>
        </w:rPr>
        <w:t>per</w:t>
      </w:r>
      <w:r w:rsidRPr="004D499E">
        <w:rPr>
          <w:rFonts w:ascii="Tahoma" w:hAnsi="Tahoma" w:cs="Tahoma"/>
          <w:sz w:val="32"/>
          <w:szCs w:val="32"/>
        </w:rPr>
        <w:t xml:space="preserve"> 100,000</w:t>
      </w:r>
      <w:r>
        <w:rPr>
          <w:rFonts w:ascii="Tahoma" w:hAnsi="Tahoma" w:cs="Tahoma"/>
          <w:sz w:val="32"/>
          <w:szCs w:val="32"/>
        </w:rPr>
        <w:t xml:space="preserve"> young people</w:t>
      </w:r>
      <w:r w:rsidRPr="004D499E">
        <w:rPr>
          <w:rFonts w:ascii="Tahoma" w:hAnsi="Tahoma" w:cs="Tahoma"/>
          <w:sz w:val="32"/>
          <w:szCs w:val="32"/>
        </w:rPr>
        <w:t xml:space="preserve"> nationwide</w:t>
      </w:r>
      <w:r>
        <w:rPr>
          <w:rFonts w:ascii="Tahoma" w:hAnsi="Tahoma" w:cs="Tahoma"/>
          <w:sz w:val="32"/>
          <w:szCs w:val="32"/>
        </w:rPr>
        <w:t>,</w:t>
      </w:r>
      <w:r>
        <w:rPr>
          <w:rStyle w:val="FootnoteReference"/>
          <w:rFonts w:ascii="Tahoma" w:hAnsi="Tahoma" w:cs="Tahoma"/>
          <w:sz w:val="32"/>
          <w:szCs w:val="32"/>
        </w:rPr>
        <w:footnoteReference w:id="12"/>
      </w:r>
      <w:r w:rsidRPr="004D499E">
        <w:rPr>
          <w:rFonts w:ascii="Tahoma" w:hAnsi="Tahoma" w:cs="Tahoma"/>
          <w:sz w:val="32"/>
          <w:szCs w:val="32"/>
        </w:rPr>
        <w:t xml:space="preserve"> compared with 1,</w:t>
      </w:r>
      <w:r>
        <w:rPr>
          <w:rFonts w:ascii="Tahoma" w:hAnsi="Tahoma" w:cs="Tahoma"/>
          <w:sz w:val="32"/>
          <w:szCs w:val="32"/>
        </w:rPr>
        <w:t>94</w:t>
      </w:r>
      <w:r w:rsidRPr="004D499E">
        <w:rPr>
          <w:rFonts w:ascii="Tahoma" w:hAnsi="Tahoma" w:cs="Tahoma"/>
          <w:sz w:val="32"/>
          <w:szCs w:val="32"/>
        </w:rPr>
        <w:t xml:space="preserve">0 </w:t>
      </w:r>
      <w:r>
        <w:rPr>
          <w:rFonts w:ascii="Tahoma" w:hAnsi="Tahoma" w:cs="Tahoma"/>
          <w:sz w:val="32"/>
          <w:szCs w:val="32"/>
        </w:rPr>
        <w:t>offenders</w:t>
      </w:r>
      <w:r w:rsidRPr="004D499E">
        <w:rPr>
          <w:rFonts w:ascii="Tahoma" w:hAnsi="Tahoma" w:cs="Tahoma"/>
          <w:sz w:val="32"/>
          <w:szCs w:val="32"/>
        </w:rPr>
        <w:t xml:space="preserve"> per 100,000</w:t>
      </w:r>
      <w:r>
        <w:rPr>
          <w:rFonts w:ascii="Tahoma" w:hAnsi="Tahoma" w:cs="Tahoma"/>
          <w:sz w:val="32"/>
          <w:szCs w:val="32"/>
        </w:rPr>
        <w:t xml:space="preserve"> </w:t>
      </w:r>
      <w:r w:rsidR="00F06125">
        <w:rPr>
          <w:rFonts w:ascii="Tahoma" w:hAnsi="Tahoma" w:cs="Tahoma"/>
          <w:sz w:val="32"/>
          <w:szCs w:val="32"/>
        </w:rPr>
        <w:t>adults</w:t>
      </w:r>
      <w:r>
        <w:rPr>
          <w:rFonts w:ascii="Tahoma" w:hAnsi="Tahoma" w:cs="Tahoma"/>
          <w:sz w:val="32"/>
          <w:szCs w:val="32"/>
        </w:rPr>
        <w:t>.</w:t>
      </w:r>
      <w:r>
        <w:rPr>
          <w:rStyle w:val="FootnoteReference"/>
          <w:rFonts w:ascii="Tahoma" w:hAnsi="Tahoma" w:cs="Tahoma"/>
          <w:sz w:val="32"/>
          <w:szCs w:val="32"/>
        </w:rPr>
        <w:footnoteReference w:id="13"/>
      </w:r>
    </w:p>
    <w:p w14:paraId="02557CD7" w14:textId="77777777" w:rsidR="00E9513F" w:rsidRPr="004D499E" w:rsidRDefault="00E9513F" w:rsidP="00E9513F">
      <w:pPr>
        <w:spacing w:after="0" w:line="360" w:lineRule="auto"/>
        <w:ind w:firstLine="720"/>
        <w:jc w:val="both"/>
        <w:rPr>
          <w:rFonts w:ascii="Tahoma" w:hAnsi="Tahoma" w:cs="Tahoma"/>
          <w:sz w:val="32"/>
          <w:szCs w:val="32"/>
        </w:rPr>
      </w:pPr>
    </w:p>
    <w:p w14:paraId="24A2EB4C" w14:textId="77777777" w:rsidR="00E9513F" w:rsidRDefault="00E9513F" w:rsidP="00E9513F">
      <w:pPr>
        <w:spacing w:after="0" w:line="360" w:lineRule="auto"/>
        <w:ind w:firstLine="720"/>
        <w:jc w:val="both"/>
        <w:rPr>
          <w:rFonts w:ascii="Tahoma" w:hAnsi="Tahoma" w:cs="Tahoma"/>
          <w:sz w:val="32"/>
          <w:szCs w:val="32"/>
        </w:rPr>
      </w:pPr>
      <w:r w:rsidRPr="004D499E">
        <w:rPr>
          <w:rFonts w:ascii="Tahoma" w:hAnsi="Tahoma" w:cs="Tahoma"/>
          <w:sz w:val="32"/>
          <w:szCs w:val="32"/>
        </w:rPr>
        <w:t>But much offending by young people is minor in nature and research says that many adolescents are likely to cease offending once they reach neurological and social maturity.  It is only the persistent offenders who continue offending beyond that point.  Persistent offenders are a minority of youth offenders, but they are responsible for a disproportionate amount of offences.</w:t>
      </w:r>
      <w:r>
        <w:rPr>
          <w:rStyle w:val="FootnoteReference"/>
          <w:rFonts w:ascii="Tahoma" w:hAnsi="Tahoma" w:cs="Tahoma"/>
          <w:sz w:val="32"/>
          <w:szCs w:val="32"/>
        </w:rPr>
        <w:footnoteReference w:id="14"/>
      </w:r>
    </w:p>
    <w:p w14:paraId="19297604" w14:textId="77777777" w:rsidR="00E9513F" w:rsidRPr="004D499E" w:rsidRDefault="00E9513F" w:rsidP="00E9513F">
      <w:pPr>
        <w:spacing w:after="0" w:line="360" w:lineRule="auto"/>
        <w:ind w:firstLine="720"/>
        <w:jc w:val="both"/>
        <w:rPr>
          <w:rFonts w:ascii="Tahoma" w:hAnsi="Tahoma" w:cs="Tahoma"/>
          <w:sz w:val="32"/>
          <w:szCs w:val="32"/>
        </w:rPr>
      </w:pPr>
    </w:p>
    <w:p w14:paraId="66A132CB" w14:textId="00EFC528" w:rsidR="00E9513F" w:rsidRDefault="00E9513F" w:rsidP="00E9513F">
      <w:pPr>
        <w:spacing w:after="0" w:line="360" w:lineRule="auto"/>
        <w:ind w:firstLine="720"/>
        <w:jc w:val="both"/>
        <w:rPr>
          <w:rFonts w:ascii="Tahoma" w:hAnsi="Tahoma" w:cs="Tahoma"/>
          <w:sz w:val="32"/>
          <w:szCs w:val="32"/>
        </w:rPr>
      </w:pPr>
      <w:r w:rsidRPr="004D499E">
        <w:rPr>
          <w:rFonts w:ascii="Tahoma" w:hAnsi="Tahoma" w:cs="Tahoma"/>
          <w:sz w:val="32"/>
          <w:szCs w:val="32"/>
        </w:rPr>
        <w:t>There is little research into the issue of young people reoffending in adulthood, but one study show</w:t>
      </w:r>
      <w:r w:rsidR="00B36BC8">
        <w:rPr>
          <w:rFonts w:ascii="Tahoma" w:hAnsi="Tahoma" w:cs="Tahoma"/>
          <w:sz w:val="32"/>
          <w:szCs w:val="32"/>
        </w:rPr>
        <w:t>ed</w:t>
      </w:r>
      <w:r w:rsidRPr="004D499E">
        <w:rPr>
          <w:rFonts w:ascii="Tahoma" w:hAnsi="Tahoma" w:cs="Tahoma"/>
          <w:sz w:val="32"/>
          <w:szCs w:val="32"/>
        </w:rPr>
        <w:t xml:space="preserve"> that an earlier age of onset offending is related to a higher risk of recidivism.</w:t>
      </w:r>
      <w:r>
        <w:rPr>
          <w:rStyle w:val="FootnoteReference"/>
          <w:rFonts w:ascii="Tahoma" w:hAnsi="Tahoma" w:cs="Tahoma"/>
          <w:sz w:val="32"/>
          <w:szCs w:val="32"/>
        </w:rPr>
        <w:footnoteReference w:id="15"/>
      </w:r>
    </w:p>
    <w:p w14:paraId="7F4B0BEA" w14:textId="77777777" w:rsidR="00E9513F" w:rsidRDefault="00E9513F" w:rsidP="00ED020B">
      <w:pPr>
        <w:spacing w:after="0" w:line="360" w:lineRule="auto"/>
        <w:ind w:firstLine="720"/>
        <w:jc w:val="both"/>
        <w:rPr>
          <w:rFonts w:ascii="Tahoma" w:hAnsi="Tahoma" w:cs="Tahoma"/>
          <w:sz w:val="32"/>
          <w:szCs w:val="32"/>
        </w:rPr>
      </w:pPr>
    </w:p>
    <w:p w14:paraId="420CD89A" w14:textId="31BFE011" w:rsidR="00446C9D" w:rsidRDefault="00446C9D" w:rsidP="002C1267">
      <w:pPr>
        <w:spacing w:after="0" w:line="360" w:lineRule="auto"/>
        <w:ind w:firstLine="720"/>
        <w:jc w:val="center"/>
        <w:rPr>
          <w:rFonts w:ascii="Tahoma" w:hAnsi="Tahoma" w:cs="Tahoma"/>
          <w:sz w:val="32"/>
          <w:szCs w:val="32"/>
        </w:rPr>
      </w:pPr>
      <w:r>
        <w:rPr>
          <w:rFonts w:ascii="Tahoma" w:hAnsi="Tahoma" w:cs="Tahoma"/>
          <w:sz w:val="32"/>
          <w:szCs w:val="32"/>
        </w:rPr>
        <w:t>*******************************</w:t>
      </w:r>
    </w:p>
    <w:p w14:paraId="1F7A158F" w14:textId="77777777" w:rsidR="00E9513F" w:rsidRDefault="00E9513F" w:rsidP="00ED020B">
      <w:pPr>
        <w:spacing w:after="0" w:line="360" w:lineRule="auto"/>
        <w:ind w:firstLine="720"/>
        <w:jc w:val="both"/>
        <w:rPr>
          <w:rFonts w:ascii="Tahoma" w:hAnsi="Tahoma" w:cs="Tahoma"/>
          <w:sz w:val="32"/>
          <w:szCs w:val="32"/>
        </w:rPr>
      </w:pPr>
    </w:p>
    <w:p w14:paraId="0D4573DE" w14:textId="14AA6CA6" w:rsidR="00357A8B" w:rsidRPr="00F77E89" w:rsidRDefault="00A53EF9" w:rsidP="00ED020B">
      <w:pPr>
        <w:spacing w:after="0" w:line="360" w:lineRule="auto"/>
        <w:ind w:firstLine="720"/>
        <w:jc w:val="both"/>
        <w:rPr>
          <w:rFonts w:ascii="Tahoma" w:hAnsi="Tahoma" w:cs="Tahoma"/>
          <w:sz w:val="32"/>
          <w:szCs w:val="32"/>
        </w:rPr>
      </w:pPr>
      <w:r w:rsidRPr="00F77E89">
        <w:rPr>
          <w:rFonts w:ascii="Tahoma" w:hAnsi="Tahoma" w:cs="Tahoma"/>
          <w:sz w:val="32"/>
          <w:szCs w:val="32"/>
        </w:rPr>
        <w:t>Sentencing laws across Australia impose reasonably consistent obligations on judicial officer</w:t>
      </w:r>
      <w:r w:rsidR="009541D6">
        <w:rPr>
          <w:rFonts w:ascii="Tahoma" w:hAnsi="Tahoma" w:cs="Tahoma"/>
          <w:sz w:val="32"/>
          <w:szCs w:val="32"/>
        </w:rPr>
        <w:t>s</w:t>
      </w:r>
      <w:r w:rsidRPr="00F77E89">
        <w:rPr>
          <w:rFonts w:ascii="Tahoma" w:hAnsi="Tahoma" w:cs="Tahoma"/>
          <w:sz w:val="32"/>
          <w:szCs w:val="32"/>
        </w:rPr>
        <w:t>.</w:t>
      </w:r>
      <w:r w:rsidR="009541D6">
        <w:rPr>
          <w:rFonts w:ascii="Tahoma" w:hAnsi="Tahoma" w:cs="Tahoma"/>
          <w:sz w:val="32"/>
          <w:szCs w:val="32"/>
        </w:rPr>
        <w:t xml:space="preserve">  Broadly speaking, the </w:t>
      </w:r>
      <w:r w:rsidR="009541D6">
        <w:rPr>
          <w:rFonts w:ascii="Tahoma" w:hAnsi="Tahoma" w:cs="Tahoma"/>
          <w:sz w:val="32"/>
          <w:szCs w:val="32"/>
        </w:rPr>
        <w:lastRenderedPageBreak/>
        <w:t>same obligations apply nationally when sentencing children and young offenders.</w:t>
      </w:r>
    </w:p>
    <w:p w14:paraId="2C2310F3" w14:textId="77777777" w:rsidR="00A53EF9" w:rsidRPr="00F77E89" w:rsidRDefault="00A53EF9" w:rsidP="00ED020B">
      <w:pPr>
        <w:spacing w:after="0" w:line="360" w:lineRule="auto"/>
        <w:jc w:val="both"/>
        <w:rPr>
          <w:rFonts w:ascii="Tahoma" w:hAnsi="Tahoma" w:cs="Tahoma"/>
          <w:sz w:val="32"/>
          <w:szCs w:val="32"/>
        </w:rPr>
      </w:pPr>
    </w:p>
    <w:p w14:paraId="256861CC" w14:textId="11733B83" w:rsidR="00A53EF9" w:rsidRPr="00F77E89" w:rsidRDefault="00A53EF9" w:rsidP="00ED020B">
      <w:pPr>
        <w:spacing w:after="0" w:line="360" w:lineRule="auto"/>
        <w:jc w:val="both"/>
        <w:rPr>
          <w:rFonts w:ascii="Tahoma" w:hAnsi="Tahoma" w:cs="Tahoma"/>
          <w:sz w:val="32"/>
          <w:szCs w:val="32"/>
        </w:rPr>
      </w:pPr>
      <w:r w:rsidRPr="00F77E89">
        <w:rPr>
          <w:rFonts w:ascii="Tahoma" w:hAnsi="Tahoma" w:cs="Tahoma"/>
          <w:sz w:val="32"/>
          <w:szCs w:val="32"/>
        </w:rPr>
        <w:tab/>
        <w:t xml:space="preserve">If I take the </w:t>
      </w:r>
      <w:r w:rsidRPr="00DD0A57">
        <w:rPr>
          <w:rFonts w:ascii="Tahoma" w:hAnsi="Tahoma" w:cs="Tahoma"/>
          <w:sz w:val="32"/>
          <w:szCs w:val="32"/>
        </w:rPr>
        <w:t>Victorian</w:t>
      </w:r>
      <w:r w:rsidRPr="00F77E89">
        <w:rPr>
          <w:rFonts w:ascii="Tahoma" w:hAnsi="Tahoma" w:cs="Tahoma"/>
          <w:i/>
          <w:sz w:val="32"/>
          <w:szCs w:val="32"/>
        </w:rPr>
        <w:t xml:space="preserve"> </w:t>
      </w:r>
      <w:r w:rsidR="00047CF5" w:rsidRPr="00F77E89">
        <w:rPr>
          <w:rFonts w:ascii="Tahoma" w:hAnsi="Tahoma" w:cs="Tahoma"/>
          <w:i/>
          <w:sz w:val="32"/>
          <w:szCs w:val="32"/>
        </w:rPr>
        <w:t>Children Youth and Families Act</w:t>
      </w:r>
      <w:r w:rsidRPr="00F77E89">
        <w:rPr>
          <w:rFonts w:ascii="Tahoma" w:hAnsi="Tahoma" w:cs="Tahoma"/>
          <w:sz w:val="32"/>
          <w:szCs w:val="32"/>
        </w:rPr>
        <w:t xml:space="preserve"> as an example, there are a number of essential things that a judge or magistrate must </w:t>
      </w:r>
      <w:r w:rsidR="007F1267">
        <w:rPr>
          <w:rFonts w:ascii="Tahoma" w:hAnsi="Tahoma" w:cs="Tahoma"/>
          <w:sz w:val="32"/>
          <w:szCs w:val="32"/>
        </w:rPr>
        <w:t>consider</w:t>
      </w:r>
      <w:r w:rsidRPr="00F77E89">
        <w:rPr>
          <w:rFonts w:ascii="Tahoma" w:hAnsi="Tahoma" w:cs="Tahoma"/>
          <w:sz w:val="32"/>
          <w:szCs w:val="32"/>
        </w:rPr>
        <w:t xml:space="preserve"> in the sentencing process when dealing with</w:t>
      </w:r>
      <w:r w:rsidR="00047CF5" w:rsidRPr="00F77E89">
        <w:rPr>
          <w:rFonts w:ascii="Tahoma" w:hAnsi="Tahoma" w:cs="Tahoma"/>
          <w:sz w:val="32"/>
          <w:szCs w:val="32"/>
        </w:rPr>
        <w:t xml:space="preserve"> children and</w:t>
      </w:r>
      <w:r w:rsidRPr="00F77E89">
        <w:rPr>
          <w:rFonts w:ascii="Tahoma" w:hAnsi="Tahoma" w:cs="Tahoma"/>
          <w:sz w:val="32"/>
          <w:szCs w:val="32"/>
        </w:rPr>
        <w:t xml:space="preserve"> young offenders.  Broadly speaking they are:</w:t>
      </w:r>
    </w:p>
    <w:p w14:paraId="26A6D5B5" w14:textId="5D354088" w:rsidR="00A53EF9" w:rsidRPr="00F77E89" w:rsidRDefault="00E9121D" w:rsidP="00ED020B">
      <w:pPr>
        <w:pStyle w:val="ListParagraph"/>
        <w:numPr>
          <w:ilvl w:val="0"/>
          <w:numId w:val="1"/>
        </w:numPr>
        <w:spacing w:after="0" w:line="360" w:lineRule="auto"/>
        <w:ind w:left="630" w:hanging="567"/>
        <w:jc w:val="both"/>
        <w:rPr>
          <w:rFonts w:ascii="Tahoma" w:hAnsi="Tahoma" w:cs="Tahoma"/>
          <w:sz w:val="32"/>
          <w:szCs w:val="32"/>
        </w:rPr>
      </w:pPr>
      <w:r w:rsidRPr="00F77E89">
        <w:rPr>
          <w:rFonts w:ascii="Tahoma" w:hAnsi="Tahoma" w:cs="Tahoma"/>
          <w:sz w:val="32"/>
          <w:szCs w:val="32"/>
        </w:rPr>
        <w:t>t</w:t>
      </w:r>
      <w:r w:rsidR="004D461E" w:rsidRPr="00F77E89">
        <w:rPr>
          <w:rFonts w:ascii="Tahoma" w:hAnsi="Tahoma" w:cs="Tahoma"/>
          <w:sz w:val="32"/>
          <w:szCs w:val="32"/>
        </w:rPr>
        <w:t>he need to strengthen and preserve the relationship between the child and the child’s family;</w:t>
      </w:r>
    </w:p>
    <w:p w14:paraId="1986725F" w14:textId="7E7068D7" w:rsidR="00A53EF9" w:rsidRPr="00F77E89" w:rsidRDefault="00E9121D" w:rsidP="00ED020B">
      <w:pPr>
        <w:pStyle w:val="ListParagraph"/>
        <w:numPr>
          <w:ilvl w:val="0"/>
          <w:numId w:val="1"/>
        </w:numPr>
        <w:spacing w:after="0" w:line="360" w:lineRule="auto"/>
        <w:ind w:left="630" w:hanging="567"/>
        <w:jc w:val="both"/>
        <w:rPr>
          <w:rFonts w:ascii="Tahoma" w:hAnsi="Tahoma" w:cs="Tahoma"/>
          <w:sz w:val="32"/>
          <w:szCs w:val="32"/>
        </w:rPr>
      </w:pPr>
      <w:r w:rsidRPr="00F77E89">
        <w:rPr>
          <w:rFonts w:ascii="Tahoma" w:hAnsi="Tahoma" w:cs="Tahoma"/>
          <w:sz w:val="32"/>
          <w:szCs w:val="32"/>
        </w:rPr>
        <w:t>t</w:t>
      </w:r>
      <w:r w:rsidR="004D461E" w:rsidRPr="00F77E89">
        <w:rPr>
          <w:rFonts w:ascii="Tahoma" w:hAnsi="Tahoma" w:cs="Tahoma"/>
          <w:sz w:val="32"/>
          <w:szCs w:val="32"/>
        </w:rPr>
        <w:t>he desirability of allowing the child to live at home and allowing the child’s education, training or employment to continue without interruption or disturbance;</w:t>
      </w:r>
    </w:p>
    <w:p w14:paraId="230CF43C" w14:textId="5DCE1964" w:rsidR="004D461E" w:rsidRPr="00F77E89" w:rsidRDefault="00E9121D" w:rsidP="00ED020B">
      <w:pPr>
        <w:pStyle w:val="ListParagraph"/>
        <w:numPr>
          <w:ilvl w:val="0"/>
          <w:numId w:val="1"/>
        </w:numPr>
        <w:spacing w:after="0" w:line="360" w:lineRule="auto"/>
        <w:ind w:left="630" w:hanging="567"/>
        <w:jc w:val="both"/>
        <w:rPr>
          <w:rFonts w:ascii="Tahoma" w:hAnsi="Tahoma" w:cs="Tahoma"/>
          <w:sz w:val="32"/>
          <w:szCs w:val="32"/>
        </w:rPr>
      </w:pPr>
      <w:r w:rsidRPr="00F77E89">
        <w:rPr>
          <w:rFonts w:ascii="Tahoma" w:hAnsi="Tahoma" w:cs="Tahoma"/>
          <w:sz w:val="32"/>
          <w:szCs w:val="32"/>
        </w:rPr>
        <w:t>t</w:t>
      </w:r>
      <w:r w:rsidR="004D461E" w:rsidRPr="00F77E89">
        <w:rPr>
          <w:rFonts w:ascii="Tahoma" w:hAnsi="Tahoma" w:cs="Tahoma"/>
          <w:sz w:val="32"/>
          <w:szCs w:val="32"/>
        </w:rPr>
        <w:t>he need to minimise the stigma;</w:t>
      </w:r>
    </w:p>
    <w:p w14:paraId="1D2B0EDF" w14:textId="7502250B" w:rsidR="004D461E" w:rsidRPr="00F77E89" w:rsidRDefault="00E9121D" w:rsidP="00ED020B">
      <w:pPr>
        <w:pStyle w:val="ListParagraph"/>
        <w:numPr>
          <w:ilvl w:val="0"/>
          <w:numId w:val="1"/>
        </w:numPr>
        <w:spacing w:after="0" w:line="360" w:lineRule="auto"/>
        <w:ind w:left="630" w:hanging="567"/>
        <w:jc w:val="both"/>
        <w:rPr>
          <w:rFonts w:ascii="Tahoma" w:hAnsi="Tahoma" w:cs="Tahoma"/>
          <w:sz w:val="32"/>
          <w:szCs w:val="32"/>
        </w:rPr>
      </w:pPr>
      <w:r w:rsidRPr="00F77E89">
        <w:rPr>
          <w:rFonts w:ascii="Tahoma" w:hAnsi="Tahoma" w:cs="Tahoma"/>
          <w:sz w:val="32"/>
          <w:szCs w:val="32"/>
        </w:rPr>
        <w:t>i</w:t>
      </w:r>
      <w:r w:rsidR="004D461E" w:rsidRPr="00F77E89">
        <w:rPr>
          <w:rFonts w:ascii="Tahoma" w:hAnsi="Tahoma" w:cs="Tahoma"/>
          <w:sz w:val="32"/>
          <w:szCs w:val="32"/>
        </w:rPr>
        <w:t>f appropriate, making the child understand his or her responsibility for the offending; and</w:t>
      </w:r>
    </w:p>
    <w:p w14:paraId="71D1E9E9" w14:textId="27141F01" w:rsidR="004D461E" w:rsidRPr="00F77E89" w:rsidRDefault="00E9121D" w:rsidP="00ED020B">
      <w:pPr>
        <w:pStyle w:val="ListParagraph"/>
        <w:numPr>
          <w:ilvl w:val="0"/>
          <w:numId w:val="1"/>
        </w:numPr>
        <w:spacing w:after="0" w:line="360" w:lineRule="auto"/>
        <w:ind w:left="630" w:hanging="567"/>
        <w:jc w:val="both"/>
        <w:rPr>
          <w:rFonts w:ascii="Tahoma" w:hAnsi="Tahoma" w:cs="Tahoma"/>
          <w:sz w:val="32"/>
          <w:szCs w:val="32"/>
        </w:rPr>
      </w:pPr>
      <w:r w:rsidRPr="00F77E89">
        <w:rPr>
          <w:rFonts w:ascii="Tahoma" w:hAnsi="Tahoma" w:cs="Tahoma"/>
          <w:sz w:val="32"/>
          <w:szCs w:val="32"/>
        </w:rPr>
        <w:t>i</w:t>
      </w:r>
      <w:r w:rsidR="004D461E" w:rsidRPr="00F77E89">
        <w:rPr>
          <w:rFonts w:ascii="Tahoma" w:hAnsi="Tahoma" w:cs="Tahoma"/>
          <w:sz w:val="32"/>
          <w:szCs w:val="32"/>
        </w:rPr>
        <w:t>f appropriate, the protection of the community.</w:t>
      </w:r>
      <w:r w:rsidR="004D461E" w:rsidRPr="00F77E89">
        <w:rPr>
          <w:rStyle w:val="FootnoteReference"/>
          <w:rFonts w:ascii="Tahoma" w:hAnsi="Tahoma" w:cs="Tahoma"/>
          <w:sz w:val="32"/>
          <w:szCs w:val="32"/>
        </w:rPr>
        <w:footnoteReference w:id="16"/>
      </w:r>
    </w:p>
    <w:p w14:paraId="1878C1E3" w14:textId="77777777" w:rsidR="004D461E" w:rsidRPr="00F77E89" w:rsidRDefault="004D461E" w:rsidP="00ED020B">
      <w:pPr>
        <w:spacing w:after="0" w:line="360" w:lineRule="auto"/>
        <w:jc w:val="both"/>
        <w:rPr>
          <w:rFonts w:ascii="Tahoma" w:hAnsi="Tahoma" w:cs="Tahoma"/>
          <w:sz w:val="32"/>
          <w:szCs w:val="32"/>
        </w:rPr>
      </w:pPr>
    </w:p>
    <w:p w14:paraId="0907727D" w14:textId="41A79EA9" w:rsidR="004D461E" w:rsidRPr="00F77E89" w:rsidRDefault="004D461E" w:rsidP="00ED020B">
      <w:pPr>
        <w:spacing w:after="0" w:line="360" w:lineRule="auto"/>
        <w:ind w:firstLine="709"/>
        <w:jc w:val="both"/>
        <w:rPr>
          <w:rFonts w:ascii="Tahoma" w:hAnsi="Tahoma" w:cs="Tahoma"/>
          <w:sz w:val="32"/>
          <w:szCs w:val="32"/>
        </w:rPr>
      </w:pPr>
      <w:r w:rsidRPr="00F77E89">
        <w:rPr>
          <w:rFonts w:ascii="Tahoma" w:hAnsi="Tahoma" w:cs="Tahoma"/>
          <w:sz w:val="32"/>
          <w:szCs w:val="32"/>
        </w:rPr>
        <w:t xml:space="preserve">In a 2016 judgment of the Victorian Court of Appeal the </w:t>
      </w:r>
      <w:r w:rsidR="00DA035B">
        <w:rPr>
          <w:rFonts w:ascii="Tahoma" w:hAnsi="Tahoma" w:cs="Tahoma"/>
          <w:sz w:val="32"/>
          <w:szCs w:val="32"/>
        </w:rPr>
        <w:t>C</w:t>
      </w:r>
      <w:r w:rsidRPr="00F77E89">
        <w:rPr>
          <w:rFonts w:ascii="Tahoma" w:hAnsi="Tahoma" w:cs="Tahoma"/>
          <w:sz w:val="32"/>
          <w:szCs w:val="32"/>
        </w:rPr>
        <w:t>ourt addressed the special circumstances that apply when sentencing young offenders.  The majority (President Maxwell and Justice Redlich) stated th</w:t>
      </w:r>
      <w:r w:rsidR="00E302EC">
        <w:rPr>
          <w:rFonts w:ascii="Tahoma" w:hAnsi="Tahoma" w:cs="Tahoma"/>
          <w:sz w:val="32"/>
          <w:szCs w:val="32"/>
        </w:rPr>
        <w:t>e</w:t>
      </w:r>
      <w:r w:rsidRPr="00F77E89">
        <w:rPr>
          <w:rFonts w:ascii="Tahoma" w:hAnsi="Tahoma" w:cs="Tahoma"/>
          <w:sz w:val="32"/>
          <w:szCs w:val="32"/>
        </w:rPr>
        <w:t xml:space="preserve"> position:</w:t>
      </w:r>
    </w:p>
    <w:p w14:paraId="08557C08" w14:textId="4DE88D05" w:rsidR="004D461E" w:rsidRPr="00F77E89" w:rsidRDefault="004D461E" w:rsidP="00ED020B">
      <w:pPr>
        <w:spacing w:after="0" w:line="240" w:lineRule="auto"/>
        <w:ind w:left="720"/>
        <w:jc w:val="both"/>
        <w:rPr>
          <w:rFonts w:ascii="Tahoma" w:hAnsi="Tahoma" w:cs="Tahoma"/>
          <w:sz w:val="32"/>
          <w:szCs w:val="32"/>
        </w:rPr>
      </w:pPr>
      <w:r w:rsidRPr="00F77E89">
        <w:rPr>
          <w:rFonts w:ascii="Tahoma" w:hAnsi="Tahoma" w:cs="Tahoma"/>
          <w:sz w:val="32"/>
          <w:szCs w:val="32"/>
        </w:rPr>
        <w:t xml:space="preserve">First, the statutory framework for juvenile justice compels the court sentencing a young offender (almost always the Children’s Court) to </w:t>
      </w:r>
      <w:r w:rsidR="001D7B4D" w:rsidRPr="00F77E89">
        <w:rPr>
          <w:rFonts w:ascii="Tahoma" w:hAnsi="Tahoma" w:cs="Tahoma"/>
          <w:sz w:val="32"/>
          <w:szCs w:val="32"/>
        </w:rPr>
        <w:t>adopt the offender-centred (or ‘welfare’</w:t>
      </w:r>
      <w:r w:rsidRPr="00F77E89">
        <w:rPr>
          <w:rFonts w:ascii="Tahoma" w:hAnsi="Tahoma" w:cs="Tahoma"/>
          <w:sz w:val="32"/>
          <w:szCs w:val="32"/>
        </w:rPr>
        <w:t xml:space="preserve">) approach rather than the </w:t>
      </w:r>
      <w:r w:rsidR="001D7B4D" w:rsidRPr="00F77E89">
        <w:rPr>
          <w:rFonts w:ascii="Tahoma" w:hAnsi="Tahoma" w:cs="Tahoma"/>
          <w:sz w:val="32"/>
          <w:szCs w:val="32"/>
        </w:rPr>
        <w:t>‘</w:t>
      </w:r>
      <w:r w:rsidRPr="00F77E89">
        <w:rPr>
          <w:rFonts w:ascii="Tahoma" w:hAnsi="Tahoma" w:cs="Tahoma"/>
          <w:sz w:val="32"/>
          <w:szCs w:val="32"/>
        </w:rPr>
        <w:t>justice</w:t>
      </w:r>
      <w:r w:rsidR="001D7B4D" w:rsidRPr="00F77E89">
        <w:rPr>
          <w:rFonts w:ascii="Tahoma" w:hAnsi="Tahoma" w:cs="Tahoma"/>
          <w:sz w:val="32"/>
          <w:szCs w:val="32"/>
        </w:rPr>
        <w:t>’ or ‘punishment’</w:t>
      </w:r>
      <w:r w:rsidRPr="00F77E89">
        <w:rPr>
          <w:rFonts w:ascii="Tahoma" w:hAnsi="Tahoma" w:cs="Tahoma"/>
          <w:sz w:val="32"/>
          <w:szCs w:val="32"/>
        </w:rPr>
        <w:t xml:space="preserve"> approach.  </w:t>
      </w:r>
      <w:r w:rsidRPr="00F77E89">
        <w:rPr>
          <w:rFonts w:ascii="Tahoma" w:hAnsi="Tahoma" w:cs="Tahoma"/>
          <w:sz w:val="32"/>
          <w:szCs w:val="32"/>
        </w:rPr>
        <w:lastRenderedPageBreak/>
        <w:t>Secondly, and just as importantly, this strong legislative policy is well supported by the extensive research into adolescent development co</w:t>
      </w:r>
      <w:r w:rsidR="001D7B4D" w:rsidRPr="00F77E89">
        <w:rPr>
          <w:rFonts w:ascii="Tahoma" w:hAnsi="Tahoma" w:cs="Tahoma"/>
          <w:sz w:val="32"/>
          <w:szCs w:val="32"/>
        </w:rPr>
        <w:t>nducted over the past 30 years.</w:t>
      </w:r>
      <w:r w:rsidRPr="00F77E89">
        <w:rPr>
          <w:rStyle w:val="FootnoteReference"/>
          <w:rFonts w:ascii="Tahoma" w:hAnsi="Tahoma" w:cs="Tahoma"/>
          <w:sz w:val="32"/>
          <w:szCs w:val="32"/>
        </w:rPr>
        <w:footnoteReference w:id="17"/>
      </w:r>
    </w:p>
    <w:p w14:paraId="75C6E9E2" w14:textId="77777777" w:rsidR="004D461E" w:rsidRDefault="004D461E" w:rsidP="00ED020B">
      <w:pPr>
        <w:spacing w:after="0" w:line="360" w:lineRule="auto"/>
        <w:jc w:val="both"/>
        <w:rPr>
          <w:rFonts w:ascii="Tahoma" w:hAnsi="Tahoma" w:cs="Tahoma"/>
          <w:sz w:val="32"/>
          <w:szCs w:val="32"/>
        </w:rPr>
      </w:pPr>
    </w:p>
    <w:p w14:paraId="353CCC8C" w14:textId="1B903F12" w:rsidR="007F1267" w:rsidRPr="00F77E89" w:rsidRDefault="007F1267" w:rsidP="00ED020B">
      <w:pPr>
        <w:spacing w:after="0" w:line="360" w:lineRule="auto"/>
        <w:jc w:val="both"/>
        <w:rPr>
          <w:rFonts w:ascii="Tahoma" w:hAnsi="Tahoma" w:cs="Tahoma"/>
          <w:sz w:val="32"/>
          <w:szCs w:val="32"/>
        </w:rPr>
      </w:pPr>
    </w:p>
    <w:p w14:paraId="2EB7696E" w14:textId="567E8166" w:rsidR="004D461E" w:rsidRPr="00F77E89" w:rsidRDefault="00A3368A" w:rsidP="00ED020B">
      <w:pPr>
        <w:spacing w:after="0" w:line="360" w:lineRule="auto"/>
        <w:ind w:firstLine="720"/>
        <w:jc w:val="both"/>
        <w:rPr>
          <w:rFonts w:ascii="Tahoma" w:hAnsi="Tahoma" w:cs="Tahoma"/>
          <w:sz w:val="32"/>
          <w:szCs w:val="32"/>
        </w:rPr>
      </w:pPr>
      <w:r w:rsidRPr="00F77E89">
        <w:rPr>
          <w:rFonts w:ascii="Tahoma" w:hAnsi="Tahoma" w:cs="Tahoma"/>
          <w:sz w:val="32"/>
          <w:szCs w:val="32"/>
        </w:rPr>
        <w:t xml:space="preserve">In </w:t>
      </w:r>
      <w:r w:rsidR="00F06125">
        <w:rPr>
          <w:rFonts w:ascii="Tahoma" w:hAnsi="Tahoma" w:cs="Tahoma"/>
          <w:sz w:val="32"/>
          <w:szCs w:val="32"/>
        </w:rPr>
        <w:t>the Victorian Court of Appeal</w:t>
      </w:r>
      <w:r w:rsidRPr="00F77E89">
        <w:rPr>
          <w:rFonts w:ascii="Tahoma" w:hAnsi="Tahoma" w:cs="Tahoma"/>
          <w:sz w:val="32"/>
          <w:szCs w:val="32"/>
        </w:rPr>
        <w:t xml:space="preserve"> case</w:t>
      </w:r>
      <w:r w:rsidR="00F06125">
        <w:rPr>
          <w:rFonts w:ascii="Tahoma" w:hAnsi="Tahoma" w:cs="Tahoma"/>
          <w:sz w:val="32"/>
          <w:szCs w:val="32"/>
        </w:rPr>
        <w:t>,</w:t>
      </w:r>
      <w:r w:rsidRPr="00F77E89">
        <w:rPr>
          <w:rFonts w:ascii="Tahoma" w:hAnsi="Tahoma" w:cs="Tahoma"/>
          <w:sz w:val="32"/>
          <w:szCs w:val="32"/>
        </w:rPr>
        <w:t xml:space="preserve"> the </w:t>
      </w:r>
      <w:r w:rsidR="00DA035B">
        <w:rPr>
          <w:rFonts w:ascii="Tahoma" w:hAnsi="Tahoma" w:cs="Tahoma"/>
          <w:sz w:val="32"/>
          <w:szCs w:val="32"/>
        </w:rPr>
        <w:t>C</w:t>
      </w:r>
      <w:r w:rsidRPr="00F77E89">
        <w:rPr>
          <w:rFonts w:ascii="Tahoma" w:hAnsi="Tahoma" w:cs="Tahoma"/>
          <w:sz w:val="32"/>
          <w:szCs w:val="32"/>
        </w:rPr>
        <w:t>ourt resolved upon a non-custodial disposition</w:t>
      </w:r>
      <w:r w:rsidR="00047CF5" w:rsidRPr="00F77E89">
        <w:rPr>
          <w:rFonts w:ascii="Tahoma" w:hAnsi="Tahoma" w:cs="Tahoma"/>
          <w:sz w:val="32"/>
          <w:szCs w:val="32"/>
        </w:rPr>
        <w:t xml:space="preserve">.  </w:t>
      </w:r>
      <w:r w:rsidR="009541D6" w:rsidRPr="00F77E89">
        <w:rPr>
          <w:rFonts w:ascii="Tahoma" w:hAnsi="Tahoma" w:cs="Tahoma"/>
          <w:sz w:val="32"/>
          <w:szCs w:val="32"/>
        </w:rPr>
        <w:t xml:space="preserve">The individual had been found guilty of seven charges of rape.  The individual was 17 years old and the victim 15. </w:t>
      </w:r>
      <w:r w:rsidR="009541D6">
        <w:rPr>
          <w:rFonts w:ascii="Tahoma" w:hAnsi="Tahoma" w:cs="Tahoma"/>
          <w:sz w:val="32"/>
          <w:szCs w:val="32"/>
        </w:rPr>
        <w:t xml:space="preserve"> </w:t>
      </w:r>
      <w:r w:rsidR="00047CF5" w:rsidRPr="00F77E89">
        <w:rPr>
          <w:rFonts w:ascii="Tahoma" w:hAnsi="Tahoma" w:cs="Tahoma"/>
          <w:sz w:val="32"/>
          <w:szCs w:val="32"/>
        </w:rPr>
        <w:t xml:space="preserve">A </w:t>
      </w:r>
      <w:r w:rsidRPr="00F77E89">
        <w:rPr>
          <w:rFonts w:ascii="Tahoma" w:hAnsi="Tahoma" w:cs="Tahoma"/>
          <w:sz w:val="32"/>
          <w:szCs w:val="32"/>
        </w:rPr>
        <w:t xml:space="preserve">12 month </w:t>
      </w:r>
      <w:r w:rsidR="00047CF5" w:rsidRPr="00F77E89">
        <w:rPr>
          <w:rFonts w:ascii="Tahoma" w:hAnsi="Tahoma" w:cs="Tahoma"/>
          <w:sz w:val="32"/>
          <w:szCs w:val="32"/>
        </w:rPr>
        <w:t>youth</w:t>
      </w:r>
      <w:r w:rsidRPr="00F77E89">
        <w:rPr>
          <w:rFonts w:ascii="Tahoma" w:hAnsi="Tahoma" w:cs="Tahoma"/>
          <w:sz w:val="32"/>
          <w:szCs w:val="32"/>
        </w:rPr>
        <w:t xml:space="preserve"> supervision order with conditions was affirmed.  The conditions included attendance at programs as directed, abstinence from alcohol and the use of illegal drugs, residential requirements, a curfew, psychological counselling with a specified psychologist and drug and alcohol counselling as directed.  </w:t>
      </w:r>
      <w:r w:rsidR="00985EC1">
        <w:rPr>
          <w:rFonts w:ascii="Tahoma" w:hAnsi="Tahoma" w:cs="Tahoma"/>
          <w:sz w:val="32"/>
          <w:szCs w:val="32"/>
        </w:rPr>
        <w:t>We can see that the Court of Appeal was very much directed to a welfare rather than a punishment approach for the individual.</w:t>
      </w:r>
    </w:p>
    <w:p w14:paraId="3FC94E47" w14:textId="77777777" w:rsidR="00047CF5" w:rsidRPr="00F77E89" w:rsidRDefault="00047CF5" w:rsidP="00ED020B">
      <w:pPr>
        <w:spacing w:after="0" w:line="360" w:lineRule="auto"/>
        <w:ind w:firstLine="720"/>
        <w:jc w:val="both"/>
        <w:rPr>
          <w:rFonts w:ascii="Tahoma" w:hAnsi="Tahoma" w:cs="Tahoma"/>
          <w:sz w:val="32"/>
          <w:szCs w:val="32"/>
        </w:rPr>
      </w:pPr>
    </w:p>
    <w:p w14:paraId="20DFC295" w14:textId="17E9E9F9"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The statutory principles are largely consistent with laws across the nation</w:t>
      </w:r>
      <w:r w:rsidR="00EE609E">
        <w:rPr>
          <w:rFonts w:ascii="Tahoma" w:hAnsi="Tahoma" w:cs="Tahoma"/>
          <w:sz w:val="32"/>
          <w:szCs w:val="32"/>
        </w:rPr>
        <w:t xml:space="preserve"> and largely incorporate the principles set out in the Convention on the Rights of the Child.</w:t>
      </w:r>
    </w:p>
    <w:p w14:paraId="1084AA31" w14:textId="77777777" w:rsidR="00047CF5" w:rsidRPr="00F77E89" w:rsidRDefault="00047CF5" w:rsidP="00ED020B">
      <w:pPr>
        <w:spacing w:after="0" w:line="360" w:lineRule="auto"/>
        <w:ind w:firstLine="720"/>
        <w:jc w:val="both"/>
        <w:rPr>
          <w:rFonts w:ascii="Tahoma" w:hAnsi="Tahoma" w:cs="Tahoma"/>
          <w:sz w:val="32"/>
          <w:szCs w:val="32"/>
        </w:rPr>
      </w:pPr>
    </w:p>
    <w:p w14:paraId="4C16E099" w14:textId="4E37153F" w:rsidR="00047CF5" w:rsidRDefault="000E6106" w:rsidP="00ED020B">
      <w:pPr>
        <w:spacing w:after="0" w:line="360" w:lineRule="auto"/>
        <w:ind w:firstLine="720"/>
        <w:jc w:val="both"/>
        <w:rPr>
          <w:rFonts w:ascii="Tahoma" w:hAnsi="Tahoma" w:cs="Tahoma"/>
          <w:sz w:val="32"/>
          <w:szCs w:val="32"/>
        </w:rPr>
      </w:pPr>
      <w:r>
        <w:rPr>
          <w:rFonts w:ascii="Tahoma" w:hAnsi="Tahoma" w:cs="Tahoma"/>
          <w:sz w:val="32"/>
          <w:szCs w:val="32"/>
        </w:rPr>
        <w:t>For the</w:t>
      </w:r>
      <w:r w:rsidR="00EE609E">
        <w:rPr>
          <w:rFonts w:ascii="Tahoma" w:hAnsi="Tahoma" w:cs="Tahoma"/>
          <w:sz w:val="32"/>
          <w:szCs w:val="32"/>
        </w:rPr>
        <w:t xml:space="preserve"> </w:t>
      </w:r>
      <w:r w:rsidR="00CC2FB4">
        <w:rPr>
          <w:rFonts w:ascii="Tahoma" w:hAnsi="Tahoma" w:cs="Tahoma"/>
          <w:sz w:val="32"/>
          <w:szCs w:val="32"/>
        </w:rPr>
        <w:t>discussion</w:t>
      </w:r>
      <w:r w:rsidR="008676F8">
        <w:rPr>
          <w:rFonts w:ascii="Tahoma" w:hAnsi="Tahoma" w:cs="Tahoma"/>
          <w:sz w:val="32"/>
          <w:szCs w:val="32"/>
        </w:rPr>
        <w:t>, we</w:t>
      </w:r>
      <w:r w:rsidR="00CC2FB4">
        <w:rPr>
          <w:rFonts w:ascii="Tahoma" w:hAnsi="Tahoma" w:cs="Tahoma"/>
          <w:sz w:val="32"/>
          <w:szCs w:val="32"/>
        </w:rPr>
        <w:t xml:space="preserve"> </w:t>
      </w:r>
      <w:r w:rsidR="00047CF5" w:rsidRPr="00F77E89">
        <w:rPr>
          <w:rFonts w:ascii="Tahoma" w:hAnsi="Tahoma" w:cs="Tahoma"/>
          <w:sz w:val="32"/>
          <w:szCs w:val="32"/>
        </w:rPr>
        <w:t>need a starting point so let us wind the clock back 20 years.</w:t>
      </w:r>
    </w:p>
    <w:p w14:paraId="420C6E2A" w14:textId="77777777" w:rsidR="00F77E89" w:rsidRPr="00F77E89" w:rsidRDefault="00F77E89" w:rsidP="00ED020B">
      <w:pPr>
        <w:spacing w:after="0" w:line="360" w:lineRule="auto"/>
        <w:ind w:firstLine="720"/>
        <w:jc w:val="both"/>
        <w:rPr>
          <w:rFonts w:ascii="Tahoma" w:hAnsi="Tahoma" w:cs="Tahoma"/>
          <w:sz w:val="32"/>
          <w:szCs w:val="32"/>
        </w:rPr>
      </w:pPr>
    </w:p>
    <w:p w14:paraId="013AF4B2" w14:textId="32370102" w:rsidR="00047CF5" w:rsidRPr="00F77E89" w:rsidRDefault="00F77E89" w:rsidP="003E40B1">
      <w:pPr>
        <w:spacing w:after="0" w:line="360" w:lineRule="auto"/>
        <w:ind w:firstLine="720"/>
        <w:jc w:val="both"/>
        <w:rPr>
          <w:rFonts w:ascii="Tahoma" w:hAnsi="Tahoma" w:cs="Tahoma"/>
          <w:sz w:val="32"/>
          <w:szCs w:val="32"/>
        </w:rPr>
      </w:pPr>
      <w:r>
        <w:rPr>
          <w:rFonts w:ascii="Tahoma" w:hAnsi="Tahoma" w:cs="Tahoma"/>
          <w:sz w:val="32"/>
          <w:szCs w:val="32"/>
        </w:rPr>
        <w:lastRenderedPageBreak/>
        <w:t>In</w:t>
      </w:r>
      <w:r w:rsidR="00047CF5" w:rsidRPr="00F77E89">
        <w:rPr>
          <w:rFonts w:ascii="Tahoma" w:hAnsi="Tahoma" w:cs="Tahoma"/>
          <w:sz w:val="32"/>
          <w:szCs w:val="32"/>
        </w:rPr>
        <w:t xml:space="preserve"> 1995, the Federal Attorney-General commissioned a report from the </w:t>
      </w:r>
      <w:r w:rsidR="009541D6">
        <w:rPr>
          <w:rFonts w:ascii="Tahoma" w:hAnsi="Tahoma" w:cs="Tahoma"/>
          <w:sz w:val="32"/>
          <w:szCs w:val="32"/>
        </w:rPr>
        <w:t xml:space="preserve">Australian </w:t>
      </w:r>
      <w:r w:rsidR="00047CF5" w:rsidRPr="00F77E89">
        <w:rPr>
          <w:rFonts w:ascii="Tahoma" w:hAnsi="Tahoma" w:cs="Tahoma"/>
          <w:sz w:val="32"/>
          <w:szCs w:val="32"/>
        </w:rPr>
        <w:t xml:space="preserve">Law Reform Commission and the </w:t>
      </w:r>
      <w:r w:rsidR="009541D6">
        <w:rPr>
          <w:rFonts w:ascii="Tahoma" w:hAnsi="Tahoma" w:cs="Tahoma"/>
          <w:sz w:val="32"/>
          <w:szCs w:val="32"/>
        </w:rPr>
        <w:t xml:space="preserve">Federal </w:t>
      </w:r>
      <w:r w:rsidR="00047CF5" w:rsidRPr="00F77E89">
        <w:rPr>
          <w:rFonts w:ascii="Tahoma" w:hAnsi="Tahoma" w:cs="Tahoma"/>
          <w:sz w:val="32"/>
          <w:szCs w:val="32"/>
        </w:rPr>
        <w:t xml:space="preserve">Human Rights and Equal Opportunity Commission reviewing how children and young people should best be dealt with in the legal process.  </w:t>
      </w:r>
      <w:r w:rsidR="00E87D2A">
        <w:rPr>
          <w:rFonts w:ascii="Tahoma" w:hAnsi="Tahoma" w:cs="Tahoma"/>
          <w:sz w:val="32"/>
          <w:szCs w:val="32"/>
        </w:rPr>
        <w:t xml:space="preserve">The Terms of Reference for the 1997 </w:t>
      </w:r>
      <w:r w:rsidR="00AE1FF9">
        <w:rPr>
          <w:rFonts w:ascii="Tahoma" w:hAnsi="Tahoma" w:cs="Tahoma"/>
          <w:sz w:val="32"/>
          <w:szCs w:val="32"/>
        </w:rPr>
        <w:t>J</w:t>
      </w:r>
      <w:r w:rsidR="00E87D2A">
        <w:rPr>
          <w:rFonts w:ascii="Tahoma" w:hAnsi="Tahoma" w:cs="Tahoma"/>
          <w:sz w:val="32"/>
          <w:szCs w:val="32"/>
        </w:rPr>
        <w:t>oint Report acknowledged Australia’s state and federal governments owe a special responsibility to children.</w:t>
      </w:r>
      <w:r w:rsidR="00E87D2A" w:rsidRPr="00E87D2A">
        <w:rPr>
          <w:rStyle w:val="FootnoteReference"/>
          <w:rFonts w:ascii="Tahoma" w:hAnsi="Tahoma" w:cs="Tahoma"/>
          <w:sz w:val="32"/>
          <w:szCs w:val="32"/>
        </w:rPr>
        <w:t xml:space="preserve"> </w:t>
      </w:r>
      <w:r w:rsidR="00E87D2A">
        <w:rPr>
          <w:rStyle w:val="FootnoteReference"/>
          <w:rFonts w:ascii="Tahoma" w:hAnsi="Tahoma" w:cs="Tahoma"/>
          <w:sz w:val="32"/>
          <w:szCs w:val="32"/>
        </w:rPr>
        <w:footnoteReference w:id="18"/>
      </w:r>
      <w:r w:rsidR="00E87D2A">
        <w:rPr>
          <w:rFonts w:ascii="Tahoma" w:hAnsi="Tahoma" w:cs="Tahoma"/>
          <w:sz w:val="32"/>
          <w:szCs w:val="32"/>
        </w:rPr>
        <w:t xml:space="preserve">  Children and young people have a ‘particular vulnerability’</w:t>
      </w:r>
      <w:r w:rsidR="00E87D2A">
        <w:rPr>
          <w:rStyle w:val="FootnoteReference"/>
          <w:rFonts w:ascii="Tahoma" w:hAnsi="Tahoma" w:cs="Tahoma"/>
          <w:sz w:val="32"/>
          <w:szCs w:val="32"/>
        </w:rPr>
        <w:footnoteReference w:id="19"/>
      </w:r>
      <w:r w:rsidR="00E87D2A">
        <w:rPr>
          <w:rFonts w:ascii="Tahoma" w:hAnsi="Tahoma" w:cs="Tahoma"/>
          <w:sz w:val="32"/>
          <w:szCs w:val="32"/>
        </w:rPr>
        <w:t xml:space="preserve"> that requires they be treated not with kid gloves but with an awareness of their unique stage of life.  </w:t>
      </w:r>
      <w:r w:rsidR="00047CF5" w:rsidRPr="00F77E89">
        <w:rPr>
          <w:rFonts w:ascii="Tahoma" w:hAnsi="Tahoma" w:cs="Tahoma"/>
          <w:sz w:val="32"/>
          <w:szCs w:val="32"/>
        </w:rPr>
        <w:t xml:space="preserve">In the terms of reference, </w:t>
      </w:r>
      <w:r w:rsidR="003E40B1">
        <w:rPr>
          <w:rFonts w:ascii="Tahoma" w:hAnsi="Tahoma" w:cs="Tahoma"/>
          <w:sz w:val="32"/>
          <w:szCs w:val="32"/>
        </w:rPr>
        <w:t>the Attorney-General</w:t>
      </w:r>
      <w:r w:rsidR="00985EC1">
        <w:rPr>
          <w:rFonts w:ascii="Tahoma" w:hAnsi="Tahoma" w:cs="Tahoma"/>
          <w:sz w:val="32"/>
          <w:szCs w:val="32"/>
        </w:rPr>
        <w:t xml:space="preserve"> </w:t>
      </w:r>
      <w:r w:rsidR="00047CF5" w:rsidRPr="00F77E89">
        <w:rPr>
          <w:rFonts w:ascii="Tahoma" w:hAnsi="Tahoma" w:cs="Tahoma"/>
          <w:sz w:val="32"/>
          <w:szCs w:val="32"/>
        </w:rPr>
        <w:t xml:space="preserve">requested that the </w:t>
      </w:r>
      <w:r w:rsidR="00CC2FB4">
        <w:rPr>
          <w:rFonts w:ascii="Tahoma" w:hAnsi="Tahoma" w:cs="Tahoma"/>
          <w:sz w:val="32"/>
          <w:szCs w:val="32"/>
        </w:rPr>
        <w:t xml:space="preserve">two </w:t>
      </w:r>
      <w:r w:rsidR="00047CF5" w:rsidRPr="00F77E89">
        <w:rPr>
          <w:rFonts w:ascii="Tahoma" w:hAnsi="Tahoma" w:cs="Tahoma"/>
          <w:sz w:val="32"/>
          <w:szCs w:val="32"/>
        </w:rPr>
        <w:t xml:space="preserve">Commissions ‘have regard to </w:t>
      </w:r>
      <w:r w:rsidR="003E40B1">
        <w:rPr>
          <w:rFonts w:ascii="Tahoma" w:hAnsi="Tahoma" w:cs="Tahoma"/>
          <w:sz w:val="32"/>
          <w:szCs w:val="32"/>
        </w:rPr>
        <w:t>[th</w:t>
      </w:r>
      <w:r w:rsidR="00E87D2A">
        <w:rPr>
          <w:rFonts w:ascii="Tahoma" w:hAnsi="Tahoma" w:cs="Tahoma"/>
          <w:sz w:val="32"/>
          <w:szCs w:val="32"/>
        </w:rPr>
        <w:t>e</w:t>
      </w:r>
      <w:r w:rsidR="003E40B1">
        <w:rPr>
          <w:rFonts w:ascii="Tahoma" w:hAnsi="Tahoma" w:cs="Tahoma"/>
          <w:sz w:val="32"/>
          <w:szCs w:val="32"/>
        </w:rPr>
        <w:t xml:space="preserve"> </w:t>
      </w:r>
      <w:r w:rsidR="00E87D2A">
        <w:rPr>
          <w:rFonts w:ascii="Tahoma" w:hAnsi="Tahoma" w:cs="Tahoma"/>
          <w:sz w:val="32"/>
          <w:szCs w:val="32"/>
        </w:rPr>
        <w:t xml:space="preserve">special </w:t>
      </w:r>
      <w:r w:rsidR="003E40B1">
        <w:rPr>
          <w:rFonts w:ascii="Tahoma" w:hAnsi="Tahoma" w:cs="Tahoma"/>
          <w:sz w:val="32"/>
          <w:szCs w:val="32"/>
        </w:rPr>
        <w:t>responsibility]</w:t>
      </w:r>
      <w:r w:rsidR="00047CF5" w:rsidRPr="00F77E89">
        <w:rPr>
          <w:rFonts w:ascii="Tahoma" w:hAnsi="Tahoma" w:cs="Tahoma"/>
          <w:sz w:val="32"/>
          <w:szCs w:val="32"/>
        </w:rPr>
        <w:t xml:space="preserve"> arising under the Constitution and Australia’s international human rights obligations, particularly under the Convention on the Rights of the Child’.</w:t>
      </w:r>
      <w:r w:rsidR="00047CF5" w:rsidRPr="00F77E89">
        <w:rPr>
          <w:rStyle w:val="FootnoteReference"/>
          <w:rFonts w:ascii="Tahoma" w:hAnsi="Tahoma" w:cs="Tahoma"/>
          <w:sz w:val="32"/>
          <w:szCs w:val="32"/>
        </w:rPr>
        <w:footnoteReference w:id="20"/>
      </w:r>
    </w:p>
    <w:p w14:paraId="4DCA129A" w14:textId="77777777" w:rsidR="00047CF5" w:rsidRDefault="00047CF5" w:rsidP="00ED020B">
      <w:pPr>
        <w:spacing w:after="0" w:line="360" w:lineRule="auto"/>
        <w:jc w:val="both"/>
        <w:rPr>
          <w:rFonts w:ascii="Tahoma" w:hAnsi="Tahoma" w:cs="Tahoma"/>
          <w:sz w:val="32"/>
          <w:szCs w:val="32"/>
        </w:rPr>
      </w:pPr>
    </w:p>
    <w:p w14:paraId="1832B615" w14:textId="261A3635" w:rsidR="00E302EC"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 xml:space="preserve">The Commissions published their report </w:t>
      </w:r>
      <w:r w:rsidR="009541D6">
        <w:rPr>
          <w:rFonts w:ascii="Tahoma" w:hAnsi="Tahoma" w:cs="Tahoma"/>
          <w:sz w:val="32"/>
          <w:szCs w:val="32"/>
        </w:rPr>
        <w:t>en</w:t>
      </w:r>
      <w:r w:rsidRPr="00F77E89">
        <w:rPr>
          <w:rFonts w:ascii="Tahoma" w:hAnsi="Tahoma" w:cs="Tahoma"/>
          <w:sz w:val="32"/>
          <w:szCs w:val="32"/>
        </w:rPr>
        <w:t xml:space="preserve">titled </w:t>
      </w:r>
      <w:r w:rsidRPr="00F77E89">
        <w:rPr>
          <w:rFonts w:ascii="Tahoma" w:hAnsi="Tahoma" w:cs="Tahoma"/>
          <w:i/>
          <w:sz w:val="32"/>
          <w:szCs w:val="32"/>
        </w:rPr>
        <w:t xml:space="preserve">Seen and Heard: </w:t>
      </w:r>
      <w:r w:rsidRPr="00F77E89">
        <w:rPr>
          <w:rFonts w:ascii="Tahoma" w:hAnsi="Tahoma" w:cs="Tahoma"/>
          <w:sz w:val="32"/>
          <w:szCs w:val="32"/>
        </w:rPr>
        <w:t xml:space="preserve">on 19 November 1997.  The Report noted that numerous preceding papers repeated ‘concerns about successive generations </w:t>
      </w:r>
      <w:r w:rsidRPr="00F77E89">
        <w:rPr>
          <w:rFonts w:ascii="Tahoma" w:hAnsi="Tahoma" w:cs="Tahoma"/>
          <w:sz w:val="32"/>
          <w:szCs w:val="32"/>
        </w:rPr>
        <w:lastRenderedPageBreak/>
        <w:t>of children’.</w:t>
      </w:r>
      <w:r w:rsidRPr="00F77E89">
        <w:rPr>
          <w:rStyle w:val="FootnoteReference"/>
          <w:rFonts w:ascii="Tahoma" w:hAnsi="Tahoma" w:cs="Tahoma"/>
          <w:sz w:val="32"/>
          <w:szCs w:val="32"/>
        </w:rPr>
        <w:footnoteReference w:id="21"/>
      </w:r>
      <w:r w:rsidR="00CC2FB4">
        <w:rPr>
          <w:rFonts w:ascii="Tahoma" w:hAnsi="Tahoma" w:cs="Tahoma"/>
          <w:sz w:val="32"/>
          <w:szCs w:val="32"/>
        </w:rPr>
        <w:t xml:space="preserve"> </w:t>
      </w:r>
      <w:r w:rsidRPr="00F77E89">
        <w:rPr>
          <w:rFonts w:ascii="Tahoma" w:hAnsi="Tahoma" w:cs="Tahoma"/>
          <w:sz w:val="32"/>
          <w:szCs w:val="32"/>
        </w:rPr>
        <w:t xml:space="preserve"> The Report</w:t>
      </w:r>
      <w:r w:rsidR="009541D6">
        <w:rPr>
          <w:rFonts w:ascii="Tahoma" w:hAnsi="Tahoma" w:cs="Tahoma"/>
          <w:sz w:val="32"/>
          <w:szCs w:val="32"/>
        </w:rPr>
        <w:t>’s</w:t>
      </w:r>
      <w:r w:rsidRPr="00F77E89">
        <w:rPr>
          <w:rFonts w:ascii="Tahoma" w:hAnsi="Tahoma" w:cs="Tahoma"/>
          <w:sz w:val="32"/>
          <w:szCs w:val="32"/>
        </w:rPr>
        <w:t xml:space="preserve"> own findings were consistent with these concerns.</w:t>
      </w:r>
      <w:r w:rsidRPr="00F77E89">
        <w:rPr>
          <w:rStyle w:val="FootnoteReference"/>
          <w:rFonts w:ascii="Tahoma" w:hAnsi="Tahoma" w:cs="Tahoma"/>
          <w:sz w:val="32"/>
          <w:szCs w:val="32"/>
        </w:rPr>
        <w:footnoteReference w:id="22"/>
      </w:r>
      <w:r w:rsidRPr="00F77E89">
        <w:rPr>
          <w:rFonts w:ascii="Tahoma" w:hAnsi="Tahoma" w:cs="Tahoma"/>
          <w:sz w:val="32"/>
          <w:szCs w:val="32"/>
        </w:rPr>
        <w:t xml:space="preserve">  The Report </w:t>
      </w:r>
      <w:r w:rsidR="00CC2FB4">
        <w:rPr>
          <w:rFonts w:ascii="Tahoma" w:hAnsi="Tahoma" w:cs="Tahoma"/>
          <w:sz w:val="32"/>
          <w:szCs w:val="32"/>
        </w:rPr>
        <w:t xml:space="preserve"> </w:t>
      </w:r>
      <w:r w:rsidR="00D24F0F">
        <w:rPr>
          <w:rFonts w:ascii="Tahoma" w:hAnsi="Tahoma" w:cs="Tahoma"/>
          <w:sz w:val="32"/>
          <w:szCs w:val="32"/>
        </w:rPr>
        <w:t>said</w:t>
      </w:r>
      <w:r w:rsidR="00D24F0F" w:rsidRPr="00F77E89">
        <w:rPr>
          <w:rFonts w:ascii="Tahoma" w:hAnsi="Tahoma" w:cs="Tahoma"/>
          <w:sz w:val="32"/>
          <w:szCs w:val="32"/>
        </w:rPr>
        <w:t xml:space="preserve"> that</w:t>
      </w:r>
      <w:r w:rsidR="00E302EC">
        <w:rPr>
          <w:rFonts w:ascii="Tahoma" w:hAnsi="Tahoma" w:cs="Tahoma"/>
          <w:sz w:val="32"/>
          <w:szCs w:val="32"/>
        </w:rPr>
        <w:t>:</w:t>
      </w:r>
    </w:p>
    <w:p w14:paraId="5C3871CA" w14:textId="6C7FFCCC" w:rsidR="00047CF5" w:rsidRPr="00F77E89" w:rsidRDefault="00047CF5" w:rsidP="00992AAC">
      <w:pPr>
        <w:spacing w:after="0" w:line="240" w:lineRule="auto"/>
        <w:ind w:left="720"/>
        <w:jc w:val="both"/>
        <w:rPr>
          <w:rFonts w:ascii="Tahoma" w:hAnsi="Tahoma" w:cs="Tahoma"/>
          <w:sz w:val="32"/>
          <w:szCs w:val="32"/>
        </w:rPr>
      </w:pPr>
      <w:r w:rsidRPr="00F77E89">
        <w:rPr>
          <w:rFonts w:ascii="Tahoma" w:hAnsi="Tahoma" w:cs="Tahoma"/>
          <w:sz w:val="32"/>
          <w:szCs w:val="32"/>
        </w:rPr>
        <w:t xml:space="preserve"> ‘Australia’s legal processes ha[d] consistently failed to recognise the [fact that Australia’s children were its future] by ignoring, marginalising and mistreating the children who turn[</w:t>
      </w:r>
      <w:proofErr w:type="spellStart"/>
      <w:r w:rsidRPr="00F77E89">
        <w:rPr>
          <w:rFonts w:ascii="Tahoma" w:hAnsi="Tahoma" w:cs="Tahoma"/>
          <w:sz w:val="32"/>
          <w:szCs w:val="32"/>
        </w:rPr>
        <w:t>ed</w:t>
      </w:r>
      <w:proofErr w:type="spellEnd"/>
      <w:r w:rsidRPr="00F77E89">
        <w:rPr>
          <w:rFonts w:ascii="Tahoma" w:hAnsi="Tahoma" w:cs="Tahoma"/>
          <w:sz w:val="32"/>
          <w:szCs w:val="32"/>
        </w:rPr>
        <w:t>] to them for assistance’.</w:t>
      </w:r>
      <w:r w:rsidRPr="00F77E89">
        <w:rPr>
          <w:rStyle w:val="FootnoteReference"/>
          <w:rFonts w:ascii="Tahoma" w:hAnsi="Tahoma" w:cs="Tahoma"/>
          <w:sz w:val="32"/>
          <w:szCs w:val="32"/>
        </w:rPr>
        <w:footnoteReference w:id="23"/>
      </w:r>
    </w:p>
    <w:p w14:paraId="7C724180" w14:textId="77777777" w:rsidR="00047CF5" w:rsidRPr="00F77E89" w:rsidRDefault="00047CF5" w:rsidP="00ED020B">
      <w:pPr>
        <w:spacing w:after="0" w:line="360" w:lineRule="auto"/>
        <w:jc w:val="both"/>
        <w:rPr>
          <w:rFonts w:ascii="Tahoma" w:hAnsi="Tahoma" w:cs="Tahoma"/>
          <w:sz w:val="32"/>
          <w:szCs w:val="32"/>
        </w:rPr>
      </w:pPr>
    </w:p>
    <w:p w14:paraId="4647B3A6" w14:textId="26DF6CDD" w:rsidR="00047CF5" w:rsidRPr="00F77E89" w:rsidRDefault="007D70AC" w:rsidP="00ED020B">
      <w:pPr>
        <w:spacing w:after="0" w:line="360" w:lineRule="auto"/>
        <w:ind w:firstLine="720"/>
        <w:jc w:val="both"/>
        <w:rPr>
          <w:rFonts w:ascii="Tahoma" w:hAnsi="Tahoma" w:cs="Tahoma"/>
          <w:sz w:val="32"/>
          <w:szCs w:val="32"/>
        </w:rPr>
      </w:pPr>
      <w:r>
        <w:rPr>
          <w:rFonts w:ascii="Tahoma" w:hAnsi="Tahoma" w:cs="Tahoma"/>
          <w:sz w:val="32"/>
          <w:szCs w:val="32"/>
        </w:rPr>
        <w:t>A</w:t>
      </w:r>
      <w:r w:rsidR="00047CF5" w:rsidRPr="00F77E89">
        <w:rPr>
          <w:rFonts w:ascii="Tahoma" w:hAnsi="Tahoma" w:cs="Tahoma"/>
          <w:sz w:val="32"/>
          <w:szCs w:val="32"/>
        </w:rPr>
        <w:t xml:space="preserve">mongst the many failures compiled by </w:t>
      </w:r>
      <w:r w:rsidR="00047CF5" w:rsidRPr="008676F8">
        <w:rPr>
          <w:rFonts w:ascii="Tahoma" w:hAnsi="Tahoma" w:cs="Tahoma"/>
          <w:sz w:val="32"/>
          <w:szCs w:val="32"/>
        </w:rPr>
        <w:t xml:space="preserve">the </w:t>
      </w:r>
      <w:r w:rsidR="00CC2FB4" w:rsidRPr="00992AAC">
        <w:rPr>
          <w:rFonts w:ascii="Tahoma" w:hAnsi="Tahoma" w:cs="Tahoma"/>
          <w:sz w:val="32"/>
          <w:szCs w:val="32"/>
        </w:rPr>
        <w:t>joint</w:t>
      </w:r>
      <w:r w:rsidR="00CC2FB4">
        <w:rPr>
          <w:rFonts w:ascii="Tahoma" w:hAnsi="Tahoma" w:cs="Tahoma"/>
          <w:sz w:val="32"/>
          <w:szCs w:val="32"/>
        </w:rPr>
        <w:t xml:space="preserve"> </w:t>
      </w:r>
      <w:r w:rsidR="00047CF5" w:rsidRPr="00F77E89">
        <w:rPr>
          <w:rFonts w:ascii="Tahoma" w:hAnsi="Tahoma" w:cs="Tahoma"/>
          <w:sz w:val="32"/>
          <w:szCs w:val="32"/>
        </w:rPr>
        <w:t>Commissions</w:t>
      </w:r>
      <w:r>
        <w:rPr>
          <w:rFonts w:ascii="Tahoma" w:hAnsi="Tahoma" w:cs="Tahoma"/>
          <w:sz w:val="32"/>
          <w:szCs w:val="32"/>
        </w:rPr>
        <w:t xml:space="preserve"> in the </w:t>
      </w:r>
      <w:r w:rsidR="00FB42B5">
        <w:rPr>
          <w:rFonts w:ascii="Tahoma" w:hAnsi="Tahoma" w:cs="Tahoma"/>
          <w:sz w:val="32"/>
          <w:szCs w:val="32"/>
        </w:rPr>
        <w:t xml:space="preserve">1997 Joint </w:t>
      </w:r>
      <w:r>
        <w:rPr>
          <w:rFonts w:ascii="Tahoma" w:hAnsi="Tahoma" w:cs="Tahoma"/>
          <w:sz w:val="32"/>
          <w:szCs w:val="32"/>
        </w:rPr>
        <w:t>Report</w:t>
      </w:r>
      <w:r w:rsidR="00047CF5" w:rsidRPr="00F77E89">
        <w:rPr>
          <w:rFonts w:ascii="Tahoma" w:hAnsi="Tahoma" w:cs="Tahoma"/>
          <w:sz w:val="32"/>
          <w:szCs w:val="32"/>
        </w:rPr>
        <w:t>, were the</w:t>
      </w:r>
      <w:r w:rsidR="00CC2FB4">
        <w:rPr>
          <w:rFonts w:ascii="Tahoma" w:hAnsi="Tahoma" w:cs="Tahoma"/>
          <w:sz w:val="32"/>
          <w:szCs w:val="32"/>
        </w:rPr>
        <w:t>se</w:t>
      </w:r>
      <w:r w:rsidR="00047CF5" w:rsidRPr="00F77E89">
        <w:rPr>
          <w:rFonts w:ascii="Tahoma" w:hAnsi="Tahoma" w:cs="Tahoma"/>
          <w:sz w:val="32"/>
          <w:szCs w:val="32"/>
        </w:rPr>
        <w:t xml:space="preserve"> </w:t>
      </w:r>
      <w:r>
        <w:rPr>
          <w:rFonts w:ascii="Tahoma" w:hAnsi="Tahoma" w:cs="Tahoma"/>
          <w:sz w:val="32"/>
          <w:szCs w:val="32"/>
        </w:rPr>
        <w:t>findings</w:t>
      </w:r>
      <w:r w:rsidR="00047CF5" w:rsidRPr="00F77E89">
        <w:rPr>
          <w:rFonts w:ascii="Tahoma" w:hAnsi="Tahoma" w:cs="Tahoma"/>
          <w:sz w:val="32"/>
          <w:szCs w:val="32"/>
        </w:rPr>
        <w:t>:</w:t>
      </w:r>
    </w:p>
    <w:p w14:paraId="47C3D3BA" w14:textId="79872D2F" w:rsidR="00047CF5" w:rsidRPr="00F77E89" w:rsidRDefault="007D70AC" w:rsidP="00ED020B">
      <w:pPr>
        <w:numPr>
          <w:ilvl w:val="0"/>
          <w:numId w:val="2"/>
        </w:numPr>
        <w:spacing w:after="0" w:line="360" w:lineRule="auto"/>
        <w:ind w:hanging="720"/>
        <w:jc w:val="both"/>
        <w:rPr>
          <w:rFonts w:ascii="Tahoma" w:hAnsi="Tahoma" w:cs="Tahoma"/>
          <w:sz w:val="32"/>
          <w:szCs w:val="32"/>
        </w:rPr>
      </w:pPr>
      <w:r>
        <w:rPr>
          <w:rFonts w:ascii="Tahoma" w:hAnsi="Tahoma" w:cs="Tahoma"/>
          <w:sz w:val="32"/>
          <w:szCs w:val="32"/>
        </w:rPr>
        <w:t>that a</w:t>
      </w:r>
      <w:r w:rsidR="00047CF5" w:rsidRPr="00F77E89">
        <w:rPr>
          <w:rFonts w:ascii="Tahoma" w:hAnsi="Tahoma" w:cs="Tahoma"/>
          <w:sz w:val="32"/>
          <w:szCs w:val="32"/>
        </w:rPr>
        <w:t xml:space="preserve"> large number of people questioned ‘the effectiveness of current detention practices in rehabilitating young offenders’ and fervently believed that there was insufficient attention ‘given to the circumstances in which detention is applied as a sentencing option and [to] the environment provided for young detainees’;</w:t>
      </w:r>
      <w:r w:rsidR="00047CF5" w:rsidRPr="00F77E89">
        <w:rPr>
          <w:rStyle w:val="FootnoteReference"/>
          <w:rFonts w:ascii="Tahoma" w:hAnsi="Tahoma" w:cs="Tahoma"/>
          <w:sz w:val="32"/>
          <w:szCs w:val="32"/>
        </w:rPr>
        <w:footnoteReference w:id="24"/>
      </w:r>
    </w:p>
    <w:p w14:paraId="3E9E5A0A" w14:textId="51DD5CDC" w:rsidR="00047CF5" w:rsidRPr="00F77E89" w:rsidRDefault="007D70AC" w:rsidP="00ED020B">
      <w:pPr>
        <w:numPr>
          <w:ilvl w:val="0"/>
          <w:numId w:val="2"/>
        </w:numPr>
        <w:spacing w:after="0" w:line="360" w:lineRule="auto"/>
        <w:ind w:hanging="720"/>
        <w:jc w:val="both"/>
        <w:rPr>
          <w:rFonts w:ascii="Tahoma" w:hAnsi="Tahoma" w:cs="Tahoma"/>
          <w:sz w:val="32"/>
          <w:szCs w:val="32"/>
        </w:rPr>
      </w:pPr>
      <w:r>
        <w:rPr>
          <w:rFonts w:ascii="Tahoma" w:hAnsi="Tahoma" w:cs="Tahoma"/>
          <w:sz w:val="32"/>
          <w:szCs w:val="32"/>
        </w:rPr>
        <w:t xml:space="preserve">that </w:t>
      </w:r>
      <w:r w:rsidR="00047CF5" w:rsidRPr="00F77E89">
        <w:rPr>
          <w:rFonts w:ascii="Tahoma" w:hAnsi="Tahoma" w:cs="Tahoma"/>
          <w:sz w:val="32"/>
          <w:szCs w:val="32"/>
        </w:rPr>
        <w:t>there was an ‘increasingly punitive approach to children in a number of juvenile justice systems’;</w:t>
      </w:r>
      <w:r w:rsidR="00047CF5" w:rsidRPr="00F77E89">
        <w:rPr>
          <w:rStyle w:val="FootnoteReference"/>
          <w:rFonts w:ascii="Tahoma" w:hAnsi="Tahoma" w:cs="Tahoma"/>
          <w:sz w:val="32"/>
          <w:szCs w:val="32"/>
        </w:rPr>
        <w:footnoteReference w:id="25"/>
      </w:r>
    </w:p>
    <w:p w14:paraId="5BF118CF" w14:textId="5E7EF9EF" w:rsidR="00047CF5" w:rsidRPr="00F77E89" w:rsidRDefault="00047CF5" w:rsidP="00ED020B">
      <w:pPr>
        <w:numPr>
          <w:ilvl w:val="0"/>
          <w:numId w:val="2"/>
        </w:numPr>
        <w:spacing w:after="0" w:line="360" w:lineRule="auto"/>
        <w:ind w:hanging="720"/>
        <w:jc w:val="both"/>
        <w:rPr>
          <w:rFonts w:ascii="Tahoma" w:hAnsi="Tahoma" w:cs="Tahoma"/>
          <w:sz w:val="32"/>
          <w:szCs w:val="32"/>
        </w:rPr>
      </w:pPr>
      <w:r w:rsidRPr="00F77E89">
        <w:rPr>
          <w:rFonts w:ascii="Tahoma" w:hAnsi="Tahoma" w:cs="Tahoma"/>
          <w:sz w:val="32"/>
          <w:szCs w:val="32"/>
        </w:rPr>
        <w:t xml:space="preserve">that there was </w:t>
      </w:r>
      <w:r w:rsidR="00E302EC">
        <w:rPr>
          <w:rFonts w:ascii="Tahoma" w:hAnsi="Tahoma" w:cs="Tahoma"/>
          <w:sz w:val="32"/>
          <w:szCs w:val="32"/>
        </w:rPr>
        <w:t xml:space="preserve">a </w:t>
      </w:r>
      <w:r w:rsidRPr="00F77E89">
        <w:rPr>
          <w:rFonts w:ascii="Tahoma" w:hAnsi="Tahoma" w:cs="Tahoma"/>
          <w:sz w:val="32"/>
          <w:szCs w:val="32"/>
        </w:rPr>
        <w:t>‘large gap between the principles and policies of some [juvenile detention] centres and their operation in practice’;</w:t>
      </w:r>
      <w:r w:rsidRPr="00F77E89">
        <w:rPr>
          <w:rStyle w:val="FootnoteReference"/>
          <w:rFonts w:ascii="Tahoma" w:hAnsi="Tahoma" w:cs="Tahoma"/>
          <w:sz w:val="32"/>
          <w:szCs w:val="32"/>
        </w:rPr>
        <w:footnoteReference w:id="26"/>
      </w:r>
    </w:p>
    <w:p w14:paraId="4B519B9C" w14:textId="20296C88" w:rsidR="00047CF5" w:rsidRPr="00F77E89" w:rsidRDefault="00047CF5" w:rsidP="00ED020B">
      <w:pPr>
        <w:numPr>
          <w:ilvl w:val="0"/>
          <w:numId w:val="2"/>
        </w:numPr>
        <w:spacing w:after="0" w:line="360" w:lineRule="auto"/>
        <w:ind w:hanging="720"/>
        <w:jc w:val="both"/>
        <w:rPr>
          <w:rFonts w:ascii="Tahoma" w:hAnsi="Tahoma" w:cs="Tahoma"/>
          <w:sz w:val="32"/>
          <w:szCs w:val="32"/>
        </w:rPr>
      </w:pPr>
      <w:r w:rsidRPr="00F77E89">
        <w:rPr>
          <w:rFonts w:ascii="Tahoma" w:hAnsi="Tahoma" w:cs="Tahoma"/>
          <w:sz w:val="32"/>
          <w:szCs w:val="32"/>
        </w:rPr>
        <w:lastRenderedPageBreak/>
        <w:t>that there were inadequate complaints mechanisms for children who suffered mistreatment in detention;</w:t>
      </w:r>
      <w:r w:rsidRPr="00F77E89">
        <w:rPr>
          <w:rStyle w:val="FootnoteReference"/>
          <w:rFonts w:ascii="Tahoma" w:hAnsi="Tahoma" w:cs="Tahoma"/>
          <w:sz w:val="32"/>
          <w:szCs w:val="32"/>
        </w:rPr>
        <w:footnoteReference w:id="27"/>
      </w:r>
      <w:r w:rsidRPr="00F77E89">
        <w:rPr>
          <w:rFonts w:ascii="Tahoma" w:hAnsi="Tahoma" w:cs="Tahoma"/>
          <w:sz w:val="32"/>
          <w:szCs w:val="32"/>
        </w:rPr>
        <w:t xml:space="preserve"> and</w:t>
      </w:r>
    </w:p>
    <w:p w14:paraId="14CB846B" w14:textId="3BD7D529" w:rsidR="00047CF5" w:rsidRDefault="007D70AC" w:rsidP="00ED020B">
      <w:pPr>
        <w:numPr>
          <w:ilvl w:val="0"/>
          <w:numId w:val="2"/>
        </w:numPr>
        <w:spacing w:after="0" w:line="360" w:lineRule="auto"/>
        <w:ind w:hanging="720"/>
        <w:jc w:val="both"/>
        <w:rPr>
          <w:rFonts w:ascii="Tahoma" w:hAnsi="Tahoma" w:cs="Tahoma"/>
          <w:sz w:val="32"/>
          <w:szCs w:val="32"/>
        </w:rPr>
      </w:pPr>
      <w:r>
        <w:rPr>
          <w:rFonts w:ascii="Tahoma" w:hAnsi="Tahoma" w:cs="Tahoma"/>
          <w:sz w:val="32"/>
          <w:szCs w:val="32"/>
        </w:rPr>
        <w:t>that there was</w:t>
      </w:r>
      <w:r w:rsidR="00047CF5" w:rsidRPr="00F77E89">
        <w:rPr>
          <w:rFonts w:ascii="Tahoma" w:hAnsi="Tahoma" w:cs="Tahoma"/>
          <w:sz w:val="32"/>
          <w:szCs w:val="32"/>
        </w:rPr>
        <w:t xml:space="preserve"> </w:t>
      </w:r>
      <w:r>
        <w:rPr>
          <w:rFonts w:ascii="Tahoma" w:hAnsi="Tahoma" w:cs="Tahoma"/>
          <w:sz w:val="32"/>
          <w:szCs w:val="32"/>
        </w:rPr>
        <w:t>a</w:t>
      </w:r>
      <w:r w:rsidR="00047CF5" w:rsidRPr="00F77E89">
        <w:rPr>
          <w:rFonts w:ascii="Tahoma" w:hAnsi="Tahoma" w:cs="Tahoma"/>
          <w:sz w:val="32"/>
          <w:szCs w:val="32"/>
        </w:rPr>
        <w:t xml:space="preserve"> </w:t>
      </w:r>
      <w:r>
        <w:rPr>
          <w:rFonts w:ascii="Tahoma" w:hAnsi="Tahoma" w:cs="Tahoma"/>
          <w:sz w:val="32"/>
          <w:szCs w:val="32"/>
        </w:rPr>
        <w:t>‘</w:t>
      </w:r>
      <w:r w:rsidR="00047CF5" w:rsidRPr="00F77E89">
        <w:rPr>
          <w:rFonts w:ascii="Tahoma" w:hAnsi="Tahoma" w:cs="Tahoma"/>
          <w:sz w:val="32"/>
          <w:szCs w:val="32"/>
        </w:rPr>
        <w:t xml:space="preserve">discriminatory impact of certain legal processes [which resulted] in the over-representation of some groups, particularly </w:t>
      </w:r>
      <w:r w:rsidR="00E302EC">
        <w:rPr>
          <w:rFonts w:ascii="Tahoma" w:hAnsi="Tahoma" w:cs="Tahoma"/>
          <w:sz w:val="32"/>
          <w:szCs w:val="32"/>
        </w:rPr>
        <w:t>i</w:t>
      </w:r>
      <w:r w:rsidR="00047CF5" w:rsidRPr="00F77E89">
        <w:rPr>
          <w:rFonts w:ascii="Tahoma" w:hAnsi="Tahoma" w:cs="Tahoma"/>
          <w:sz w:val="32"/>
          <w:szCs w:val="32"/>
        </w:rPr>
        <w:t>ndigenous children, in the juvenile justice and care and protection systems’.</w:t>
      </w:r>
      <w:r w:rsidR="00047CF5" w:rsidRPr="00F77E89">
        <w:rPr>
          <w:rStyle w:val="FootnoteReference"/>
          <w:rFonts w:ascii="Tahoma" w:hAnsi="Tahoma" w:cs="Tahoma"/>
          <w:sz w:val="32"/>
          <w:szCs w:val="32"/>
        </w:rPr>
        <w:footnoteReference w:id="28"/>
      </w:r>
      <w:r w:rsidR="00047CF5" w:rsidRPr="00F77E89">
        <w:rPr>
          <w:rFonts w:ascii="Tahoma" w:hAnsi="Tahoma" w:cs="Tahoma"/>
          <w:sz w:val="32"/>
          <w:szCs w:val="32"/>
        </w:rPr>
        <w:t xml:space="preserve"> </w:t>
      </w:r>
    </w:p>
    <w:p w14:paraId="1D8190B7" w14:textId="77777777" w:rsidR="00F77E89" w:rsidRDefault="00F77E89" w:rsidP="00ED020B">
      <w:pPr>
        <w:spacing w:after="0" w:line="360" w:lineRule="auto"/>
        <w:ind w:left="720"/>
        <w:jc w:val="both"/>
        <w:rPr>
          <w:rFonts w:ascii="Tahoma" w:hAnsi="Tahoma" w:cs="Tahoma"/>
          <w:sz w:val="32"/>
          <w:szCs w:val="32"/>
        </w:rPr>
      </w:pPr>
    </w:p>
    <w:p w14:paraId="112EBC7E" w14:textId="621964D4" w:rsidR="009541D6" w:rsidRDefault="009541D6" w:rsidP="00ED020B">
      <w:pPr>
        <w:spacing w:after="0" w:line="360" w:lineRule="auto"/>
        <w:ind w:left="720"/>
        <w:jc w:val="both"/>
        <w:rPr>
          <w:rFonts w:ascii="Tahoma" w:hAnsi="Tahoma" w:cs="Tahoma"/>
          <w:sz w:val="32"/>
          <w:szCs w:val="32"/>
        </w:rPr>
      </w:pPr>
      <w:r>
        <w:rPr>
          <w:rFonts w:ascii="Tahoma" w:hAnsi="Tahoma" w:cs="Tahoma"/>
          <w:sz w:val="32"/>
          <w:szCs w:val="32"/>
        </w:rPr>
        <w:t xml:space="preserve">All that in 1997, almost 20 years </w:t>
      </w:r>
      <w:r w:rsidR="003E40B1">
        <w:rPr>
          <w:rFonts w:ascii="Tahoma" w:hAnsi="Tahoma" w:cs="Tahoma"/>
          <w:sz w:val="32"/>
          <w:szCs w:val="32"/>
        </w:rPr>
        <w:t>ago</w:t>
      </w:r>
      <w:r>
        <w:rPr>
          <w:rFonts w:ascii="Tahoma" w:hAnsi="Tahoma" w:cs="Tahoma"/>
          <w:sz w:val="32"/>
          <w:szCs w:val="32"/>
        </w:rPr>
        <w:t>.</w:t>
      </w:r>
    </w:p>
    <w:p w14:paraId="4B321B2A" w14:textId="77777777" w:rsidR="00047CF5" w:rsidRPr="00F77E89" w:rsidRDefault="00047CF5" w:rsidP="00ED020B">
      <w:pPr>
        <w:spacing w:after="0" w:line="360" w:lineRule="auto"/>
        <w:jc w:val="both"/>
        <w:rPr>
          <w:rFonts w:ascii="Tahoma" w:hAnsi="Tahoma" w:cs="Tahoma"/>
          <w:sz w:val="32"/>
          <w:szCs w:val="32"/>
        </w:rPr>
      </w:pPr>
    </w:p>
    <w:p w14:paraId="5C48F55F" w14:textId="64601FD2"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With respect to international obligations</w:t>
      </w:r>
      <w:r w:rsidR="009541D6">
        <w:rPr>
          <w:rFonts w:ascii="Tahoma" w:hAnsi="Tahoma" w:cs="Tahoma"/>
          <w:sz w:val="32"/>
          <w:szCs w:val="32"/>
        </w:rPr>
        <w:t>,</w:t>
      </w:r>
      <w:r w:rsidRPr="00F77E89">
        <w:rPr>
          <w:rFonts w:ascii="Tahoma" w:hAnsi="Tahoma" w:cs="Tahoma"/>
          <w:sz w:val="32"/>
          <w:szCs w:val="32"/>
        </w:rPr>
        <w:t xml:space="preserve"> the </w:t>
      </w:r>
      <w:r w:rsidR="003A22F8">
        <w:rPr>
          <w:rFonts w:ascii="Tahoma" w:hAnsi="Tahoma" w:cs="Tahoma"/>
          <w:sz w:val="32"/>
          <w:szCs w:val="32"/>
        </w:rPr>
        <w:t>J</w:t>
      </w:r>
      <w:r w:rsidR="00E302EC">
        <w:rPr>
          <w:rFonts w:ascii="Tahoma" w:hAnsi="Tahoma" w:cs="Tahoma"/>
          <w:sz w:val="32"/>
          <w:szCs w:val="32"/>
        </w:rPr>
        <w:t xml:space="preserve">oint </w:t>
      </w:r>
      <w:r w:rsidRPr="00F77E89">
        <w:rPr>
          <w:rFonts w:ascii="Tahoma" w:hAnsi="Tahoma" w:cs="Tahoma"/>
          <w:sz w:val="32"/>
          <w:szCs w:val="32"/>
        </w:rPr>
        <w:t>Report concluded that there were ‘significant breaches of [</w:t>
      </w:r>
      <w:r w:rsidR="00CC2FB4">
        <w:rPr>
          <w:rFonts w:ascii="Tahoma" w:hAnsi="Tahoma" w:cs="Tahoma"/>
          <w:sz w:val="32"/>
          <w:szCs w:val="32"/>
        </w:rPr>
        <w:t xml:space="preserve">the </w:t>
      </w:r>
      <w:r w:rsidRPr="00F77E89">
        <w:rPr>
          <w:rFonts w:ascii="Tahoma" w:hAnsi="Tahoma" w:cs="Tahoma"/>
          <w:sz w:val="32"/>
          <w:szCs w:val="32"/>
        </w:rPr>
        <w:t>Convention on the Rights of the Child] commitments on the part of federal, State and Territory governments’.</w:t>
      </w:r>
      <w:r w:rsidRPr="00F77E89">
        <w:rPr>
          <w:rStyle w:val="FootnoteReference"/>
          <w:rFonts w:ascii="Tahoma" w:hAnsi="Tahoma" w:cs="Tahoma"/>
          <w:sz w:val="32"/>
          <w:szCs w:val="32"/>
        </w:rPr>
        <w:footnoteReference w:id="29"/>
      </w:r>
    </w:p>
    <w:p w14:paraId="75FA128D" w14:textId="77777777" w:rsidR="00047CF5" w:rsidRPr="00F77E89" w:rsidRDefault="00047CF5" w:rsidP="00ED020B">
      <w:pPr>
        <w:spacing w:after="0" w:line="360" w:lineRule="auto"/>
        <w:jc w:val="both"/>
        <w:rPr>
          <w:rFonts w:ascii="Tahoma" w:hAnsi="Tahoma" w:cs="Tahoma"/>
          <w:sz w:val="32"/>
          <w:szCs w:val="32"/>
        </w:rPr>
      </w:pPr>
    </w:p>
    <w:p w14:paraId="11C1C4E9" w14:textId="6F64C709"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 xml:space="preserve">Unsurprisingly, one of the major recommendations of the </w:t>
      </w:r>
      <w:r w:rsidR="00EA311E">
        <w:rPr>
          <w:rFonts w:ascii="Tahoma" w:hAnsi="Tahoma" w:cs="Tahoma"/>
          <w:sz w:val="32"/>
          <w:szCs w:val="32"/>
        </w:rPr>
        <w:t xml:space="preserve">Joint </w:t>
      </w:r>
      <w:r w:rsidRPr="00F77E89">
        <w:rPr>
          <w:rFonts w:ascii="Tahoma" w:hAnsi="Tahoma" w:cs="Tahoma"/>
          <w:sz w:val="32"/>
          <w:szCs w:val="32"/>
        </w:rPr>
        <w:t>Report was that the mandatory detention regimes</w:t>
      </w:r>
      <w:r w:rsidR="00E302EC">
        <w:rPr>
          <w:rFonts w:ascii="Tahoma" w:hAnsi="Tahoma" w:cs="Tahoma"/>
          <w:sz w:val="32"/>
          <w:szCs w:val="32"/>
        </w:rPr>
        <w:t>,</w:t>
      </w:r>
      <w:r w:rsidRPr="00F77E89">
        <w:rPr>
          <w:rFonts w:ascii="Tahoma" w:hAnsi="Tahoma" w:cs="Tahoma"/>
          <w:sz w:val="32"/>
          <w:szCs w:val="32"/>
        </w:rPr>
        <w:t xml:space="preserve"> that were introduced in Western Australia and the Northern Territory in 1996</w:t>
      </w:r>
      <w:r w:rsidR="00E302EC">
        <w:rPr>
          <w:rFonts w:ascii="Tahoma" w:hAnsi="Tahoma" w:cs="Tahoma"/>
          <w:sz w:val="32"/>
          <w:szCs w:val="32"/>
        </w:rPr>
        <w:t>,</w:t>
      </w:r>
      <w:r w:rsidRPr="00F77E89">
        <w:rPr>
          <w:rFonts w:ascii="Tahoma" w:hAnsi="Tahoma" w:cs="Tahoma"/>
          <w:sz w:val="32"/>
          <w:szCs w:val="32"/>
        </w:rPr>
        <w:t xml:space="preserve"> should be repealed.</w:t>
      </w:r>
      <w:r w:rsidRPr="00F77E89">
        <w:rPr>
          <w:rStyle w:val="FootnoteReference"/>
          <w:rFonts w:ascii="Tahoma" w:hAnsi="Tahoma" w:cs="Tahoma"/>
          <w:sz w:val="32"/>
          <w:szCs w:val="32"/>
        </w:rPr>
        <w:footnoteReference w:id="30"/>
      </w:r>
      <w:r w:rsidRPr="00F77E89">
        <w:rPr>
          <w:rFonts w:ascii="Tahoma" w:hAnsi="Tahoma" w:cs="Tahoma"/>
          <w:sz w:val="32"/>
          <w:szCs w:val="32"/>
        </w:rPr>
        <w:t xml:space="preserve">  The Northern Territory’s system provided that a young person found guilty of more than one property offence had to be imprisoned, no matter the severity of the second </w:t>
      </w:r>
      <w:r w:rsidRPr="00F77E89">
        <w:rPr>
          <w:rFonts w:ascii="Tahoma" w:hAnsi="Tahoma" w:cs="Tahoma"/>
          <w:sz w:val="32"/>
          <w:szCs w:val="32"/>
        </w:rPr>
        <w:lastRenderedPageBreak/>
        <w:t>offence.</w:t>
      </w:r>
      <w:r w:rsidRPr="00F77E89">
        <w:rPr>
          <w:rStyle w:val="FootnoteReference"/>
          <w:rFonts w:ascii="Tahoma" w:hAnsi="Tahoma" w:cs="Tahoma"/>
          <w:sz w:val="32"/>
          <w:szCs w:val="32"/>
        </w:rPr>
        <w:footnoteReference w:id="31"/>
      </w:r>
      <w:r w:rsidRPr="00F77E89">
        <w:rPr>
          <w:rFonts w:ascii="Tahoma" w:hAnsi="Tahoma" w:cs="Tahoma"/>
          <w:sz w:val="32"/>
          <w:szCs w:val="32"/>
        </w:rPr>
        <w:t xml:space="preserve">  The statute in Western Australia provided that a juvenile or adult must be imprisoned for at least 12 months if they were convicted of a home burglary for a third time.</w:t>
      </w:r>
      <w:r w:rsidRPr="00F77E89">
        <w:rPr>
          <w:rStyle w:val="FootnoteReference"/>
          <w:rFonts w:ascii="Tahoma" w:hAnsi="Tahoma" w:cs="Tahoma"/>
          <w:sz w:val="32"/>
          <w:szCs w:val="32"/>
        </w:rPr>
        <w:footnoteReference w:id="32"/>
      </w:r>
    </w:p>
    <w:p w14:paraId="51ABD651" w14:textId="77777777" w:rsidR="00047CF5" w:rsidRPr="00F77E89" w:rsidRDefault="00047CF5" w:rsidP="00ED020B">
      <w:pPr>
        <w:spacing w:after="0" w:line="360" w:lineRule="auto"/>
        <w:jc w:val="both"/>
        <w:rPr>
          <w:rFonts w:ascii="Tahoma" w:hAnsi="Tahoma" w:cs="Tahoma"/>
          <w:sz w:val="32"/>
          <w:szCs w:val="32"/>
        </w:rPr>
      </w:pPr>
    </w:p>
    <w:p w14:paraId="4849B9B1" w14:textId="4E57A051"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In 1999 (two years after the report), a</w:t>
      </w:r>
      <w:r w:rsidR="006F7493">
        <w:rPr>
          <w:rFonts w:ascii="Tahoma" w:hAnsi="Tahoma" w:cs="Tahoma"/>
          <w:sz w:val="32"/>
          <w:szCs w:val="32"/>
        </w:rPr>
        <w:t>n opposition</w:t>
      </w:r>
      <w:r w:rsidRPr="00F77E89">
        <w:rPr>
          <w:rFonts w:ascii="Tahoma" w:hAnsi="Tahoma" w:cs="Tahoma"/>
          <w:sz w:val="32"/>
          <w:szCs w:val="32"/>
        </w:rPr>
        <w:t xml:space="preserve"> bill was introduced into federal parliament titled the Human Rights (Mandatory Sentencing of Juvenile Offenders) Bill 1999 (</w:t>
      </w:r>
      <w:proofErr w:type="spellStart"/>
      <w:r w:rsidRPr="00F77E89">
        <w:rPr>
          <w:rFonts w:ascii="Tahoma" w:hAnsi="Tahoma" w:cs="Tahoma"/>
          <w:sz w:val="32"/>
          <w:szCs w:val="32"/>
        </w:rPr>
        <w:t>Cth</w:t>
      </w:r>
      <w:proofErr w:type="spellEnd"/>
      <w:r w:rsidRPr="00F77E89">
        <w:rPr>
          <w:rFonts w:ascii="Tahoma" w:hAnsi="Tahoma" w:cs="Tahoma"/>
          <w:sz w:val="32"/>
          <w:szCs w:val="32"/>
        </w:rPr>
        <w:t>).  The bill included a section which read:</w:t>
      </w:r>
    </w:p>
    <w:p w14:paraId="4F659417" w14:textId="238C5814" w:rsidR="00047CF5" w:rsidRDefault="00047CF5" w:rsidP="00ED020B">
      <w:pPr>
        <w:spacing w:after="0" w:line="240" w:lineRule="auto"/>
        <w:ind w:left="720"/>
        <w:jc w:val="both"/>
        <w:rPr>
          <w:rFonts w:ascii="Tahoma" w:hAnsi="Tahoma" w:cs="Tahoma"/>
          <w:sz w:val="32"/>
          <w:szCs w:val="32"/>
        </w:rPr>
      </w:pPr>
      <w:r w:rsidRPr="00F77E89">
        <w:rPr>
          <w:rFonts w:ascii="Tahoma" w:hAnsi="Tahoma" w:cs="Tahoma"/>
          <w:sz w:val="32"/>
          <w:szCs w:val="32"/>
        </w:rPr>
        <w:t xml:space="preserve">A law of the Commonwealth, or of a State or of a Territory </w:t>
      </w:r>
      <w:r w:rsidRPr="00D02A27">
        <w:rPr>
          <w:rFonts w:ascii="Tahoma" w:hAnsi="Tahoma" w:cs="Tahoma"/>
          <w:i/>
          <w:sz w:val="32"/>
          <w:szCs w:val="32"/>
        </w:rPr>
        <w:t>must not require a court to sentence a person to imprisonment or detention for an offence committed as a child</w:t>
      </w:r>
      <w:r w:rsidRPr="00F77E89">
        <w:rPr>
          <w:rFonts w:ascii="Tahoma" w:hAnsi="Tahoma" w:cs="Tahoma"/>
          <w:sz w:val="32"/>
          <w:szCs w:val="32"/>
        </w:rPr>
        <w:t>.</w:t>
      </w:r>
      <w:r w:rsidRPr="00F77E89">
        <w:rPr>
          <w:rStyle w:val="FootnoteReference"/>
          <w:rFonts w:ascii="Tahoma" w:hAnsi="Tahoma" w:cs="Tahoma"/>
          <w:sz w:val="32"/>
          <w:szCs w:val="32"/>
        </w:rPr>
        <w:footnoteReference w:id="33"/>
      </w:r>
      <w:r w:rsidR="00D02A27">
        <w:rPr>
          <w:rFonts w:ascii="Tahoma" w:hAnsi="Tahoma" w:cs="Tahoma"/>
          <w:sz w:val="32"/>
          <w:szCs w:val="32"/>
        </w:rPr>
        <w:t xml:space="preserve"> (my emphasis)</w:t>
      </w:r>
    </w:p>
    <w:p w14:paraId="2E01D84D" w14:textId="77777777" w:rsidR="00F77E89" w:rsidRPr="00F77E89" w:rsidRDefault="00F77E89" w:rsidP="00ED020B">
      <w:pPr>
        <w:spacing w:after="0" w:line="240" w:lineRule="auto"/>
        <w:ind w:left="720"/>
        <w:jc w:val="both"/>
        <w:rPr>
          <w:rFonts w:ascii="Tahoma" w:hAnsi="Tahoma" w:cs="Tahoma"/>
          <w:sz w:val="32"/>
          <w:szCs w:val="32"/>
        </w:rPr>
      </w:pPr>
    </w:p>
    <w:p w14:paraId="7DF183EE" w14:textId="12AE1075" w:rsidR="00CC2FB4"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 xml:space="preserve">The bill noted that it was intended to implement Australia’s human rights obligations under Articles 37(b) and 40(4) of the Convention on the Rights of the Child.  The bill </w:t>
      </w:r>
      <w:r w:rsidR="006F7493">
        <w:rPr>
          <w:rFonts w:ascii="Tahoma" w:hAnsi="Tahoma" w:cs="Tahoma"/>
          <w:sz w:val="32"/>
          <w:szCs w:val="32"/>
        </w:rPr>
        <w:t>passed through the Senate but evidently the Government did not support the Bill</w:t>
      </w:r>
      <w:r w:rsidRPr="00F77E89">
        <w:rPr>
          <w:rFonts w:ascii="Tahoma" w:hAnsi="Tahoma" w:cs="Tahoma"/>
          <w:sz w:val="32"/>
          <w:szCs w:val="32"/>
        </w:rPr>
        <w:t>.</w:t>
      </w:r>
      <w:r w:rsidR="00CC2FB4">
        <w:rPr>
          <w:rFonts w:ascii="Tahoma" w:hAnsi="Tahoma" w:cs="Tahoma"/>
          <w:sz w:val="32"/>
          <w:szCs w:val="32"/>
        </w:rPr>
        <w:t xml:space="preserve"> </w:t>
      </w:r>
    </w:p>
    <w:p w14:paraId="4B798BC4" w14:textId="77777777" w:rsidR="00E302EC" w:rsidRDefault="00E302EC" w:rsidP="00ED020B">
      <w:pPr>
        <w:spacing w:after="0" w:line="360" w:lineRule="auto"/>
        <w:ind w:firstLine="720"/>
        <w:jc w:val="both"/>
        <w:rPr>
          <w:rFonts w:ascii="Tahoma" w:hAnsi="Tahoma" w:cs="Tahoma"/>
          <w:sz w:val="32"/>
          <w:szCs w:val="32"/>
        </w:rPr>
      </w:pPr>
    </w:p>
    <w:p w14:paraId="2E2CE277" w14:textId="77777777"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The following year, another bill was introduced into federal parliament.  This echoed the provision in its predecessor but with a limitation; it read:</w:t>
      </w:r>
    </w:p>
    <w:p w14:paraId="0AF8C5ED" w14:textId="77777777" w:rsidR="00047CF5" w:rsidRDefault="00047CF5" w:rsidP="00ED020B">
      <w:pPr>
        <w:spacing w:after="0" w:line="240" w:lineRule="auto"/>
        <w:ind w:left="720"/>
        <w:jc w:val="both"/>
        <w:rPr>
          <w:rFonts w:ascii="Tahoma" w:hAnsi="Tahoma" w:cs="Tahoma"/>
          <w:sz w:val="32"/>
          <w:szCs w:val="32"/>
        </w:rPr>
      </w:pPr>
      <w:r w:rsidRPr="00F77E89">
        <w:rPr>
          <w:rFonts w:ascii="Tahoma" w:hAnsi="Tahoma" w:cs="Tahoma"/>
          <w:sz w:val="32"/>
          <w:szCs w:val="32"/>
        </w:rPr>
        <w:t xml:space="preserve">A law of the Commonwealth or of a State or of a Territory must not require a court to sentence a person to </w:t>
      </w:r>
      <w:r w:rsidRPr="00F77E89">
        <w:rPr>
          <w:rFonts w:ascii="Tahoma" w:hAnsi="Tahoma" w:cs="Tahoma"/>
          <w:sz w:val="32"/>
          <w:szCs w:val="32"/>
        </w:rPr>
        <w:lastRenderedPageBreak/>
        <w:t xml:space="preserve">imprisonment or detention for a </w:t>
      </w:r>
      <w:r w:rsidRPr="00F77E89">
        <w:rPr>
          <w:rFonts w:ascii="Tahoma" w:hAnsi="Tahoma" w:cs="Tahoma"/>
          <w:i/>
          <w:sz w:val="32"/>
          <w:szCs w:val="32"/>
        </w:rPr>
        <w:t>property</w:t>
      </w:r>
      <w:r w:rsidRPr="00F77E89">
        <w:rPr>
          <w:rFonts w:ascii="Tahoma" w:hAnsi="Tahoma" w:cs="Tahoma"/>
          <w:sz w:val="32"/>
          <w:szCs w:val="32"/>
        </w:rPr>
        <w:t xml:space="preserve"> offence committed as a child.</w:t>
      </w:r>
      <w:r w:rsidRPr="00F77E89">
        <w:rPr>
          <w:rStyle w:val="FootnoteReference"/>
          <w:rFonts w:ascii="Tahoma" w:hAnsi="Tahoma" w:cs="Tahoma"/>
          <w:sz w:val="32"/>
          <w:szCs w:val="32"/>
        </w:rPr>
        <w:footnoteReference w:id="34"/>
      </w:r>
    </w:p>
    <w:p w14:paraId="16DABDBA" w14:textId="77777777" w:rsidR="00F77E89" w:rsidRPr="00F77E89" w:rsidRDefault="00F77E89" w:rsidP="00ED020B">
      <w:pPr>
        <w:spacing w:after="0" w:line="240" w:lineRule="auto"/>
        <w:ind w:left="720"/>
        <w:jc w:val="both"/>
        <w:rPr>
          <w:rFonts w:ascii="Tahoma" w:hAnsi="Tahoma" w:cs="Tahoma"/>
          <w:sz w:val="32"/>
          <w:szCs w:val="32"/>
        </w:rPr>
      </w:pPr>
    </w:p>
    <w:p w14:paraId="04CDCEA6" w14:textId="0C30CC87" w:rsidR="00047CF5" w:rsidRPr="00F77E89" w:rsidRDefault="00047CF5" w:rsidP="00992AAC">
      <w:pPr>
        <w:spacing w:after="0" w:line="360" w:lineRule="auto"/>
        <w:ind w:firstLine="720"/>
        <w:jc w:val="both"/>
        <w:rPr>
          <w:rFonts w:ascii="Tahoma" w:hAnsi="Tahoma" w:cs="Tahoma"/>
          <w:sz w:val="32"/>
          <w:szCs w:val="32"/>
        </w:rPr>
      </w:pPr>
      <w:r w:rsidRPr="00F77E89">
        <w:rPr>
          <w:rFonts w:ascii="Tahoma" w:hAnsi="Tahoma" w:cs="Tahoma"/>
          <w:sz w:val="32"/>
          <w:szCs w:val="32"/>
        </w:rPr>
        <w:t xml:space="preserve">This too </w:t>
      </w:r>
      <w:r w:rsidR="00943C00">
        <w:rPr>
          <w:rFonts w:ascii="Tahoma" w:hAnsi="Tahoma" w:cs="Tahoma"/>
          <w:sz w:val="32"/>
          <w:szCs w:val="32"/>
        </w:rPr>
        <w:t>lapsed with no action taken</w:t>
      </w:r>
      <w:r w:rsidRPr="00F77E89">
        <w:rPr>
          <w:rFonts w:ascii="Tahoma" w:hAnsi="Tahoma" w:cs="Tahoma"/>
          <w:sz w:val="32"/>
          <w:szCs w:val="32"/>
        </w:rPr>
        <w:t>.</w:t>
      </w:r>
    </w:p>
    <w:p w14:paraId="667D5699" w14:textId="77777777" w:rsidR="00047CF5" w:rsidRPr="00F77E89" w:rsidRDefault="00047CF5" w:rsidP="00ED020B">
      <w:pPr>
        <w:spacing w:after="0" w:line="360" w:lineRule="auto"/>
        <w:jc w:val="both"/>
        <w:rPr>
          <w:rFonts w:ascii="Tahoma" w:hAnsi="Tahoma" w:cs="Tahoma"/>
          <w:sz w:val="32"/>
          <w:szCs w:val="32"/>
        </w:rPr>
      </w:pPr>
    </w:p>
    <w:p w14:paraId="7E72A475" w14:textId="2412C97A"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The Northern Territory ultimately repealed its mandatory imprisonment regime in 2001</w:t>
      </w:r>
      <w:r w:rsidR="00E302EC">
        <w:rPr>
          <w:rFonts w:ascii="Tahoma" w:hAnsi="Tahoma" w:cs="Tahoma"/>
          <w:sz w:val="32"/>
          <w:szCs w:val="32"/>
        </w:rPr>
        <w:t>.</w:t>
      </w:r>
    </w:p>
    <w:p w14:paraId="0F1C24E0" w14:textId="77777777" w:rsidR="00047CF5" w:rsidRPr="00F77E89" w:rsidRDefault="00047CF5" w:rsidP="00ED020B">
      <w:pPr>
        <w:spacing w:after="0" w:line="360" w:lineRule="auto"/>
        <w:jc w:val="both"/>
        <w:rPr>
          <w:rFonts w:ascii="Tahoma" w:hAnsi="Tahoma" w:cs="Tahoma"/>
          <w:sz w:val="32"/>
          <w:szCs w:val="32"/>
        </w:rPr>
      </w:pPr>
    </w:p>
    <w:p w14:paraId="5C1ECE11" w14:textId="7FC80E21" w:rsidR="00047CF5" w:rsidRPr="00D02A27" w:rsidRDefault="00D02A27" w:rsidP="00ED020B">
      <w:pPr>
        <w:spacing w:after="0" w:line="360" w:lineRule="auto"/>
        <w:ind w:firstLine="720"/>
        <w:jc w:val="both"/>
        <w:rPr>
          <w:rFonts w:ascii="Tahoma" w:hAnsi="Tahoma" w:cs="Tahoma"/>
          <w:sz w:val="32"/>
          <w:szCs w:val="32"/>
        </w:rPr>
      </w:pPr>
      <w:r>
        <w:rPr>
          <w:rFonts w:ascii="Tahoma" w:hAnsi="Tahoma" w:cs="Tahoma"/>
          <w:sz w:val="32"/>
          <w:szCs w:val="32"/>
        </w:rPr>
        <w:t>T</w:t>
      </w:r>
      <w:r w:rsidR="00047CF5" w:rsidRPr="00F77E89">
        <w:rPr>
          <w:rFonts w:ascii="Tahoma" w:hAnsi="Tahoma" w:cs="Tahoma"/>
          <w:sz w:val="32"/>
          <w:szCs w:val="32"/>
        </w:rPr>
        <w:t>he Western Australian regime was amended</w:t>
      </w:r>
      <w:r w:rsidR="00047CF5" w:rsidRPr="00F77E89">
        <w:rPr>
          <w:rStyle w:val="FootnoteReference"/>
          <w:rFonts w:ascii="Tahoma" w:hAnsi="Tahoma" w:cs="Tahoma"/>
          <w:sz w:val="32"/>
          <w:szCs w:val="32"/>
        </w:rPr>
        <w:footnoteReference w:id="35"/>
      </w:r>
      <w:r w:rsidR="00047CF5" w:rsidRPr="00F77E89">
        <w:rPr>
          <w:rFonts w:ascii="Tahoma" w:hAnsi="Tahoma" w:cs="Tahoma"/>
          <w:sz w:val="32"/>
          <w:szCs w:val="32"/>
        </w:rPr>
        <w:t xml:space="preserve"> </w:t>
      </w:r>
      <w:r w:rsidR="00E443F4">
        <w:rPr>
          <w:rFonts w:ascii="Tahoma" w:hAnsi="Tahoma" w:cs="Tahoma"/>
          <w:sz w:val="32"/>
          <w:szCs w:val="32"/>
        </w:rPr>
        <w:t>in</w:t>
      </w:r>
      <w:r w:rsidR="00047CF5" w:rsidRPr="00F77E89">
        <w:rPr>
          <w:rFonts w:ascii="Tahoma" w:hAnsi="Tahoma" w:cs="Tahoma"/>
          <w:sz w:val="32"/>
          <w:szCs w:val="32"/>
        </w:rPr>
        <w:t xml:space="preserve"> 2015 when a discretion was introduced through which the judge could choose not to count the current offence as a third relevant conviction (which would lead to a mandatory sentence) if she or he considered there to be exceptional circumstances.</w:t>
      </w:r>
      <w:r w:rsidR="00047CF5" w:rsidRPr="00F77E89">
        <w:rPr>
          <w:rStyle w:val="FootnoteReference"/>
          <w:rFonts w:ascii="Tahoma" w:hAnsi="Tahoma" w:cs="Tahoma"/>
          <w:sz w:val="32"/>
          <w:szCs w:val="32"/>
        </w:rPr>
        <w:footnoteReference w:id="36"/>
      </w:r>
      <w:r w:rsidR="00047CF5" w:rsidRPr="00F77E89">
        <w:rPr>
          <w:rFonts w:ascii="Tahoma" w:hAnsi="Tahoma" w:cs="Tahoma"/>
          <w:sz w:val="32"/>
          <w:szCs w:val="32"/>
        </w:rPr>
        <w:t xml:space="preserve">  This new discretion applie</w:t>
      </w:r>
      <w:r w:rsidR="00943C00">
        <w:rPr>
          <w:rFonts w:ascii="Tahoma" w:hAnsi="Tahoma" w:cs="Tahoma"/>
          <w:sz w:val="32"/>
          <w:szCs w:val="32"/>
        </w:rPr>
        <w:t>s</w:t>
      </w:r>
      <w:r w:rsidR="00047CF5" w:rsidRPr="00F77E89">
        <w:rPr>
          <w:rFonts w:ascii="Tahoma" w:hAnsi="Tahoma" w:cs="Tahoma"/>
          <w:sz w:val="32"/>
          <w:szCs w:val="32"/>
        </w:rPr>
        <w:t xml:space="preserve"> whether the offender </w:t>
      </w:r>
      <w:r w:rsidR="00943C00">
        <w:rPr>
          <w:rFonts w:ascii="Tahoma" w:hAnsi="Tahoma" w:cs="Tahoma"/>
          <w:sz w:val="32"/>
          <w:szCs w:val="32"/>
        </w:rPr>
        <w:t>is</w:t>
      </w:r>
      <w:r w:rsidR="00943C00" w:rsidRPr="00F77E89">
        <w:rPr>
          <w:rFonts w:ascii="Tahoma" w:hAnsi="Tahoma" w:cs="Tahoma"/>
          <w:sz w:val="32"/>
          <w:szCs w:val="32"/>
        </w:rPr>
        <w:t xml:space="preserve"> </w:t>
      </w:r>
      <w:r w:rsidR="00047CF5" w:rsidRPr="00F77E89">
        <w:rPr>
          <w:rFonts w:ascii="Tahoma" w:hAnsi="Tahoma" w:cs="Tahoma"/>
          <w:sz w:val="32"/>
          <w:szCs w:val="32"/>
        </w:rPr>
        <w:t xml:space="preserve">an adult or a juvenile and </w:t>
      </w:r>
      <w:r w:rsidR="00943C00">
        <w:rPr>
          <w:rFonts w:ascii="Tahoma" w:hAnsi="Tahoma" w:cs="Tahoma"/>
          <w:sz w:val="32"/>
          <w:szCs w:val="32"/>
        </w:rPr>
        <w:t>has</w:t>
      </w:r>
      <w:r w:rsidR="00943C00" w:rsidRPr="00F77E89">
        <w:rPr>
          <w:rFonts w:ascii="Tahoma" w:hAnsi="Tahoma" w:cs="Tahoma"/>
          <w:sz w:val="32"/>
          <w:szCs w:val="32"/>
        </w:rPr>
        <w:t xml:space="preserve"> </w:t>
      </w:r>
      <w:r w:rsidR="00047CF5" w:rsidRPr="00F77E89">
        <w:rPr>
          <w:rFonts w:ascii="Tahoma" w:hAnsi="Tahoma" w:cs="Tahoma"/>
          <w:sz w:val="32"/>
          <w:szCs w:val="32"/>
        </w:rPr>
        <w:t>not alter</w:t>
      </w:r>
      <w:r w:rsidR="00943C00">
        <w:rPr>
          <w:rFonts w:ascii="Tahoma" w:hAnsi="Tahoma" w:cs="Tahoma"/>
          <w:sz w:val="32"/>
          <w:szCs w:val="32"/>
        </w:rPr>
        <w:t>ed</w:t>
      </w:r>
      <w:r w:rsidR="00047CF5" w:rsidRPr="00F77E89">
        <w:rPr>
          <w:rFonts w:ascii="Tahoma" w:hAnsi="Tahoma" w:cs="Tahoma"/>
          <w:sz w:val="32"/>
          <w:szCs w:val="32"/>
        </w:rPr>
        <w:t xml:space="preserve"> the primary mandatory sentencing regime that remains in place.</w:t>
      </w:r>
      <w:r w:rsidR="00047CF5" w:rsidRPr="00F77E89">
        <w:rPr>
          <w:rStyle w:val="FootnoteReference"/>
          <w:rFonts w:ascii="Tahoma" w:hAnsi="Tahoma" w:cs="Tahoma"/>
          <w:sz w:val="32"/>
          <w:szCs w:val="32"/>
        </w:rPr>
        <w:footnoteReference w:id="37"/>
      </w:r>
    </w:p>
    <w:p w14:paraId="602DF868" w14:textId="77777777" w:rsidR="00F77E89" w:rsidRPr="00F77E89" w:rsidRDefault="00F77E89" w:rsidP="00ED020B">
      <w:pPr>
        <w:spacing w:after="0" w:line="240" w:lineRule="auto"/>
        <w:ind w:left="720"/>
        <w:jc w:val="both"/>
        <w:rPr>
          <w:rFonts w:ascii="Tahoma" w:hAnsi="Tahoma" w:cs="Tahoma"/>
          <w:sz w:val="32"/>
          <w:szCs w:val="32"/>
        </w:rPr>
      </w:pPr>
    </w:p>
    <w:p w14:paraId="70B4647E" w14:textId="2BCF55B6" w:rsidR="00E302EC"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 xml:space="preserve">The </w:t>
      </w:r>
      <w:r w:rsidR="002B6581">
        <w:rPr>
          <w:rFonts w:ascii="Tahoma" w:hAnsi="Tahoma" w:cs="Tahoma"/>
          <w:sz w:val="32"/>
          <w:szCs w:val="32"/>
        </w:rPr>
        <w:t>J</w:t>
      </w:r>
      <w:r w:rsidR="00E443F4">
        <w:rPr>
          <w:rFonts w:ascii="Tahoma" w:hAnsi="Tahoma" w:cs="Tahoma"/>
          <w:sz w:val="32"/>
          <w:szCs w:val="32"/>
        </w:rPr>
        <w:t xml:space="preserve">oint </w:t>
      </w:r>
      <w:r w:rsidRPr="00F77E89">
        <w:rPr>
          <w:rFonts w:ascii="Tahoma" w:hAnsi="Tahoma" w:cs="Tahoma"/>
          <w:sz w:val="32"/>
          <w:szCs w:val="32"/>
        </w:rPr>
        <w:t xml:space="preserve">Report </w:t>
      </w:r>
      <w:r w:rsidR="00943C00">
        <w:rPr>
          <w:rFonts w:ascii="Tahoma" w:hAnsi="Tahoma" w:cs="Tahoma"/>
          <w:sz w:val="32"/>
          <w:szCs w:val="32"/>
        </w:rPr>
        <w:t xml:space="preserve">also strongly recommended that a number of jurisdictions including Victoria and Queensland alter the laws </w:t>
      </w:r>
      <w:r w:rsidR="00943C00">
        <w:rPr>
          <w:rFonts w:ascii="Tahoma" w:hAnsi="Tahoma" w:cs="Tahoma"/>
          <w:sz w:val="32"/>
          <w:szCs w:val="32"/>
        </w:rPr>
        <w:lastRenderedPageBreak/>
        <w:t>that allowed</w:t>
      </w:r>
      <w:r w:rsidR="00742832">
        <w:rPr>
          <w:rFonts w:ascii="Tahoma" w:hAnsi="Tahoma" w:cs="Tahoma"/>
          <w:sz w:val="32"/>
          <w:szCs w:val="32"/>
        </w:rPr>
        <w:t xml:space="preserve"> 17 year olds to be placed in adult prisons.</w:t>
      </w:r>
      <w:r w:rsidRPr="00F77E89">
        <w:rPr>
          <w:rStyle w:val="FootnoteReference"/>
          <w:rFonts w:ascii="Tahoma" w:hAnsi="Tahoma" w:cs="Tahoma"/>
          <w:sz w:val="32"/>
          <w:szCs w:val="32"/>
        </w:rPr>
        <w:footnoteReference w:id="38"/>
      </w:r>
      <w:r w:rsidRPr="00F77E89">
        <w:rPr>
          <w:rFonts w:ascii="Tahoma" w:hAnsi="Tahoma" w:cs="Tahoma"/>
          <w:sz w:val="32"/>
          <w:szCs w:val="32"/>
        </w:rPr>
        <w:t xml:space="preserve"> </w:t>
      </w:r>
      <w:r w:rsidR="00742832">
        <w:rPr>
          <w:rFonts w:ascii="Tahoma" w:hAnsi="Tahoma" w:cs="Tahoma"/>
          <w:sz w:val="32"/>
          <w:szCs w:val="32"/>
        </w:rPr>
        <w:t xml:space="preserve"> The Report found there were </w:t>
      </w:r>
      <w:r w:rsidR="00742832" w:rsidRPr="00F77E89">
        <w:rPr>
          <w:rFonts w:ascii="Tahoma" w:hAnsi="Tahoma" w:cs="Tahoma"/>
          <w:sz w:val="32"/>
          <w:szCs w:val="32"/>
        </w:rPr>
        <w:t>often inadequate facilities to provide relevant educational programs or to accommodate</w:t>
      </w:r>
      <w:r w:rsidR="00742832">
        <w:rPr>
          <w:rFonts w:ascii="Tahoma" w:hAnsi="Tahoma" w:cs="Tahoma"/>
          <w:sz w:val="32"/>
          <w:szCs w:val="32"/>
        </w:rPr>
        <w:t xml:space="preserve"> the young offenders separately</w:t>
      </w:r>
      <w:r w:rsidR="00E443F4">
        <w:rPr>
          <w:rFonts w:ascii="Tahoma" w:hAnsi="Tahoma" w:cs="Tahoma"/>
          <w:sz w:val="32"/>
          <w:szCs w:val="32"/>
        </w:rPr>
        <w:t>.</w:t>
      </w:r>
      <w:r w:rsidR="00742832" w:rsidRPr="00F77E89">
        <w:rPr>
          <w:rStyle w:val="FootnoteReference"/>
          <w:rFonts w:ascii="Tahoma" w:hAnsi="Tahoma" w:cs="Tahoma"/>
          <w:sz w:val="32"/>
          <w:szCs w:val="32"/>
        </w:rPr>
        <w:footnoteReference w:id="39"/>
      </w:r>
      <w:r w:rsidR="00E443F4">
        <w:rPr>
          <w:rFonts w:ascii="Tahoma" w:hAnsi="Tahoma" w:cs="Tahoma"/>
          <w:sz w:val="32"/>
          <w:szCs w:val="32"/>
        </w:rPr>
        <w:t xml:space="preserve">  The </w:t>
      </w:r>
      <w:r w:rsidR="001261A9">
        <w:rPr>
          <w:rFonts w:ascii="Tahoma" w:hAnsi="Tahoma" w:cs="Tahoma"/>
          <w:sz w:val="32"/>
          <w:szCs w:val="32"/>
        </w:rPr>
        <w:t>J</w:t>
      </w:r>
      <w:r w:rsidR="00E443F4">
        <w:rPr>
          <w:rFonts w:ascii="Tahoma" w:hAnsi="Tahoma" w:cs="Tahoma"/>
          <w:sz w:val="32"/>
          <w:szCs w:val="32"/>
        </w:rPr>
        <w:t>oint Report</w:t>
      </w:r>
      <w:r w:rsidRPr="00F77E89">
        <w:rPr>
          <w:rFonts w:ascii="Tahoma" w:hAnsi="Tahoma" w:cs="Tahoma"/>
          <w:sz w:val="32"/>
          <w:szCs w:val="32"/>
        </w:rPr>
        <w:t xml:space="preserve"> stated that</w:t>
      </w:r>
    </w:p>
    <w:p w14:paraId="25C5D598" w14:textId="071B6EE0" w:rsidR="00742832" w:rsidRDefault="00047CF5" w:rsidP="00992AAC">
      <w:pPr>
        <w:spacing w:after="0" w:line="240" w:lineRule="auto"/>
        <w:ind w:left="720"/>
        <w:jc w:val="both"/>
        <w:rPr>
          <w:rFonts w:ascii="Tahoma" w:hAnsi="Tahoma" w:cs="Tahoma"/>
          <w:sz w:val="32"/>
          <w:szCs w:val="32"/>
        </w:rPr>
      </w:pPr>
      <w:r w:rsidRPr="00F77E89">
        <w:rPr>
          <w:rFonts w:ascii="Tahoma" w:hAnsi="Tahoma" w:cs="Tahoma"/>
          <w:sz w:val="32"/>
          <w:szCs w:val="32"/>
        </w:rPr>
        <w:t xml:space="preserve"> placing a young offender in an adult prison does little to advance the rehabilitative aims of juvenile justice, particularly as contact with adult offenders has a tendency to further criminalise young offenders.</w:t>
      </w:r>
      <w:r w:rsidRPr="00F77E89">
        <w:rPr>
          <w:rStyle w:val="FootnoteReference"/>
          <w:rFonts w:ascii="Tahoma" w:hAnsi="Tahoma" w:cs="Tahoma"/>
          <w:sz w:val="32"/>
          <w:szCs w:val="32"/>
        </w:rPr>
        <w:footnoteReference w:id="40"/>
      </w:r>
    </w:p>
    <w:p w14:paraId="0AC3B6C3" w14:textId="3C5B1EAA" w:rsidR="00047CF5" w:rsidRPr="00F77E89" w:rsidRDefault="00047CF5" w:rsidP="00ED020B">
      <w:pPr>
        <w:spacing w:after="0" w:line="360" w:lineRule="auto"/>
        <w:ind w:firstLine="720"/>
        <w:jc w:val="both"/>
        <w:rPr>
          <w:rFonts w:ascii="Tahoma" w:hAnsi="Tahoma" w:cs="Tahoma"/>
          <w:sz w:val="32"/>
          <w:szCs w:val="32"/>
        </w:rPr>
      </w:pPr>
    </w:p>
    <w:p w14:paraId="2236F67B" w14:textId="64BEEA26" w:rsidR="00742832" w:rsidRPr="00F77E89" w:rsidRDefault="00D02A27" w:rsidP="00ED020B">
      <w:pPr>
        <w:spacing w:after="0" w:line="360" w:lineRule="auto"/>
        <w:ind w:firstLine="720"/>
        <w:jc w:val="both"/>
        <w:rPr>
          <w:rFonts w:ascii="Tahoma" w:hAnsi="Tahoma" w:cs="Tahoma"/>
          <w:sz w:val="32"/>
          <w:szCs w:val="32"/>
        </w:rPr>
      </w:pPr>
      <w:r>
        <w:rPr>
          <w:rFonts w:ascii="Tahoma" w:hAnsi="Tahoma" w:cs="Tahoma"/>
          <w:sz w:val="32"/>
          <w:szCs w:val="32"/>
        </w:rPr>
        <w:t>W</w:t>
      </w:r>
      <w:r w:rsidR="00047CF5" w:rsidRPr="00F77E89">
        <w:rPr>
          <w:rFonts w:ascii="Tahoma" w:hAnsi="Tahoma" w:cs="Tahoma"/>
          <w:sz w:val="32"/>
          <w:szCs w:val="32"/>
        </w:rPr>
        <w:t xml:space="preserve">hen the </w:t>
      </w:r>
      <w:r w:rsidR="00077AED">
        <w:rPr>
          <w:rFonts w:ascii="Tahoma" w:hAnsi="Tahoma" w:cs="Tahoma"/>
          <w:sz w:val="32"/>
          <w:szCs w:val="32"/>
        </w:rPr>
        <w:t>Joint</w:t>
      </w:r>
      <w:r w:rsidR="00047CF5" w:rsidRPr="00F77E89">
        <w:rPr>
          <w:rFonts w:ascii="Tahoma" w:hAnsi="Tahoma" w:cs="Tahoma"/>
          <w:sz w:val="32"/>
          <w:szCs w:val="32"/>
        </w:rPr>
        <w:t xml:space="preserve"> Report was published in 1997, five years had already passed since the Queensland government had stated that it intended to remedy this regime to include 17 year olds within the juvenile justice system rather than the adult.</w:t>
      </w:r>
      <w:r w:rsidR="00047CF5" w:rsidRPr="00F77E89">
        <w:rPr>
          <w:rStyle w:val="FootnoteReference"/>
          <w:rFonts w:ascii="Tahoma" w:hAnsi="Tahoma" w:cs="Tahoma"/>
          <w:sz w:val="32"/>
          <w:szCs w:val="32"/>
        </w:rPr>
        <w:footnoteReference w:id="41"/>
      </w:r>
      <w:r w:rsidR="00047CF5" w:rsidRPr="00F77E89">
        <w:rPr>
          <w:rFonts w:ascii="Tahoma" w:hAnsi="Tahoma" w:cs="Tahoma"/>
          <w:sz w:val="32"/>
          <w:szCs w:val="32"/>
        </w:rPr>
        <w:t xml:space="preserve">  </w:t>
      </w:r>
      <w:r w:rsidR="00E443F4">
        <w:rPr>
          <w:rFonts w:ascii="Tahoma" w:hAnsi="Tahoma" w:cs="Tahoma"/>
          <w:sz w:val="32"/>
          <w:szCs w:val="32"/>
        </w:rPr>
        <w:t>N</w:t>
      </w:r>
      <w:r w:rsidR="00047CF5" w:rsidRPr="00F77E89">
        <w:rPr>
          <w:rFonts w:ascii="Tahoma" w:hAnsi="Tahoma" w:cs="Tahoma"/>
          <w:sz w:val="32"/>
          <w:szCs w:val="32"/>
        </w:rPr>
        <w:t>o action was taken.</w:t>
      </w:r>
      <w:r w:rsidR="00E443F4">
        <w:rPr>
          <w:rFonts w:ascii="Tahoma" w:hAnsi="Tahoma" w:cs="Tahoma"/>
          <w:sz w:val="32"/>
          <w:szCs w:val="32"/>
        </w:rPr>
        <w:t xml:space="preserve">  By</w:t>
      </w:r>
      <w:r w:rsidR="00742832" w:rsidRPr="00F77E89">
        <w:rPr>
          <w:rFonts w:ascii="Tahoma" w:hAnsi="Tahoma" w:cs="Tahoma"/>
          <w:sz w:val="32"/>
          <w:szCs w:val="32"/>
        </w:rPr>
        <w:t xml:space="preserve"> 2004, when Victoria amend</w:t>
      </w:r>
      <w:r w:rsidR="00E443F4">
        <w:rPr>
          <w:rFonts w:ascii="Tahoma" w:hAnsi="Tahoma" w:cs="Tahoma"/>
          <w:sz w:val="32"/>
          <w:szCs w:val="32"/>
        </w:rPr>
        <w:t>ed</w:t>
      </w:r>
      <w:r w:rsidR="00742832" w:rsidRPr="00F77E89">
        <w:rPr>
          <w:rFonts w:ascii="Tahoma" w:hAnsi="Tahoma" w:cs="Tahoma"/>
          <w:sz w:val="32"/>
          <w:szCs w:val="32"/>
        </w:rPr>
        <w:t xml:space="preserve"> its legislation, Queensland became the ‘only remaining Australian jurisdiction which treated 17 year olds as adults’.</w:t>
      </w:r>
      <w:r w:rsidR="00742832" w:rsidRPr="00F77E89">
        <w:rPr>
          <w:rStyle w:val="FootnoteReference"/>
          <w:rFonts w:ascii="Tahoma" w:hAnsi="Tahoma" w:cs="Tahoma"/>
          <w:sz w:val="32"/>
          <w:szCs w:val="32"/>
        </w:rPr>
        <w:footnoteReference w:id="42"/>
      </w:r>
    </w:p>
    <w:p w14:paraId="1732AFA1" w14:textId="77777777" w:rsidR="00047CF5" w:rsidRPr="00F77E89" w:rsidRDefault="00047CF5" w:rsidP="00ED020B">
      <w:pPr>
        <w:spacing w:after="0" w:line="360" w:lineRule="auto"/>
        <w:jc w:val="both"/>
        <w:rPr>
          <w:rFonts w:ascii="Tahoma" w:hAnsi="Tahoma" w:cs="Tahoma"/>
          <w:sz w:val="32"/>
          <w:szCs w:val="32"/>
        </w:rPr>
      </w:pPr>
    </w:p>
    <w:p w14:paraId="0E886099" w14:textId="4C17EE13" w:rsidR="00047CF5" w:rsidRPr="00F77E89" w:rsidRDefault="00E443F4" w:rsidP="00ED020B">
      <w:pPr>
        <w:spacing w:after="0" w:line="360" w:lineRule="auto"/>
        <w:ind w:firstLine="720"/>
        <w:jc w:val="both"/>
        <w:rPr>
          <w:rFonts w:ascii="Tahoma" w:hAnsi="Tahoma" w:cs="Tahoma"/>
          <w:sz w:val="32"/>
          <w:szCs w:val="32"/>
        </w:rPr>
      </w:pPr>
      <w:r>
        <w:rPr>
          <w:rFonts w:ascii="Tahoma" w:hAnsi="Tahoma" w:cs="Tahoma"/>
          <w:sz w:val="32"/>
          <w:szCs w:val="32"/>
        </w:rPr>
        <w:lastRenderedPageBreak/>
        <w:t xml:space="preserve">In </w:t>
      </w:r>
      <w:r w:rsidR="00047CF5" w:rsidRPr="00F77E89">
        <w:rPr>
          <w:rFonts w:ascii="Tahoma" w:hAnsi="Tahoma" w:cs="Tahoma"/>
          <w:sz w:val="32"/>
          <w:szCs w:val="32"/>
        </w:rPr>
        <w:t xml:space="preserve">September </w:t>
      </w:r>
      <w:r>
        <w:rPr>
          <w:rFonts w:ascii="Tahoma" w:hAnsi="Tahoma" w:cs="Tahoma"/>
          <w:sz w:val="32"/>
          <w:szCs w:val="32"/>
        </w:rPr>
        <w:t>2016</w:t>
      </w:r>
      <w:r w:rsidR="00D02A27">
        <w:rPr>
          <w:rFonts w:ascii="Tahoma" w:hAnsi="Tahoma" w:cs="Tahoma"/>
          <w:sz w:val="32"/>
          <w:szCs w:val="32"/>
        </w:rPr>
        <w:t xml:space="preserve">, the Queensland Premier </w:t>
      </w:r>
      <w:r w:rsidR="00047CF5" w:rsidRPr="00F77E89">
        <w:rPr>
          <w:rFonts w:ascii="Tahoma" w:hAnsi="Tahoma" w:cs="Tahoma"/>
          <w:sz w:val="32"/>
          <w:szCs w:val="32"/>
        </w:rPr>
        <w:t xml:space="preserve">announced that </w:t>
      </w:r>
      <w:r w:rsidR="00D02A27">
        <w:rPr>
          <w:rFonts w:ascii="Tahoma" w:hAnsi="Tahoma" w:cs="Tahoma"/>
          <w:sz w:val="32"/>
          <w:szCs w:val="32"/>
        </w:rPr>
        <w:t xml:space="preserve">the </w:t>
      </w:r>
      <w:r w:rsidR="00047CF5" w:rsidRPr="00F77E89">
        <w:rPr>
          <w:rFonts w:ascii="Tahoma" w:hAnsi="Tahoma" w:cs="Tahoma"/>
          <w:sz w:val="32"/>
          <w:szCs w:val="32"/>
        </w:rPr>
        <w:t>government</w:t>
      </w:r>
      <w:r>
        <w:rPr>
          <w:rFonts w:ascii="Tahoma" w:hAnsi="Tahoma" w:cs="Tahoma"/>
          <w:sz w:val="32"/>
          <w:szCs w:val="32"/>
        </w:rPr>
        <w:t xml:space="preserve"> intended within </w:t>
      </w:r>
      <w:r w:rsidR="00047CF5" w:rsidRPr="00F77E89">
        <w:rPr>
          <w:rFonts w:ascii="Tahoma" w:hAnsi="Tahoma" w:cs="Tahoma"/>
          <w:sz w:val="32"/>
          <w:szCs w:val="32"/>
        </w:rPr>
        <w:t>a year to alter the legislation</w:t>
      </w:r>
      <w:r>
        <w:rPr>
          <w:rFonts w:ascii="Tahoma" w:hAnsi="Tahoma" w:cs="Tahoma"/>
          <w:sz w:val="32"/>
          <w:szCs w:val="32"/>
        </w:rPr>
        <w:t xml:space="preserve"> so as </w:t>
      </w:r>
      <w:r w:rsidR="00047CF5" w:rsidRPr="00F77E89">
        <w:rPr>
          <w:rFonts w:ascii="Tahoma" w:hAnsi="Tahoma" w:cs="Tahoma"/>
          <w:sz w:val="32"/>
          <w:szCs w:val="32"/>
        </w:rPr>
        <w:t>to remove 17 year olds from adult jails</w:t>
      </w:r>
      <w:r w:rsidR="00D02A27">
        <w:rPr>
          <w:rFonts w:ascii="Tahoma" w:hAnsi="Tahoma" w:cs="Tahoma"/>
          <w:sz w:val="32"/>
          <w:szCs w:val="32"/>
        </w:rPr>
        <w:t>.</w:t>
      </w:r>
      <w:r w:rsidR="00047CF5" w:rsidRPr="00F77E89">
        <w:rPr>
          <w:rStyle w:val="FootnoteReference"/>
          <w:rFonts w:ascii="Tahoma" w:hAnsi="Tahoma" w:cs="Tahoma"/>
          <w:sz w:val="32"/>
          <w:szCs w:val="32"/>
        </w:rPr>
        <w:footnoteReference w:id="43"/>
      </w:r>
    </w:p>
    <w:p w14:paraId="20EE8E66" w14:textId="77777777" w:rsidR="00047CF5" w:rsidRPr="00F77E89" w:rsidRDefault="00047CF5" w:rsidP="00ED020B">
      <w:pPr>
        <w:spacing w:after="0" w:line="360" w:lineRule="auto"/>
        <w:jc w:val="both"/>
        <w:rPr>
          <w:rFonts w:ascii="Tahoma" w:hAnsi="Tahoma" w:cs="Tahoma"/>
          <w:sz w:val="32"/>
          <w:szCs w:val="32"/>
        </w:rPr>
      </w:pPr>
    </w:p>
    <w:p w14:paraId="7AD99719" w14:textId="4D152944" w:rsidR="00047CF5" w:rsidRPr="00F77E89" w:rsidRDefault="00E443F4" w:rsidP="00ED020B">
      <w:pPr>
        <w:spacing w:after="0" w:line="360" w:lineRule="auto"/>
        <w:ind w:firstLine="720"/>
        <w:jc w:val="both"/>
        <w:rPr>
          <w:rFonts w:ascii="Tahoma" w:hAnsi="Tahoma" w:cs="Tahoma"/>
          <w:sz w:val="32"/>
          <w:szCs w:val="32"/>
        </w:rPr>
      </w:pPr>
      <w:r>
        <w:rPr>
          <w:rFonts w:ascii="Tahoma" w:hAnsi="Tahoma" w:cs="Tahoma"/>
          <w:sz w:val="32"/>
          <w:szCs w:val="32"/>
        </w:rPr>
        <w:t>N</w:t>
      </w:r>
      <w:r w:rsidR="00D02A27">
        <w:rPr>
          <w:rFonts w:ascii="Tahoma" w:hAnsi="Tahoma" w:cs="Tahoma"/>
          <w:sz w:val="32"/>
          <w:szCs w:val="32"/>
        </w:rPr>
        <w:t>ationally</w:t>
      </w:r>
      <w:r>
        <w:rPr>
          <w:rFonts w:ascii="Tahoma" w:hAnsi="Tahoma" w:cs="Tahoma"/>
          <w:sz w:val="32"/>
          <w:szCs w:val="32"/>
        </w:rPr>
        <w:t>,</w:t>
      </w:r>
      <w:r w:rsidR="00D02A27">
        <w:rPr>
          <w:rFonts w:ascii="Tahoma" w:hAnsi="Tahoma" w:cs="Tahoma"/>
          <w:sz w:val="32"/>
          <w:szCs w:val="32"/>
        </w:rPr>
        <w:t xml:space="preserve"> </w:t>
      </w:r>
      <w:r>
        <w:rPr>
          <w:rFonts w:ascii="Tahoma" w:hAnsi="Tahoma" w:cs="Tahoma"/>
          <w:sz w:val="32"/>
          <w:szCs w:val="32"/>
        </w:rPr>
        <w:t xml:space="preserve">there </w:t>
      </w:r>
      <w:r w:rsidR="00E9301E">
        <w:rPr>
          <w:rFonts w:ascii="Tahoma" w:hAnsi="Tahoma" w:cs="Tahoma"/>
          <w:sz w:val="32"/>
          <w:szCs w:val="32"/>
        </w:rPr>
        <w:t>has been</w:t>
      </w:r>
      <w:r>
        <w:rPr>
          <w:rFonts w:ascii="Tahoma" w:hAnsi="Tahoma" w:cs="Tahoma"/>
          <w:sz w:val="32"/>
          <w:szCs w:val="32"/>
        </w:rPr>
        <w:t xml:space="preserve"> gradual</w:t>
      </w:r>
      <w:r w:rsidR="00047CF5" w:rsidRPr="00F77E89">
        <w:rPr>
          <w:rFonts w:ascii="Tahoma" w:hAnsi="Tahoma" w:cs="Tahoma"/>
          <w:sz w:val="32"/>
          <w:szCs w:val="32"/>
        </w:rPr>
        <w:t xml:space="preserve"> progress, important progress.  Most of the states and territories are collectively agreed that detaining children and young people is an extreme measure and one to be avoided.  Each state and territory has operative legislation that, in the ordinary course of dealing with a juvenile offender, requires numerous steps to be taken before resorting to detention.</w:t>
      </w:r>
      <w:r w:rsidR="00047CF5" w:rsidRPr="00F77E89">
        <w:rPr>
          <w:rStyle w:val="FootnoteReference"/>
          <w:rFonts w:ascii="Tahoma" w:hAnsi="Tahoma" w:cs="Tahoma"/>
          <w:sz w:val="32"/>
          <w:szCs w:val="32"/>
        </w:rPr>
        <w:footnoteReference w:id="44"/>
      </w:r>
      <w:r w:rsidR="00047CF5" w:rsidRPr="00F77E89">
        <w:rPr>
          <w:rFonts w:ascii="Tahoma" w:hAnsi="Tahoma" w:cs="Tahoma"/>
          <w:sz w:val="32"/>
          <w:szCs w:val="32"/>
        </w:rPr>
        <w:t xml:space="preserve">  Most juvenile justice regimes operate under the general principle that ‘detaining a youth in custody should only be used as a last resort and should only be for as short a time as is necessary’.</w:t>
      </w:r>
      <w:r w:rsidR="00047CF5" w:rsidRPr="00F77E89">
        <w:rPr>
          <w:rStyle w:val="FootnoteReference"/>
          <w:rFonts w:ascii="Tahoma" w:hAnsi="Tahoma" w:cs="Tahoma"/>
          <w:sz w:val="32"/>
          <w:szCs w:val="32"/>
        </w:rPr>
        <w:footnoteReference w:id="45"/>
      </w:r>
      <w:r>
        <w:rPr>
          <w:rFonts w:ascii="Tahoma" w:hAnsi="Tahoma" w:cs="Tahoma"/>
          <w:sz w:val="32"/>
          <w:szCs w:val="32"/>
        </w:rPr>
        <w:t xml:space="preserve"> </w:t>
      </w:r>
      <w:r w:rsidR="003E40B1">
        <w:rPr>
          <w:rFonts w:ascii="Tahoma" w:hAnsi="Tahoma" w:cs="Tahoma"/>
          <w:sz w:val="32"/>
          <w:szCs w:val="32"/>
        </w:rPr>
        <w:t xml:space="preserve"> There are also strict provisions in all state and territory legislation </w:t>
      </w:r>
      <w:r w:rsidR="00EC3B20">
        <w:rPr>
          <w:rFonts w:ascii="Tahoma" w:hAnsi="Tahoma" w:cs="Tahoma"/>
          <w:sz w:val="32"/>
          <w:szCs w:val="32"/>
        </w:rPr>
        <w:t>prohibiting physical punishment as a disciplinary measure</w:t>
      </w:r>
      <w:r w:rsidR="00682EEF">
        <w:rPr>
          <w:rFonts w:ascii="Tahoma" w:hAnsi="Tahoma" w:cs="Tahoma"/>
          <w:sz w:val="32"/>
          <w:szCs w:val="32"/>
        </w:rPr>
        <w:t>, though reasonable force is usually allowed where required to protect a detainee’s health or the security of a centre</w:t>
      </w:r>
      <w:r w:rsidR="00EC3B20">
        <w:rPr>
          <w:rFonts w:ascii="Tahoma" w:hAnsi="Tahoma" w:cs="Tahoma"/>
          <w:sz w:val="32"/>
          <w:szCs w:val="32"/>
        </w:rPr>
        <w:t>.</w:t>
      </w:r>
      <w:r w:rsidR="00EC3B20">
        <w:rPr>
          <w:rStyle w:val="FootnoteReference"/>
          <w:rFonts w:ascii="Tahoma" w:hAnsi="Tahoma" w:cs="Tahoma"/>
          <w:sz w:val="32"/>
          <w:szCs w:val="32"/>
        </w:rPr>
        <w:footnoteReference w:id="46"/>
      </w:r>
      <w:r w:rsidR="00EC3B20">
        <w:rPr>
          <w:rFonts w:ascii="Tahoma" w:hAnsi="Tahoma" w:cs="Tahoma"/>
          <w:sz w:val="32"/>
          <w:szCs w:val="32"/>
        </w:rPr>
        <w:t xml:space="preserve">  The use of isolation or solitary confinement</w:t>
      </w:r>
      <w:r w:rsidR="003E40B1">
        <w:rPr>
          <w:rFonts w:ascii="Tahoma" w:hAnsi="Tahoma" w:cs="Tahoma"/>
          <w:sz w:val="32"/>
          <w:szCs w:val="32"/>
        </w:rPr>
        <w:t xml:space="preserve"> </w:t>
      </w:r>
      <w:r w:rsidR="000C660D">
        <w:rPr>
          <w:rFonts w:ascii="Tahoma" w:hAnsi="Tahoma" w:cs="Tahoma"/>
          <w:sz w:val="32"/>
          <w:szCs w:val="32"/>
        </w:rPr>
        <w:t xml:space="preserve">of detainees </w:t>
      </w:r>
      <w:r w:rsidR="00682EEF">
        <w:rPr>
          <w:rFonts w:ascii="Tahoma" w:hAnsi="Tahoma" w:cs="Tahoma"/>
          <w:sz w:val="32"/>
          <w:szCs w:val="32"/>
        </w:rPr>
        <w:t>is</w:t>
      </w:r>
      <w:r w:rsidR="000C660D">
        <w:rPr>
          <w:rFonts w:ascii="Tahoma" w:hAnsi="Tahoma" w:cs="Tahoma"/>
          <w:sz w:val="32"/>
          <w:szCs w:val="32"/>
        </w:rPr>
        <w:t xml:space="preserve"> largely</w:t>
      </w:r>
      <w:r w:rsidR="00682EEF">
        <w:rPr>
          <w:rFonts w:ascii="Tahoma" w:hAnsi="Tahoma" w:cs="Tahoma"/>
          <w:sz w:val="32"/>
          <w:szCs w:val="32"/>
        </w:rPr>
        <w:t xml:space="preserve"> limited </w:t>
      </w:r>
      <w:r w:rsidR="001A5799">
        <w:rPr>
          <w:rFonts w:ascii="Tahoma" w:hAnsi="Tahoma" w:cs="Tahoma"/>
          <w:sz w:val="32"/>
          <w:szCs w:val="32"/>
        </w:rPr>
        <w:t>except</w:t>
      </w:r>
      <w:r w:rsidR="000C660D">
        <w:rPr>
          <w:rFonts w:ascii="Tahoma" w:hAnsi="Tahoma" w:cs="Tahoma"/>
          <w:sz w:val="32"/>
          <w:szCs w:val="32"/>
        </w:rPr>
        <w:t xml:space="preserve"> where a superintendent of a youth </w:t>
      </w:r>
      <w:r w:rsidR="000C660D">
        <w:rPr>
          <w:rFonts w:ascii="Tahoma" w:hAnsi="Tahoma" w:cs="Tahoma"/>
          <w:sz w:val="32"/>
          <w:szCs w:val="32"/>
        </w:rPr>
        <w:lastRenderedPageBreak/>
        <w:t>detention centre believes it is necessary to protect the detainee’s health or where he or she poses a threat.</w:t>
      </w:r>
      <w:r w:rsidR="000C660D">
        <w:rPr>
          <w:rStyle w:val="FootnoteReference"/>
          <w:rFonts w:ascii="Tahoma" w:hAnsi="Tahoma" w:cs="Tahoma"/>
          <w:sz w:val="32"/>
          <w:szCs w:val="32"/>
        </w:rPr>
        <w:footnoteReference w:id="47"/>
      </w:r>
      <w:r w:rsidR="000C660D">
        <w:rPr>
          <w:rFonts w:ascii="Tahoma" w:hAnsi="Tahoma" w:cs="Tahoma"/>
          <w:sz w:val="32"/>
          <w:szCs w:val="32"/>
        </w:rPr>
        <w:t xml:space="preserve"> </w:t>
      </w:r>
      <w:r w:rsidR="00682EEF">
        <w:rPr>
          <w:rFonts w:ascii="Tahoma" w:hAnsi="Tahoma" w:cs="Tahoma"/>
          <w:sz w:val="32"/>
          <w:szCs w:val="32"/>
        </w:rPr>
        <w:t xml:space="preserve"> </w:t>
      </w:r>
      <w:r w:rsidR="000C660D">
        <w:rPr>
          <w:rFonts w:ascii="Tahoma" w:hAnsi="Tahoma" w:cs="Tahoma"/>
          <w:sz w:val="32"/>
          <w:szCs w:val="32"/>
        </w:rPr>
        <w:t>Some jurisdictions require the detainee</w:t>
      </w:r>
      <w:r w:rsidR="001A5799">
        <w:rPr>
          <w:rFonts w:ascii="Tahoma" w:hAnsi="Tahoma" w:cs="Tahoma"/>
          <w:sz w:val="32"/>
          <w:szCs w:val="32"/>
        </w:rPr>
        <w:t xml:space="preserve"> in isolation</w:t>
      </w:r>
      <w:r w:rsidR="000C660D">
        <w:rPr>
          <w:rFonts w:ascii="Tahoma" w:hAnsi="Tahoma" w:cs="Tahoma"/>
          <w:sz w:val="32"/>
          <w:szCs w:val="32"/>
        </w:rPr>
        <w:t xml:space="preserve"> be checked on at regular intervals — in Victoria it is every 15 minutes</w:t>
      </w:r>
      <w:r w:rsidR="000C660D">
        <w:rPr>
          <w:rStyle w:val="FootnoteReference"/>
          <w:rFonts w:ascii="Tahoma" w:hAnsi="Tahoma" w:cs="Tahoma"/>
          <w:sz w:val="32"/>
          <w:szCs w:val="32"/>
        </w:rPr>
        <w:footnoteReference w:id="48"/>
      </w:r>
      <w:r w:rsidR="000C660D">
        <w:rPr>
          <w:rFonts w:ascii="Tahoma" w:hAnsi="Tahoma" w:cs="Tahoma"/>
          <w:sz w:val="32"/>
          <w:szCs w:val="32"/>
        </w:rPr>
        <w:t xml:space="preserve"> and some </w:t>
      </w:r>
      <w:r w:rsidR="00985EC1">
        <w:rPr>
          <w:rFonts w:ascii="Tahoma" w:hAnsi="Tahoma" w:cs="Tahoma"/>
          <w:sz w:val="32"/>
          <w:szCs w:val="32"/>
        </w:rPr>
        <w:t xml:space="preserve">states and territories </w:t>
      </w:r>
      <w:r w:rsidR="000C660D">
        <w:rPr>
          <w:rFonts w:ascii="Tahoma" w:hAnsi="Tahoma" w:cs="Tahoma"/>
          <w:sz w:val="32"/>
          <w:szCs w:val="32"/>
        </w:rPr>
        <w:t>impose maximum times that a young person can be kept in isolation</w:t>
      </w:r>
      <w:r w:rsidR="000C660D">
        <w:rPr>
          <w:rStyle w:val="FootnoteReference"/>
          <w:rFonts w:ascii="Tahoma" w:hAnsi="Tahoma" w:cs="Tahoma"/>
          <w:sz w:val="32"/>
          <w:szCs w:val="32"/>
        </w:rPr>
        <w:footnoteReference w:id="49"/>
      </w:r>
      <w:r w:rsidR="000C660D">
        <w:rPr>
          <w:rFonts w:ascii="Tahoma" w:hAnsi="Tahoma" w:cs="Tahoma"/>
          <w:sz w:val="32"/>
          <w:szCs w:val="32"/>
        </w:rPr>
        <w:t xml:space="preserve"> </w:t>
      </w:r>
      <w:r w:rsidR="00655837">
        <w:rPr>
          <w:rFonts w:ascii="Tahoma" w:hAnsi="Tahoma" w:cs="Tahoma"/>
          <w:sz w:val="32"/>
          <w:szCs w:val="32"/>
        </w:rPr>
        <w:t xml:space="preserve">but </w:t>
      </w:r>
      <w:r w:rsidR="000C660D">
        <w:rPr>
          <w:rFonts w:ascii="Tahoma" w:hAnsi="Tahoma" w:cs="Tahoma"/>
          <w:sz w:val="32"/>
          <w:szCs w:val="32"/>
        </w:rPr>
        <w:t xml:space="preserve">others leave this at the discretion of the </w:t>
      </w:r>
      <w:r w:rsidR="00985EC1">
        <w:rPr>
          <w:rFonts w:ascii="Tahoma" w:hAnsi="Tahoma" w:cs="Tahoma"/>
          <w:sz w:val="32"/>
          <w:szCs w:val="32"/>
        </w:rPr>
        <w:t>corrections authority.   There does not appear to be any mandatory reporting across the country of detention punishment measures, for example, annual reporting to the state or territory parliament.</w:t>
      </w:r>
      <w:r w:rsidR="000C660D">
        <w:rPr>
          <w:rStyle w:val="FootnoteReference"/>
          <w:rFonts w:ascii="Tahoma" w:hAnsi="Tahoma" w:cs="Tahoma"/>
          <w:sz w:val="32"/>
          <w:szCs w:val="32"/>
        </w:rPr>
        <w:footnoteReference w:id="50"/>
      </w:r>
      <w:r w:rsidRPr="0035310B">
        <w:rPr>
          <w:rFonts w:ascii="Tahoma" w:hAnsi="Tahoma" w:cs="Tahoma"/>
          <w:sz w:val="32"/>
          <w:szCs w:val="32"/>
          <w:highlight w:val="yellow"/>
        </w:rPr>
        <w:t xml:space="preserve"> </w:t>
      </w:r>
    </w:p>
    <w:p w14:paraId="08869531" w14:textId="77777777" w:rsidR="00047CF5" w:rsidRPr="00F77E89" w:rsidRDefault="00047CF5" w:rsidP="00ED020B">
      <w:pPr>
        <w:spacing w:after="0" w:line="360" w:lineRule="auto"/>
        <w:jc w:val="both"/>
        <w:rPr>
          <w:rFonts w:ascii="Tahoma" w:hAnsi="Tahoma" w:cs="Tahoma"/>
          <w:sz w:val="32"/>
          <w:szCs w:val="32"/>
        </w:rPr>
      </w:pPr>
    </w:p>
    <w:p w14:paraId="4D5B7851" w14:textId="507C9389" w:rsidR="00047CF5" w:rsidRDefault="000C69AF" w:rsidP="002C1267">
      <w:pPr>
        <w:spacing w:after="0" w:line="360" w:lineRule="auto"/>
        <w:jc w:val="center"/>
        <w:rPr>
          <w:rFonts w:ascii="Tahoma" w:hAnsi="Tahoma" w:cs="Tahoma"/>
          <w:sz w:val="32"/>
          <w:szCs w:val="32"/>
        </w:rPr>
      </w:pPr>
      <w:r>
        <w:rPr>
          <w:rFonts w:ascii="Tahoma" w:hAnsi="Tahoma" w:cs="Tahoma"/>
          <w:sz w:val="32"/>
          <w:szCs w:val="32"/>
        </w:rPr>
        <w:t>*********************</w:t>
      </w:r>
    </w:p>
    <w:p w14:paraId="0417B5AB" w14:textId="77777777" w:rsidR="000C69AF" w:rsidRPr="00F77E89" w:rsidRDefault="000C69AF" w:rsidP="00ED020B">
      <w:pPr>
        <w:spacing w:after="0" w:line="360" w:lineRule="auto"/>
        <w:jc w:val="both"/>
        <w:rPr>
          <w:rFonts w:ascii="Tahoma" w:hAnsi="Tahoma" w:cs="Tahoma"/>
          <w:sz w:val="32"/>
          <w:szCs w:val="32"/>
        </w:rPr>
      </w:pPr>
    </w:p>
    <w:p w14:paraId="27D8BA7C" w14:textId="4E23F941" w:rsidR="00047CF5"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So, what is the reason for Australia’s</w:t>
      </w:r>
      <w:r w:rsidR="00E443F4">
        <w:rPr>
          <w:rFonts w:ascii="Tahoma" w:hAnsi="Tahoma" w:cs="Tahoma"/>
          <w:sz w:val="32"/>
          <w:szCs w:val="32"/>
        </w:rPr>
        <w:t xml:space="preserve"> slow progress a</w:t>
      </w:r>
      <w:r w:rsidRPr="00F77E89">
        <w:rPr>
          <w:rFonts w:ascii="Tahoma" w:hAnsi="Tahoma" w:cs="Tahoma"/>
          <w:sz w:val="32"/>
          <w:szCs w:val="32"/>
        </w:rPr>
        <w:t xml:space="preserve">fter the </w:t>
      </w:r>
      <w:r w:rsidR="00E443F4">
        <w:rPr>
          <w:rFonts w:ascii="Tahoma" w:hAnsi="Tahoma" w:cs="Tahoma"/>
          <w:sz w:val="32"/>
          <w:szCs w:val="32"/>
        </w:rPr>
        <w:t xml:space="preserve">Joint </w:t>
      </w:r>
      <w:r w:rsidRPr="00F77E89">
        <w:rPr>
          <w:rFonts w:ascii="Tahoma" w:hAnsi="Tahoma" w:cs="Tahoma"/>
          <w:sz w:val="32"/>
          <w:szCs w:val="32"/>
        </w:rPr>
        <w:t>Report was released in 1997 with its excoriating observations of our treatment of juvenile detainees and its many clear recommendations</w:t>
      </w:r>
      <w:r w:rsidR="00E443F4">
        <w:rPr>
          <w:rFonts w:ascii="Tahoma" w:hAnsi="Tahoma" w:cs="Tahoma"/>
          <w:sz w:val="32"/>
          <w:szCs w:val="32"/>
        </w:rPr>
        <w:t xml:space="preserve">? </w:t>
      </w:r>
    </w:p>
    <w:p w14:paraId="1B2593E9" w14:textId="77777777" w:rsidR="001A742D" w:rsidRPr="00F77E89" w:rsidRDefault="001A742D" w:rsidP="00ED020B">
      <w:pPr>
        <w:spacing w:after="0" w:line="360" w:lineRule="auto"/>
        <w:ind w:firstLine="720"/>
        <w:jc w:val="both"/>
        <w:rPr>
          <w:rFonts w:ascii="Tahoma" w:hAnsi="Tahoma" w:cs="Tahoma"/>
          <w:sz w:val="32"/>
          <w:szCs w:val="32"/>
        </w:rPr>
      </w:pPr>
    </w:p>
    <w:p w14:paraId="685D5E6A" w14:textId="3B14E28B" w:rsidR="00047CF5" w:rsidRDefault="00E443F4" w:rsidP="00ED020B">
      <w:pPr>
        <w:spacing w:after="0" w:line="360" w:lineRule="auto"/>
        <w:jc w:val="both"/>
        <w:rPr>
          <w:rFonts w:ascii="Tahoma" w:hAnsi="Tahoma" w:cs="Tahoma"/>
          <w:sz w:val="32"/>
          <w:szCs w:val="32"/>
        </w:rPr>
      </w:pPr>
      <w:r>
        <w:rPr>
          <w:rFonts w:ascii="Tahoma" w:hAnsi="Tahoma" w:cs="Tahoma"/>
          <w:sz w:val="32"/>
          <w:szCs w:val="32"/>
        </w:rPr>
        <w:tab/>
        <w:t xml:space="preserve">There has been a </w:t>
      </w:r>
      <w:r w:rsidR="000E6106">
        <w:rPr>
          <w:rFonts w:ascii="Tahoma" w:hAnsi="Tahoma" w:cs="Tahoma"/>
          <w:sz w:val="32"/>
          <w:szCs w:val="32"/>
        </w:rPr>
        <w:t>tendency for state governments and enforcement agencies to emphasize the topics of law and order and community safety</w:t>
      </w:r>
      <w:r>
        <w:rPr>
          <w:rFonts w:ascii="Tahoma" w:hAnsi="Tahoma" w:cs="Tahoma"/>
          <w:sz w:val="32"/>
          <w:szCs w:val="32"/>
        </w:rPr>
        <w:t>.  If I take Victoria</w:t>
      </w:r>
      <w:r w:rsidR="00BF43D6">
        <w:rPr>
          <w:rFonts w:ascii="Tahoma" w:hAnsi="Tahoma" w:cs="Tahoma"/>
          <w:sz w:val="32"/>
          <w:szCs w:val="32"/>
        </w:rPr>
        <w:t xml:space="preserve"> in the period 2010 to 2015</w:t>
      </w:r>
      <w:r>
        <w:rPr>
          <w:rFonts w:ascii="Tahoma" w:hAnsi="Tahoma" w:cs="Tahoma"/>
          <w:sz w:val="32"/>
          <w:szCs w:val="32"/>
        </w:rPr>
        <w:t xml:space="preserve">, </w:t>
      </w:r>
      <w:r w:rsidR="00BF43D6">
        <w:rPr>
          <w:rFonts w:ascii="Tahoma" w:hAnsi="Tahoma" w:cs="Tahoma"/>
          <w:sz w:val="32"/>
          <w:szCs w:val="32"/>
        </w:rPr>
        <w:t>sentenced</w:t>
      </w:r>
      <w:r>
        <w:rPr>
          <w:rFonts w:ascii="Tahoma" w:hAnsi="Tahoma" w:cs="Tahoma"/>
          <w:sz w:val="32"/>
          <w:szCs w:val="32"/>
        </w:rPr>
        <w:t xml:space="preserve"> offending patterns are declining</w:t>
      </w:r>
      <w:r w:rsidR="00BF43D6">
        <w:rPr>
          <w:rFonts w:ascii="Tahoma" w:hAnsi="Tahoma" w:cs="Tahoma"/>
          <w:sz w:val="32"/>
          <w:szCs w:val="32"/>
        </w:rPr>
        <w:t xml:space="preserve">, both in the number of children sentenced and the number of charges </w:t>
      </w:r>
      <w:r w:rsidR="000E6106">
        <w:rPr>
          <w:rFonts w:ascii="Tahoma" w:hAnsi="Tahoma" w:cs="Tahoma"/>
          <w:sz w:val="32"/>
          <w:szCs w:val="32"/>
        </w:rPr>
        <w:t>laid</w:t>
      </w:r>
      <w:r>
        <w:rPr>
          <w:rFonts w:ascii="Tahoma" w:hAnsi="Tahoma" w:cs="Tahoma"/>
          <w:sz w:val="32"/>
          <w:szCs w:val="32"/>
        </w:rPr>
        <w:t xml:space="preserve">.  </w:t>
      </w:r>
      <w:r>
        <w:rPr>
          <w:rFonts w:ascii="Tahoma" w:hAnsi="Tahoma" w:cs="Tahoma"/>
          <w:sz w:val="32"/>
          <w:szCs w:val="32"/>
        </w:rPr>
        <w:lastRenderedPageBreak/>
        <w:t xml:space="preserve">There is increased information available to the public about controversial even high profile criminal conduct through social media and the general media.  Academics have identified the readiness of governments to highlight threats to safety and the need for a strong, </w:t>
      </w:r>
      <w:r w:rsidR="00E302EC">
        <w:rPr>
          <w:rFonts w:ascii="Tahoma" w:hAnsi="Tahoma" w:cs="Tahoma"/>
          <w:sz w:val="32"/>
          <w:szCs w:val="32"/>
        </w:rPr>
        <w:t>‘</w:t>
      </w:r>
      <w:r>
        <w:rPr>
          <w:rFonts w:ascii="Tahoma" w:hAnsi="Tahoma" w:cs="Tahoma"/>
          <w:sz w:val="32"/>
          <w:szCs w:val="32"/>
        </w:rPr>
        <w:t>full force of the law</w:t>
      </w:r>
      <w:r w:rsidR="00E302EC">
        <w:rPr>
          <w:rFonts w:ascii="Tahoma" w:hAnsi="Tahoma" w:cs="Tahoma"/>
          <w:sz w:val="32"/>
          <w:szCs w:val="32"/>
        </w:rPr>
        <w:t>’</w:t>
      </w:r>
      <w:r>
        <w:rPr>
          <w:rFonts w:ascii="Tahoma" w:hAnsi="Tahoma" w:cs="Tahoma"/>
          <w:sz w:val="32"/>
          <w:szCs w:val="32"/>
        </w:rPr>
        <w:t xml:space="preserve"> response.</w:t>
      </w:r>
      <w:r>
        <w:rPr>
          <w:rStyle w:val="FootnoteReference"/>
          <w:rFonts w:ascii="Tahoma" w:hAnsi="Tahoma" w:cs="Tahoma"/>
          <w:sz w:val="32"/>
          <w:szCs w:val="32"/>
        </w:rPr>
        <w:footnoteReference w:id="51"/>
      </w:r>
      <w:r>
        <w:rPr>
          <w:rFonts w:ascii="Tahoma" w:hAnsi="Tahoma" w:cs="Tahoma"/>
          <w:sz w:val="32"/>
          <w:szCs w:val="32"/>
        </w:rPr>
        <w:t xml:space="preserve">  It is not clear as to what the foundation of the perceptions of threats to safety are.  It may be research drawn from focus groups, surveys or other sources.</w:t>
      </w:r>
    </w:p>
    <w:p w14:paraId="17579C5C" w14:textId="77777777" w:rsidR="00E443F4" w:rsidRDefault="00E443F4" w:rsidP="00ED020B">
      <w:pPr>
        <w:spacing w:after="0" w:line="360" w:lineRule="auto"/>
        <w:jc w:val="both"/>
        <w:rPr>
          <w:rFonts w:ascii="Tahoma" w:hAnsi="Tahoma" w:cs="Tahoma"/>
          <w:sz w:val="32"/>
          <w:szCs w:val="32"/>
        </w:rPr>
      </w:pPr>
    </w:p>
    <w:p w14:paraId="2794DCEB" w14:textId="08B40B35" w:rsidR="00E443F4" w:rsidRDefault="00E443F4" w:rsidP="00ED020B">
      <w:pPr>
        <w:spacing w:after="0" w:line="360" w:lineRule="auto"/>
        <w:jc w:val="both"/>
        <w:rPr>
          <w:rFonts w:ascii="Tahoma" w:hAnsi="Tahoma" w:cs="Tahoma"/>
          <w:sz w:val="32"/>
          <w:szCs w:val="32"/>
        </w:rPr>
      </w:pPr>
      <w:r>
        <w:rPr>
          <w:rFonts w:ascii="Tahoma" w:hAnsi="Tahoma" w:cs="Tahoma"/>
          <w:sz w:val="32"/>
          <w:szCs w:val="32"/>
        </w:rPr>
        <w:tab/>
        <w:t>Inevitably there will be frustration by enforcement agencies when children and young offenders repeatedly offend, breach bail, abscond from the protected environment and</w:t>
      </w:r>
      <w:r w:rsidR="001B2520">
        <w:rPr>
          <w:rFonts w:ascii="Tahoma" w:hAnsi="Tahoma" w:cs="Tahoma"/>
          <w:sz w:val="32"/>
          <w:szCs w:val="32"/>
        </w:rPr>
        <w:t xml:space="preserve"> engage in</w:t>
      </w:r>
      <w:r>
        <w:rPr>
          <w:rFonts w:ascii="Tahoma" w:hAnsi="Tahoma" w:cs="Tahoma"/>
          <w:sz w:val="32"/>
          <w:szCs w:val="32"/>
        </w:rPr>
        <w:t xml:space="preserve"> </w:t>
      </w:r>
      <w:r w:rsidR="0064416D">
        <w:rPr>
          <w:rFonts w:ascii="Tahoma" w:hAnsi="Tahoma" w:cs="Tahoma"/>
          <w:sz w:val="32"/>
          <w:szCs w:val="32"/>
        </w:rPr>
        <w:t xml:space="preserve">other </w:t>
      </w:r>
      <w:r w:rsidR="000E6106">
        <w:rPr>
          <w:rFonts w:ascii="Tahoma" w:hAnsi="Tahoma" w:cs="Tahoma"/>
          <w:sz w:val="32"/>
          <w:szCs w:val="32"/>
        </w:rPr>
        <w:t>activities creating difficulties with the managing of their detention</w:t>
      </w:r>
      <w:r w:rsidR="0064416D">
        <w:rPr>
          <w:rFonts w:ascii="Tahoma" w:hAnsi="Tahoma" w:cs="Tahoma"/>
          <w:sz w:val="32"/>
          <w:szCs w:val="32"/>
        </w:rPr>
        <w:t>.  Then there is the matter of offending while on bail.</w:t>
      </w:r>
    </w:p>
    <w:p w14:paraId="0094309F" w14:textId="77777777" w:rsidR="00E443F4" w:rsidRDefault="00E443F4" w:rsidP="00ED020B">
      <w:pPr>
        <w:spacing w:after="0" w:line="360" w:lineRule="auto"/>
        <w:jc w:val="both"/>
        <w:rPr>
          <w:rFonts w:ascii="Tahoma" w:hAnsi="Tahoma" w:cs="Tahoma"/>
          <w:sz w:val="32"/>
          <w:szCs w:val="32"/>
        </w:rPr>
      </w:pPr>
    </w:p>
    <w:p w14:paraId="74ED9763" w14:textId="19669763" w:rsidR="00E443F4" w:rsidRDefault="00E443F4" w:rsidP="00ED020B">
      <w:pPr>
        <w:spacing w:after="0" w:line="360" w:lineRule="auto"/>
        <w:jc w:val="both"/>
        <w:rPr>
          <w:rFonts w:ascii="Tahoma" w:hAnsi="Tahoma" w:cs="Tahoma"/>
          <w:sz w:val="32"/>
          <w:szCs w:val="32"/>
        </w:rPr>
      </w:pPr>
      <w:r>
        <w:rPr>
          <w:rFonts w:ascii="Tahoma" w:hAnsi="Tahoma" w:cs="Tahoma"/>
          <w:sz w:val="32"/>
          <w:szCs w:val="32"/>
        </w:rPr>
        <w:tab/>
      </w:r>
      <w:r w:rsidR="00DC2921">
        <w:rPr>
          <w:rFonts w:ascii="Tahoma" w:hAnsi="Tahoma" w:cs="Tahoma"/>
          <w:sz w:val="32"/>
          <w:szCs w:val="32"/>
        </w:rPr>
        <w:t>There is dramatic community concern when there is large-scale wanton disobedience and lawlessness.</w:t>
      </w:r>
    </w:p>
    <w:p w14:paraId="1A3C611F" w14:textId="77777777" w:rsidR="00DC2921" w:rsidRDefault="00DC2921" w:rsidP="00ED020B">
      <w:pPr>
        <w:spacing w:after="0" w:line="360" w:lineRule="auto"/>
        <w:jc w:val="both"/>
        <w:rPr>
          <w:rFonts w:ascii="Tahoma" w:hAnsi="Tahoma" w:cs="Tahoma"/>
          <w:sz w:val="32"/>
          <w:szCs w:val="32"/>
        </w:rPr>
      </w:pPr>
    </w:p>
    <w:p w14:paraId="1CC5FF2F" w14:textId="1A34B54A" w:rsidR="00DC2921" w:rsidRPr="00992AAC" w:rsidRDefault="00DC2921" w:rsidP="00ED020B">
      <w:pPr>
        <w:spacing w:after="0" w:line="360" w:lineRule="auto"/>
        <w:jc w:val="both"/>
        <w:rPr>
          <w:rFonts w:ascii="Tahoma" w:hAnsi="Tahoma" w:cs="Tahoma"/>
          <w:sz w:val="32"/>
          <w:szCs w:val="32"/>
        </w:rPr>
      </w:pPr>
      <w:r>
        <w:rPr>
          <w:rFonts w:ascii="Tahoma" w:hAnsi="Tahoma" w:cs="Tahoma"/>
          <w:sz w:val="32"/>
          <w:szCs w:val="32"/>
        </w:rPr>
        <w:tab/>
        <w:t xml:space="preserve">At these times resort to detention is </w:t>
      </w:r>
      <w:r w:rsidR="0064416D">
        <w:rPr>
          <w:rFonts w:ascii="Tahoma" w:hAnsi="Tahoma" w:cs="Tahoma"/>
          <w:sz w:val="32"/>
          <w:szCs w:val="32"/>
        </w:rPr>
        <w:t>a quick and tempting response to satisfy those demanding that something be done</w:t>
      </w:r>
      <w:r>
        <w:rPr>
          <w:rFonts w:ascii="Tahoma" w:hAnsi="Tahoma" w:cs="Tahoma"/>
          <w:sz w:val="32"/>
          <w:szCs w:val="32"/>
        </w:rPr>
        <w:t xml:space="preserve">.  However, </w:t>
      </w:r>
      <w:r w:rsidR="0064416D">
        <w:rPr>
          <w:rFonts w:ascii="Tahoma" w:hAnsi="Tahoma" w:cs="Tahoma"/>
          <w:sz w:val="32"/>
          <w:szCs w:val="32"/>
        </w:rPr>
        <w:t>is it in</w:t>
      </w:r>
      <w:r>
        <w:rPr>
          <w:rFonts w:ascii="Tahoma" w:hAnsi="Tahoma" w:cs="Tahoma"/>
          <w:sz w:val="32"/>
          <w:szCs w:val="32"/>
        </w:rPr>
        <w:t>consistent with the obligations required to protect, not punish, children and youth</w:t>
      </w:r>
      <w:r w:rsidR="001B2520">
        <w:rPr>
          <w:rFonts w:ascii="Tahoma" w:hAnsi="Tahoma" w:cs="Tahoma"/>
          <w:sz w:val="32"/>
          <w:szCs w:val="32"/>
        </w:rPr>
        <w:t>?</w:t>
      </w:r>
      <w:r>
        <w:rPr>
          <w:rFonts w:ascii="Tahoma" w:hAnsi="Tahoma" w:cs="Tahoma"/>
          <w:sz w:val="32"/>
          <w:szCs w:val="32"/>
        </w:rPr>
        <w:t xml:space="preserve"> </w:t>
      </w:r>
      <w:r w:rsidR="00A26022" w:rsidRPr="00992AAC">
        <w:rPr>
          <w:rFonts w:ascii="Tahoma" w:hAnsi="Tahoma" w:cs="Tahoma"/>
          <w:sz w:val="32"/>
          <w:szCs w:val="32"/>
        </w:rPr>
        <w:t>The potential to break the offending cycle is highest for young people, but they are under-</w:t>
      </w:r>
      <w:r w:rsidR="00A26022" w:rsidRPr="00992AAC">
        <w:rPr>
          <w:rFonts w:ascii="Tahoma" w:hAnsi="Tahoma" w:cs="Tahoma"/>
          <w:sz w:val="32"/>
          <w:szCs w:val="32"/>
        </w:rPr>
        <w:lastRenderedPageBreak/>
        <w:t>represented in accessing opportunities</w:t>
      </w:r>
      <w:r w:rsidR="000E6106">
        <w:rPr>
          <w:rFonts w:ascii="Tahoma" w:hAnsi="Tahoma" w:cs="Tahoma"/>
          <w:sz w:val="32"/>
          <w:szCs w:val="32"/>
        </w:rPr>
        <w:t xml:space="preserve"> for rehabilitation</w:t>
      </w:r>
      <w:r w:rsidR="00A26022" w:rsidRPr="00992AAC">
        <w:rPr>
          <w:rFonts w:ascii="Tahoma" w:hAnsi="Tahoma" w:cs="Tahoma"/>
          <w:sz w:val="32"/>
          <w:szCs w:val="32"/>
        </w:rPr>
        <w:t>.</w:t>
      </w:r>
      <w:r w:rsidR="004F1F13" w:rsidRPr="00992AAC">
        <w:rPr>
          <w:rFonts w:ascii="Tahoma" w:hAnsi="Tahoma" w:cs="Tahoma"/>
          <w:sz w:val="32"/>
          <w:szCs w:val="32"/>
        </w:rPr>
        <w:t xml:space="preserve">  Children in detention are frequently the victims of offences committed by other children in detention, and victimisation is a pathway into offending or re-offending for some children.</w:t>
      </w:r>
    </w:p>
    <w:p w14:paraId="6BC9D621" w14:textId="77777777" w:rsidR="00DC2921" w:rsidRDefault="00DC2921" w:rsidP="00ED020B">
      <w:pPr>
        <w:spacing w:after="0" w:line="360" w:lineRule="auto"/>
        <w:jc w:val="both"/>
        <w:rPr>
          <w:rFonts w:ascii="Tahoma" w:hAnsi="Tahoma" w:cs="Tahoma"/>
          <w:sz w:val="32"/>
          <w:szCs w:val="32"/>
          <w:highlight w:val="yellow"/>
        </w:rPr>
      </w:pPr>
    </w:p>
    <w:p w14:paraId="060E1398" w14:textId="77777777" w:rsidR="00246E9D" w:rsidRDefault="00DC2921" w:rsidP="00ED020B">
      <w:pPr>
        <w:spacing w:after="0" w:line="360" w:lineRule="auto"/>
        <w:ind w:firstLine="720"/>
        <w:jc w:val="both"/>
        <w:rPr>
          <w:rFonts w:ascii="Tahoma" w:hAnsi="Tahoma" w:cs="Tahoma"/>
          <w:sz w:val="32"/>
          <w:szCs w:val="32"/>
        </w:rPr>
      </w:pPr>
      <w:r>
        <w:rPr>
          <w:rFonts w:ascii="Tahoma" w:hAnsi="Tahoma" w:cs="Tahoma"/>
          <w:sz w:val="32"/>
          <w:szCs w:val="32"/>
        </w:rPr>
        <w:t xml:space="preserve">The indigenous challenge is one I mention with much hesitation.  </w:t>
      </w:r>
    </w:p>
    <w:p w14:paraId="44C49F10" w14:textId="77777777" w:rsidR="00246E9D" w:rsidRDefault="00246E9D" w:rsidP="00ED020B">
      <w:pPr>
        <w:spacing w:after="0" w:line="360" w:lineRule="auto"/>
        <w:ind w:firstLine="720"/>
        <w:jc w:val="both"/>
        <w:rPr>
          <w:rFonts w:ascii="Tahoma" w:hAnsi="Tahoma" w:cs="Tahoma"/>
          <w:sz w:val="32"/>
          <w:szCs w:val="32"/>
        </w:rPr>
      </w:pPr>
    </w:p>
    <w:p w14:paraId="0ED7CD51" w14:textId="4058B475" w:rsidR="00246E9D" w:rsidRPr="00F77E89" w:rsidRDefault="00246E9D" w:rsidP="00246E9D">
      <w:pPr>
        <w:spacing w:after="0" w:line="360" w:lineRule="auto"/>
        <w:ind w:firstLine="720"/>
        <w:jc w:val="both"/>
        <w:rPr>
          <w:rFonts w:ascii="Tahoma" w:hAnsi="Tahoma" w:cs="Tahoma"/>
          <w:sz w:val="32"/>
          <w:szCs w:val="32"/>
        </w:rPr>
      </w:pPr>
      <w:r w:rsidRPr="00F77E89">
        <w:rPr>
          <w:rFonts w:ascii="Tahoma" w:hAnsi="Tahoma" w:cs="Tahoma"/>
          <w:sz w:val="32"/>
          <w:szCs w:val="32"/>
        </w:rPr>
        <w:t xml:space="preserve">Throughout the </w:t>
      </w:r>
      <w:r w:rsidR="001B2520">
        <w:rPr>
          <w:rFonts w:ascii="Tahoma" w:hAnsi="Tahoma" w:cs="Tahoma"/>
          <w:sz w:val="32"/>
          <w:szCs w:val="32"/>
        </w:rPr>
        <w:t xml:space="preserve">Joint </w:t>
      </w:r>
      <w:r w:rsidRPr="00F77E89">
        <w:rPr>
          <w:rFonts w:ascii="Tahoma" w:hAnsi="Tahoma" w:cs="Tahoma"/>
          <w:sz w:val="32"/>
          <w:szCs w:val="32"/>
        </w:rPr>
        <w:t>Report are references to how the deficiencies with Australia’s juvenile justice system in 1997 were disproportionately impacting</w:t>
      </w:r>
      <w:r>
        <w:rPr>
          <w:rFonts w:ascii="Tahoma" w:hAnsi="Tahoma" w:cs="Tahoma"/>
          <w:sz w:val="32"/>
          <w:szCs w:val="32"/>
        </w:rPr>
        <w:t xml:space="preserve"> on</w:t>
      </w:r>
      <w:r w:rsidRPr="00F77E89">
        <w:rPr>
          <w:rFonts w:ascii="Tahoma" w:hAnsi="Tahoma" w:cs="Tahoma"/>
          <w:sz w:val="32"/>
          <w:szCs w:val="32"/>
        </w:rPr>
        <w:t xml:space="preserve"> </w:t>
      </w:r>
      <w:r>
        <w:rPr>
          <w:rFonts w:ascii="Tahoma" w:hAnsi="Tahoma" w:cs="Tahoma"/>
          <w:sz w:val="32"/>
          <w:szCs w:val="32"/>
        </w:rPr>
        <w:t>i</w:t>
      </w:r>
      <w:r w:rsidRPr="00F77E89">
        <w:rPr>
          <w:rFonts w:ascii="Tahoma" w:hAnsi="Tahoma" w:cs="Tahoma"/>
          <w:sz w:val="32"/>
          <w:szCs w:val="32"/>
        </w:rPr>
        <w:t>ndigenous children.</w:t>
      </w:r>
      <w:r w:rsidRPr="00F77E89">
        <w:rPr>
          <w:rStyle w:val="FootnoteReference"/>
          <w:rFonts w:ascii="Tahoma" w:hAnsi="Tahoma" w:cs="Tahoma"/>
          <w:sz w:val="32"/>
          <w:szCs w:val="32"/>
        </w:rPr>
        <w:footnoteReference w:id="52"/>
      </w:r>
      <w:r w:rsidRPr="00F77E89">
        <w:rPr>
          <w:rFonts w:ascii="Tahoma" w:hAnsi="Tahoma" w:cs="Tahoma"/>
          <w:sz w:val="32"/>
          <w:szCs w:val="32"/>
        </w:rPr>
        <w:t xml:space="preserve">  It noted that it seemed almost every diversionary program aimed at preventing children from being placed in detention was less successful for </w:t>
      </w:r>
      <w:r>
        <w:rPr>
          <w:rFonts w:ascii="Tahoma" w:hAnsi="Tahoma" w:cs="Tahoma"/>
          <w:sz w:val="32"/>
          <w:szCs w:val="32"/>
        </w:rPr>
        <w:t>i</w:t>
      </w:r>
      <w:r w:rsidRPr="00F77E89">
        <w:rPr>
          <w:rFonts w:ascii="Tahoma" w:hAnsi="Tahoma" w:cs="Tahoma"/>
          <w:sz w:val="32"/>
          <w:szCs w:val="32"/>
        </w:rPr>
        <w:t>ndigenous children.</w:t>
      </w:r>
      <w:r>
        <w:rPr>
          <w:rStyle w:val="FootnoteReference"/>
          <w:rFonts w:ascii="Tahoma" w:hAnsi="Tahoma" w:cs="Tahoma"/>
          <w:sz w:val="32"/>
          <w:szCs w:val="32"/>
        </w:rPr>
        <w:footnoteReference w:id="53"/>
      </w:r>
      <w:r w:rsidRPr="00F77E89">
        <w:rPr>
          <w:rFonts w:ascii="Tahoma" w:hAnsi="Tahoma" w:cs="Tahoma"/>
          <w:sz w:val="32"/>
          <w:szCs w:val="32"/>
        </w:rPr>
        <w:t xml:space="preserve">  </w:t>
      </w:r>
    </w:p>
    <w:p w14:paraId="07EC5C1E" w14:textId="77777777" w:rsidR="00246E9D" w:rsidRPr="00F77E89" w:rsidRDefault="00246E9D" w:rsidP="00246E9D">
      <w:pPr>
        <w:spacing w:after="0" w:line="360" w:lineRule="auto"/>
        <w:jc w:val="both"/>
        <w:rPr>
          <w:rFonts w:ascii="Tahoma" w:hAnsi="Tahoma" w:cs="Tahoma"/>
          <w:sz w:val="32"/>
          <w:szCs w:val="32"/>
        </w:rPr>
      </w:pPr>
    </w:p>
    <w:p w14:paraId="1196AD83" w14:textId="1862F807" w:rsidR="00246E9D" w:rsidRPr="00F77E89" w:rsidRDefault="00246E9D" w:rsidP="00246E9D">
      <w:pPr>
        <w:spacing w:after="0" w:line="360" w:lineRule="auto"/>
        <w:ind w:firstLine="720"/>
        <w:jc w:val="both"/>
        <w:rPr>
          <w:rFonts w:ascii="Tahoma" w:hAnsi="Tahoma" w:cs="Tahoma"/>
          <w:sz w:val="32"/>
          <w:szCs w:val="32"/>
        </w:rPr>
      </w:pPr>
      <w:r>
        <w:rPr>
          <w:rFonts w:ascii="Tahoma" w:hAnsi="Tahoma" w:cs="Tahoma"/>
          <w:sz w:val="32"/>
          <w:szCs w:val="32"/>
        </w:rPr>
        <w:t>Little has changed for i</w:t>
      </w:r>
      <w:r w:rsidRPr="00F77E89">
        <w:rPr>
          <w:rFonts w:ascii="Tahoma" w:hAnsi="Tahoma" w:cs="Tahoma"/>
          <w:sz w:val="32"/>
          <w:szCs w:val="32"/>
        </w:rPr>
        <w:t>ndigenous</w:t>
      </w:r>
      <w:r>
        <w:rPr>
          <w:rFonts w:ascii="Tahoma" w:hAnsi="Tahoma" w:cs="Tahoma"/>
          <w:sz w:val="32"/>
          <w:szCs w:val="32"/>
        </w:rPr>
        <w:t xml:space="preserve"> youth</w:t>
      </w:r>
      <w:r w:rsidRPr="00F77E89">
        <w:rPr>
          <w:rFonts w:ascii="Tahoma" w:hAnsi="Tahoma" w:cs="Tahoma"/>
          <w:sz w:val="32"/>
          <w:szCs w:val="32"/>
        </w:rPr>
        <w:t>.  A 2014 Australian Institution of Health and Welfare</w:t>
      </w:r>
      <w:r>
        <w:rPr>
          <w:rFonts w:ascii="Tahoma" w:hAnsi="Tahoma" w:cs="Tahoma"/>
          <w:sz w:val="32"/>
          <w:szCs w:val="32"/>
        </w:rPr>
        <w:t xml:space="preserve"> study indicated that although i</w:t>
      </w:r>
      <w:r w:rsidRPr="00F77E89">
        <w:rPr>
          <w:rFonts w:ascii="Tahoma" w:hAnsi="Tahoma" w:cs="Tahoma"/>
          <w:sz w:val="32"/>
          <w:szCs w:val="32"/>
        </w:rPr>
        <w:t>ndigenous children constitut</w:t>
      </w:r>
      <w:r>
        <w:rPr>
          <w:rFonts w:ascii="Tahoma" w:hAnsi="Tahoma" w:cs="Tahoma"/>
          <w:sz w:val="32"/>
          <w:szCs w:val="32"/>
        </w:rPr>
        <w:t>ed</w:t>
      </w:r>
      <w:r w:rsidRPr="00F77E89">
        <w:rPr>
          <w:rFonts w:ascii="Tahoma" w:hAnsi="Tahoma" w:cs="Tahoma"/>
          <w:sz w:val="32"/>
          <w:szCs w:val="32"/>
        </w:rPr>
        <w:t xml:space="preserve"> approximately 5.5% of Australia’s population of 10 to 17 year olds, they make up </w:t>
      </w:r>
      <w:r>
        <w:rPr>
          <w:rFonts w:ascii="Tahoma" w:hAnsi="Tahoma" w:cs="Tahoma"/>
          <w:sz w:val="32"/>
          <w:szCs w:val="32"/>
        </w:rPr>
        <w:t>over 5</w:t>
      </w:r>
      <w:r w:rsidRPr="00F77E89">
        <w:rPr>
          <w:rFonts w:ascii="Tahoma" w:hAnsi="Tahoma" w:cs="Tahoma"/>
          <w:sz w:val="32"/>
          <w:szCs w:val="32"/>
        </w:rPr>
        <w:t xml:space="preserve">0% of the </w:t>
      </w:r>
      <w:r w:rsidRPr="00F77E89">
        <w:rPr>
          <w:rFonts w:ascii="Tahoma" w:hAnsi="Tahoma" w:cs="Tahoma"/>
          <w:sz w:val="32"/>
          <w:szCs w:val="32"/>
        </w:rPr>
        <w:lastRenderedPageBreak/>
        <w:t>population of 10 to 17 year olds in detention.</w:t>
      </w:r>
      <w:r w:rsidRPr="00F77E89">
        <w:rPr>
          <w:rStyle w:val="FootnoteReference"/>
          <w:rFonts w:ascii="Tahoma" w:hAnsi="Tahoma" w:cs="Tahoma"/>
          <w:sz w:val="32"/>
          <w:szCs w:val="32"/>
        </w:rPr>
        <w:footnoteReference w:id="54"/>
      </w:r>
      <w:r>
        <w:rPr>
          <w:rFonts w:ascii="Tahoma" w:hAnsi="Tahoma" w:cs="Tahoma"/>
          <w:sz w:val="32"/>
          <w:szCs w:val="32"/>
        </w:rPr>
        <w:t xml:space="preserve">  </w:t>
      </w:r>
      <w:r w:rsidRPr="00F77E89">
        <w:rPr>
          <w:rFonts w:ascii="Tahoma" w:hAnsi="Tahoma" w:cs="Tahoma"/>
          <w:sz w:val="32"/>
          <w:szCs w:val="32"/>
        </w:rPr>
        <w:t>In the No</w:t>
      </w:r>
      <w:r>
        <w:rPr>
          <w:rFonts w:ascii="Tahoma" w:hAnsi="Tahoma" w:cs="Tahoma"/>
          <w:sz w:val="32"/>
          <w:szCs w:val="32"/>
        </w:rPr>
        <w:t>rthern Territory, I understand i</w:t>
      </w:r>
      <w:r w:rsidRPr="00F77E89">
        <w:rPr>
          <w:rFonts w:ascii="Tahoma" w:hAnsi="Tahoma" w:cs="Tahoma"/>
          <w:sz w:val="32"/>
          <w:szCs w:val="32"/>
        </w:rPr>
        <w:t xml:space="preserve">ndigenous youths account for </w:t>
      </w:r>
      <w:r>
        <w:rPr>
          <w:rFonts w:ascii="Tahoma" w:hAnsi="Tahoma" w:cs="Tahoma"/>
          <w:sz w:val="32"/>
          <w:szCs w:val="32"/>
        </w:rPr>
        <w:t>over 90%</w:t>
      </w:r>
      <w:r w:rsidRPr="00F77E89">
        <w:rPr>
          <w:rFonts w:ascii="Tahoma" w:hAnsi="Tahoma" w:cs="Tahoma"/>
          <w:sz w:val="32"/>
          <w:szCs w:val="32"/>
        </w:rPr>
        <w:t xml:space="preserve"> of the juvenile detainees.</w:t>
      </w:r>
      <w:r w:rsidRPr="00F77E89">
        <w:rPr>
          <w:rStyle w:val="FootnoteReference"/>
          <w:rFonts w:ascii="Tahoma" w:hAnsi="Tahoma" w:cs="Tahoma"/>
          <w:sz w:val="32"/>
          <w:szCs w:val="32"/>
        </w:rPr>
        <w:footnoteReference w:id="55"/>
      </w:r>
      <w:r>
        <w:rPr>
          <w:rFonts w:ascii="Tahoma" w:hAnsi="Tahoma" w:cs="Tahoma"/>
          <w:sz w:val="32"/>
          <w:szCs w:val="32"/>
        </w:rPr>
        <w:t xml:space="preserve">  Australia wide, Indigenous </w:t>
      </w:r>
      <w:r w:rsidRPr="007749A1">
        <w:rPr>
          <w:rFonts w:ascii="Tahoma" w:hAnsi="Tahoma" w:cs="Tahoma"/>
          <w:sz w:val="32"/>
          <w:szCs w:val="32"/>
        </w:rPr>
        <w:t>young people are about 15 times more likely than non-Indigenous young people to be under supervision on an average day.</w:t>
      </w:r>
    </w:p>
    <w:p w14:paraId="3FA07489" w14:textId="77777777" w:rsidR="00DC2921" w:rsidRDefault="00DC2921" w:rsidP="00ED020B">
      <w:pPr>
        <w:spacing w:after="0" w:line="360" w:lineRule="auto"/>
        <w:ind w:firstLine="720"/>
        <w:jc w:val="both"/>
        <w:rPr>
          <w:rFonts w:ascii="Tahoma" w:hAnsi="Tahoma" w:cs="Tahoma"/>
          <w:sz w:val="32"/>
          <w:szCs w:val="32"/>
        </w:rPr>
      </w:pPr>
    </w:p>
    <w:p w14:paraId="60FC008B" w14:textId="24486FAA" w:rsidR="00047CF5" w:rsidRPr="00F77E89" w:rsidRDefault="00047CF5" w:rsidP="00ED020B">
      <w:pPr>
        <w:spacing w:after="0" w:line="360" w:lineRule="auto"/>
        <w:ind w:firstLine="720"/>
        <w:jc w:val="both"/>
        <w:rPr>
          <w:rFonts w:ascii="Tahoma" w:hAnsi="Tahoma" w:cs="Tahoma"/>
          <w:sz w:val="32"/>
          <w:szCs w:val="32"/>
        </w:rPr>
      </w:pPr>
      <w:r w:rsidRPr="00F77E89">
        <w:rPr>
          <w:rFonts w:ascii="Tahoma" w:hAnsi="Tahoma" w:cs="Tahoma"/>
          <w:sz w:val="32"/>
          <w:szCs w:val="32"/>
        </w:rPr>
        <w:t xml:space="preserve">Senator Pat Dodson spoke in May of this year of the difficulty in reducing the rate of </w:t>
      </w:r>
      <w:r w:rsidR="00E302EC">
        <w:rPr>
          <w:rFonts w:ascii="Tahoma" w:hAnsi="Tahoma" w:cs="Tahoma"/>
          <w:sz w:val="32"/>
          <w:szCs w:val="32"/>
        </w:rPr>
        <w:t>i</w:t>
      </w:r>
      <w:r w:rsidRPr="00F77E89">
        <w:rPr>
          <w:rFonts w:ascii="Tahoma" w:hAnsi="Tahoma" w:cs="Tahoma"/>
          <w:sz w:val="32"/>
          <w:szCs w:val="32"/>
        </w:rPr>
        <w:t>ndigenous youths in juvenile detention when disciplinary laws intended to discourage law-breaking are introduced ‘without any real consideration of the factors that underlie why people commit crime’.</w:t>
      </w:r>
      <w:r w:rsidRPr="00F77E89">
        <w:rPr>
          <w:rStyle w:val="FootnoteReference"/>
          <w:rFonts w:ascii="Tahoma" w:hAnsi="Tahoma" w:cs="Tahoma"/>
          <w:sz w:val="32"/>
          <w:szCs w:val="32"/>
        </w:rPr>
        <w:footnoteReference w:id="56"/>
      </w:r>
      <w:r w:rsidRPr="00F77E89">
        <w:rPr>
          <w:rFonts w:ascii="Tahoma" w:hAnsi="Tahoma" w:cs="Tahoma"/>
          <w:sz w:val="32"/>
          <w:szCs w:val="32"/>
        </w:rPr>
        <w:t xml:space="preserve">  He went on to say ‘[t]hat is because [</w:t>
      </w:r>
      <w:r w:rsidR="00E302EC">
        <w:rPr>
          <w:rFonts w:ascii="Tahoma" w:hAnsi="Tahoma" w:cs="Tahoma"/>
          <w:sz w:val="32"/>
          <w:szCs w:val="32"/>
        </w:rPr>
        <w:t>i</w:t>
      </w:r>
      <w:r w:rsidRPr="00F77E89">
        <w:rPr>
          <w:rFonts w:ascii="Tahoma" w:hAnsi="Tahoma" w:cs="Tahoma"/>
          <w:sz w:val="32"/>
          <w:szCs w:val="32"/>
        </w:rPr>
        <w:t>ndigenous youths] live in poverty, because of the lack of proper education, the lack of opportunity for jobs, the lack of real engagement with the society’.</w:t>
      </w:r>
      <w:r w:rsidRPr="00F77E89">
        <w:rPr>
          <w:rStyle w:val="FootnoteReference"/>
          <w:rFonts w:ascii="Tahoma" w:hAnsi="Tahoma" w:cs="Tahoma"/>
          <w:sz w:val="32"/>
          <w:szCs w:val="32"/>
        </w:rPr>
        <w:footnoteReference w:id="57"/>
      </w:r>
      <w:r w:rsidRPr="00F77E89">
        <w:rPr>
          <w:rFonts w:ascii="Tahoma" w:hAnsi="Tahoma" w:cs="Tahoma"/>
          <w:sz w:val="32"/>
          <w:szCs w:val="32"/>
        </w:rPr>
        <w:t xml:space="preserve"> </w:t>
      </w:r>
    </w:p>
    <w:p w14:paraId="18580775" w14:textId="21DE733E" w:rsidR="00860CC1" w:rsidRDefault="00860CC1" w:rsidP="00ED020B">
      <w:pPr>
        <w:spacing w:after="0" w:line="360" w:lineRule="auto"/>
        <w:ind w:firstLine="720"/>
        <w:jc w:val="both"/>
        <w:rPr>
          <w:rFonts w:ascii="Tahoma" w:hAnsi="Tahoma" w:cs="Tahoma"/>
          <w:sz w:val="32"/>
          <w:szCs w:val="32"/>
        </w:rPr>
      </w:pPr>
    </w:p>
    <w:p w14:paraId="322DCB56" w14:textId="151375A3" w:rsidR="00860CC1" w:rsidRDefault="00860CC1" w:rsidP="00ED020B">
      <w:pPr>
        <w:spacing w:after="0" w:line="360" w:lineRule="auto"/>
        <w:ind w:firstLine="720"/>
        <w:jc w:val="both"/>
        <w:rPr>
          <w:rFonts w:ascii="Tahoma" w:hAnsi="Tahoma" w:cs="Tahoma"/>
          <w:sz w:val="32"/>
          <w:szCs w:val="32"/>
        </w:rPr>
      </w:pPr>
      <w:r>
        <w:rPr>
          <w:rFonts w:ascii="Tahoma" w:hAnsi="Tahoma" w:cs="Tahoma"/>
          <w:sz w:val="32"/>
          <w:szCs w:val="32"/>
        </w:rPr>
        <w:lastRenderedPageBreak/>
        <w:t xml:space="preserve">The Minister for Indigenous Affairs </w:t>
      </w:r>
      <w:r w:rsidR="00246E9D">
        <w:rPr>
          <w:rFonts w:ascii="Tahoma" w:hAnsi="Tahoma" w:cs="Tahoma"/>
          <w:sz w:val="32"/>
          <w:szCs w:val="32"/>
        </w:rPr>
        <w:t xml:space="preserve">not long ago </w:t>
      </w:r>
      <w:r>
        <w:rPr>
          <w:rFonts w:ascii="Tahoma" w:hAnsi="Tahoma" w:cs="Tahoma"/>
          <w:sz w:val="32"/>
          <w:szCs w:val="32"/>
        </w:rPr>
        <w:t>said ‘</w:t>
      </w:r>
      <w:r w:rsidRPr="00992AAC">
        <w:rPr>
          <w:rFonts w:ascii="Tahoma" w:hAnsi="Tahoma" w:cs="Tahoma"/>
          <w:sz w:val="32"/>
          <w:szCs w:val="32"/>
        </w:rPr>
        <w:t>The welfare of youths who come into contact with the youth justice system should be the highest priority</w:t>
      </w:r>
      <w:r>
        <w:rPr>
          <w:rFonts w:ascii="Tahoma" w:hAnsi="Tahoma" w:cs="Tahoma"/>
          <w:sz w:val="32"/>
          <w:szCs w:val="32"/>
        </w:rPr>
        <w:t>’.</w:t>
      </w:r>
      <w:r w:rsidR="00D07C96">
        <w:rPr>
          <w:rStyle w:val="FootnoteReference"/>
          <w:rFonts w:ascii="Tahoma" w:hAnsi="Tahoma" w:cs="Tahoma"/>
          <w:sz w:val="32"/>
          <w:szCs w:val="32"/>
        </w:rPr>
        <w:footnoteReference w:id="58"/>
      </w:r>
      <w:r>
        <w:rPr>
          <w:rFonts w:ascii="Tahoma" w:hAnsi="Tahoma" w:cs="Tahoma"/>
          <w:sz w:val="32"/>
          <w:szCs w:val="32"/>
        </w:rPr>
        <w:t xml:space="preserve">  </w:t>
      </w:r>
    </w:p>
    <w:p w14:paraId="12D1B32D" w14:textId="77777777" w:rsidR="00246E9D" w:rsidRDefault="00246E9D" w:rsidP="00ED020B">
      <w:pPr>
        <w:spacing w:after="0" w:line="360" w:lineRule="auto"/>
        <w:ind w:firstLine="720"/>
        <w:jc w:val="both"/>
        <w:rPr>
          <w:rFonts w:ascii="Tahoma" w:hAnsi="Tahoma" w:cs="Tahoma"/>
          <w:sz w:val="32"/>
          <w:szCs w:val="32"/>
        </w:rPr>
      </w:pPr>
    </w:p>
    <w:p w14:paraId="54E1BCCC" w14:textId="6D0FCEC5" w:rsidR="006202B2" w:rsidRDefault="00DC2921" w:rsidP="006202B2">
      <w:pPr>
        <w:spacing w:after="0" w:line="360" w:lineRule="auto"/>
        <w:ind w:firstLine="720"/>
        <w:jc w:val="both"/>
        <w:rPr>
          <w:rFonts w:ascii="Tahoma" w:hAnsi="Tahoma" w:cs="Tahoma"/>
          <w:sz w:val="32"/>
          <w:szCs w:val="32"/>
        </w:rPr>
      </w:pPr>
      <w:r>
        <w:rPr>
          <w:rFonts w:ascii="Tahoma" w:hAnsi="Tahoma" w:cs="Tahoma"/>
          <w:sz w:val="32"/>
          <w:szCs w:val="32"/>
        </w:rPr>
        <w:t xml:space="preserve">The current sentencing of children and young offenders is usually done in private, done according to the law but without direct explanation to or input from an offender themselves, their family or their friends. </w:t>
      </w:r>
      <w:r w:rsidR="006202B2">
        <w:rPr>
          <w:rFonts w:ascii="Tahoma" w:hAnsi="Tahoma" w:cs="Tahoma"/>
          <w:sz w:val="32"/>
          <w:szCs w:val="32"/>
        </w:rPr>
        <w:t xml:space="preserve"> Cases progress according to the peculiarities of the justice system that we as lawyers have become accustomed to but which others often find wholly foreign and inexplicable.  Indigenous Australians in particular have been reported to have a gener</w:t>
      </w:r>
      <w:r w:rsidR="003B60EC">
        <w:rPr>
          <w:rFonts w:ascii="Tahoma" w:hAnsi="Tahoma" w:cs="Tahoma"/>
          <w:sz w:val="32"/>
          <w:szCs w:val="32"/>
        </w:rPr>
        <w:t>al distrust of the legal system, exacerbated by the significant language barriers they face and the perception courts have a lack of cultural awareness.</w:t>
      </w:r>
      <w:r w:rsidR="003B60EC">
        <w:rPr>
          <w:rStyle w:val="FootnoteReference"/>
          <w:rFonts w:ascii="Tahoma" w:hAnsi="Tahoma" w:cs="Tahoma"/>
          <w:sz w:val="32"/>
          <w:szCs w:val="32"/>
        </w:rPr>
        <w:footnoteReference w:id="59"/>
      </w:r>
    </w:p>
    <w:p w14:paraId="44EDADCB" w14:textId="77777777" w:rsidR="00DC2921" w:rsidRDefault="00DC2921" w:rsidP="00DC2921">
      <w:pPr>
        <w:spacing w:after="0" w:line="360" w:lineRule="auto"/>
        <w:jc w:val="both"/>
        <w:rPr>
          <w:rFonts w:ascii="Tahoma" w:hAnsi="Tahoma" w:cs="Tahoma"/>
          <w:sz w:val="32"/>
          <w:szCs w:val="32"/>
        </w:rPr>
      </w:pPr>
    </w:p>
    <w:p w14:paraId="37E267A8" w14:textId="05B17665" w:rsidR="000C69AF" w:rsidRDefault="000C69AF" w:rsidP="002C1267">
      <w:pPr>
        <w:spacing w:after="0" w:line="360" w:lineRule="auto"/>
        <w:jc w:val="center"/>
        <w:rPr>
          <w:rFonts w:ascii="Tahoma" w:hAnsi="Tahoma" w:cs="Tahoma"/>
          <w:sz w:val="32"/>
          <w:szCs w:val="32"/>
        </w:rPr>
      </w:pPr>
      <w:r>
        <w:rPr>
          <w:rFonts w:ascii="Tahoma" w:hAnsi="Tahoma" w:cs="Tahoma"/>
          <w:sz w:val="32"/>
          <w:szCs w:val="32"/>
        </w:rPr>
        <w:t>******************************</w:t>
      </w:r>
    </w:p>
    <w:p w14:paraId="307D538C" w14:textId="77777777" w:rsidR="000C69AF" w:rsidRDefault="000C69AF" w:rsidP="00DC2921">
      <w:pPr>
        <w:spacing w:after="0" w:line="360" w:lineRule="auto"/>
        <w:jc w:val="both"/>
        <w:rPr>
          <w:rFonts w:ascii="Tahoma" w:hAnsi="Tahoma" w:cs="Tahoma"/>
          <w:sz w:val="32"/>
          <w:szCs w:val="32"/>
        </w:rPr>
      </w:pPr>
    </w:p>
    <w:p w14:paraId="6D3115E4" w14:textId="731BA8BA" w:rsidR="00DC2921" w:rsidRDefault="00DC2921" w:rsidP="00DC2921">
      <w:pPr>
        <w:spacing w:after="0" w:line="360" w:lineRule="auto"/>
        <w:ind w:firstLine="720"/>
        <w:jc w:val="both"/>
        <w:rPr>
          <w:rFonts w:ascii="Tahoma" w:hAnsi="Tahoma" w:cs="Tahoma"/>
          <w:sz w:val="32"/>
          <w:szCs w:val="32"/>
        </w:rPr>
      </w:pPr>
      <w:r>
        <w:rPr>
          <w:rFonts w:ascii="Tahoma" w:hAnsi="Tahoma" w:cs="Tahoma"/>
          <w:sz w:val="32"/>
          <w:szCs w:val="32"/>
        </w:rPr>
        <w:t>I reflected on the prospect of on-going judicial oversight.  Options could include multi-disciplin</w:t>
      </w:r>
      <w:r w:rsidR="006D1234">
        <w:rPr>
          <w:rFonts w:ascii="Tahoma" w:hAnsi="Tahoma" w:cs="Tahoma"/>
          <w:sz w:val="32"/>
          <w:szCs w:val="32"/>
        </w:rPr>
        <w:t>ary</w:t>
      </w:r>
      <w:r>
        <w:rPr>
          <w:rFonts w:ascii="Tahoma" w:hAnsi="Tahoma" w:cs="Tahoma"/>
          <w:sz w:val="32"/>
          <w:szCs w:val="32"/>
        </w:rPr>
        <w:t xml:space="preserve"> oversight of the problem child or offender.   For example, sentencing in consultation with police, corrections, health </w:t>
      </w:r>
      <w:r w:rsidR="00D24F0F">
        <w:rPr>
          <w:rFonts w:ascii="Tahoma" w:hAnsi="Tahoma" w:cs="Tahoma"/>
          <w:sz w:val="32"/>
          <w:szCs w:val="32"/>
        </w:rPr>
        <w:t>and</w:t>
      </w:r>
      <w:r>
        <w:rPr>
          <w:rFonts w:ascii="Tahoma" w:hAnsi="Tahoma" w:cs="Tahoma"/>
          <w:sz w:val="32"/>
          <w:szCs w:val="32"/>
        </w:rPr>
        <w:t xml:space="preserve"> welfare authorities.  We must use </w:t>
      </w:r>
      <w:r>
        <w:rPr>
          <w:rFonts w:ascii="Tahoma" w:hAnsi="Tahoma" w:cs="Tahoma"/>
          <w:sz w:val="32"/>
          <w:szCs w:val="32"/>
        </w:rPr>
        <w:lastRenderedPageBreak/>
        <w:t>the valuable knowledge and experience of those who have spent time with children or young offenders and their peers and who know the individuals and their circumstances better than we can as judges.  There are many different ways of looking after this group.</w:t>
      </w:r>
    </w:p>
    <w:p w14:paraId="0F21C12B" w14:textId="77777777" w:rsidR="00DC2921" w:rsidRDefault="00DC2921" w:rsidP="00DC2921">
      <w:pPr>
        <w:spacing w:after="0" w:line="360" w:lineRule="auto"/>
        <w:ind w:firstLine="720"/>
        <w:jc w:val="both"/>
        <w:rPr>
          <w:rFonts w:ascii="Tahoma" w:hAnsi="Tahoma" w:cs="Tahoma"/>
          <w:sz w:val="32"/>
          <w:szCs w:val="32"/>
        </w:rPr>
      </w:pPr>
    </w:p>
    <w:p w14:paraId="1CFC537C" w14:textId="47524C51" w:rsidR="00DC2921" w:rsidRDefault="00DC2921" w:rsidP="00DC2921">
      <w:pPr>
        <w:spacing w:after="0" w:line="360" w:lineRule="auto"/>
        <w:ind w:firstLine="720"/>
        <w:jc w:val="both"/>
        <w:rPr>
          <w:rFonts w:ascii="Tahoma" w:hAnsi="Tahoma" w:cs="Tahoma"/>
          <w:sz w:val="32"/>
          <w:szCs w:val="32"/>
        </w:rPr>
      </w:pPr>
      <w:r>
        <w:rPr>
          <w:rFonts w:ascii="Tahoma" w:hAnsi="Tahoma" w:cs="Tahoma"/>
          <w:sz w:val="32"/>
          <w:szCs w:val="32"/>
        </w:rPr>
        <w:t xml:space="preserve">One approach I have observed to achieve much success are the </w:t>
      </w:r>
      <w:r w:rsidR="00E302EC">
        <w:rPr>
          <w:rFonts w:ascii="Tahoma" w:hAnsi="Tahoma" w:cs="Tahoma"/>
          <w:sz w:val="32"/>
          <w:szCs w:val="32"/>
        </w:rPr>
        <w:t>‘</w:t>
      </w:r>
      <w:r>
        <w:rPr>
          <w:rFonts w:ascii="Tahoma" w:hAnsi="Tahoma" w:cs="Tahoma"/>
          <w:sz w:val="32"/>
          <w:szCs w:val="32"/>
        </w:rPr>
        <w:t>circle justice</w:t>
      </w:r>
      <w:r w:rsidR="00E302EC">
        <w:rPr>
          <w:rFonts w:ascii="Tahoma" w:hAnsi="Tahoma" w:cs="Tahoma"/>
          <w:sz w:val="32"/>
          <w:szCs w:val="32"/>
        </w:rPr>
        <w:t>’</w:t>
      </w:r>
      <w:r>
        <w:rPr>
          <w:rFonts w:ascii="Tahoma" w:hAnsi="Tahoma" w:cs="Tahoma"/>
          <w:sz w:val="32"/>
          <w:szCs w:val="32"/>
        </w:rPr>
        <w:t xml:space="preserve"> courts.  In Victoria these are called Koori Courts.  They exist for adults in the County and Magistrates’ Courts and for children in the Children’s Court.</w:t>
      </w:r>
    </w:p>
    <w:p w14:paraId="0E24479C" w14:textId="77777777" w:rsidR="00DC2921" w:rsidRDefault="00DC2921" w:rsidP="00DC2921">
      <w:pPr>
        <w:spacing w:after="0" w:line="360" w:lineRule="auto"/>
        <w:ind w:firstLine="720"/>
        <w:jc w:val="both"/>
        <w:rPr>
          <w:rFonts w:ascii="Tahoma" w:hAnsi="Tahoma" w:cs="Tahoma"/>
          <w:sz w:val="32"/>
          <w:szCs w:val="32"/>
        </w:rPr>
      </w:pPr>
    </w:p>
    <w:p w14:paraId="20DBDDA7" w14:textId="1EA934EC" w:rsidR="00DC2921" w:rsidRDefault="00DC2921" w:rsidP="00DC2921">
      <w:pPr>
        <w:spacing w:after="0" w:line="360" w:lineRule="auto"/>
        <w:ind w:firstLine="720"/>
        <w:jc w:val="both"/>
        <w:rPr>
          <w:rFonts w:ascii="Tahoma" w:hAnsi="Tahoma" w:cs="Tahoma"/>
          <w:sz w:val="32"/>
          <w:szCs w:val="32"/>
        </w:rPr>
      </w:pPr>
      <w:r>
        <w:rPr>
          <w:rFonts w:ascii="Tahoma" w:hAnsi="Tahoma" w:cs="Tahoma"/>
          <w:sz w:val="32"/>
          <w:szCs w:val="32"/>
        </w:rPr>
        <w:t>As the President of the Victorian Children’s Court has noted,</w:t>
      </w:r>
      <w:r>
        <w:rPr>
          <w:rStyle w:val="FootnoteReference"/>
          <w:rFonts w:ascii="Tahoma" w:hAnsi="Tahoma" w:cs="Tahoma"/>
          <w:sz w:val="32"/>
          <w:szCs w:val="32"/>
        </w:rPr>
        <w:footnoteReference w:id="60"/>
      </w:r>
      <w:r>
        <w:rPr>
          <w:rFonts w:ascii="Tahoma" w:hAnsi="Tahoma" w:cs="Tahoma"/>
          <w:sz w:val="32"/>
          <w:szCs w:val="32"/>
        </w:rPr>
        <w:t xml:space="preserve"> indigenous participation in sentencing was an important focus of the Royal Commission into </w:t>
      </w:r>
      <w:r w:rsidR="00E302EC">
        <w:rPr>
          <w:rFonts w:ascii="Tahoma" w:hAnsi="Tahoma" w:cs="Tahoma"/>
          <w:sz w:val="32"/>
          <w:szCs w:val="32"/>
        </w:rPr>
        <w:t>D</w:t>
      </w:r>
      <w:r>
        <w:rPr>
          <w:rFonts w:ascii="Tahoma" w:hAnsi="Tahoma" w:cs="Tahoma"/>
          <w:sz w:val="32"/>
          <w:szCs w:val="32"/>
        </w:rPr>
        <w:t xml:space="preserve">eaths in </w:t>
      </w:r>
      <w:r w:rsidR="00E302EC">
        <w:rPr>
          <w:rFonts w:ascii="Tahoma" w:hAnsi="Tahoma" w:cs="Tahoma"/>
          <w:sz w:val="32"/>
          <w:szCs w:val="32"/>
        </w:rPr>
        <w:t>C</w:t>
      </w:r>
      <w:r>
        <w:rPr>
          <w:rFonts w:ascii="Tahoma" w:hAnsi="Tahoma" w:cs="Tahoma"/>
          <w:sz w:val="32"/>
          <w:szCs w:val="32"/>
        </w:rPr>
        <w:t>ustody.</w:t>
      </w:r>
      <w:r>
        <w:rPr>
          <w:rStyle w:val="FootnoteReference"/>
          <w:rFonts w:ascii="Tahoma" w:hAnsi="Tahoma" w:cs="Tahoma"/>
          <w:sz w:val="32"/>
          <w:szCs w:val="32"/>
        </w:rPr>
        <w:footnoteReference w:id="61"/>
      </w:r>
    </w:p>
    <w:p w14:paraId="5AFF3C0D" w14:textId="77777777" w:rsidR="00F20F3D" w:rsidRDefault="00F20F3D" w:rsidP="00DC2921">
      <w:pPr>
        <w:spacing w:after="0" w:line="360" w:lineRule="auto"/>
        <w:ind w:firstLine="720"/>
        <w:jc w:val="both"/>
        <w:rPr>
          <w:rFonts w:ascii="Tahoma" w:hAnsi="Tahoma" w:cs="Tahoma"/>
          <w:sz w:val="32"/>
          <w:szCs w:val="32"/>
        </w:rPr>
      </w:pPr>
    </w:p>
    <w:p w14:paraId="70D027AB" w14:textId="09F09C43" w:rsidR="00E566DB" w:rsidRDefault="00F20F3D" w:rsidP="00DC2921">
      <w:pPr>
        <w:spacing w:after="0" w:line="360" w:lineRule="auto"/>
        <w:ind w:firstLine="720"/>
        <w:jc w:val="both"/>
        <w:rPr>
          <w:rFonts w:ascii="Tahoma" w:hAnsi="Tahoma" w:cs="Tahoma"/>
          <w:sz w:val="32"/>
          <w:szCs w:val="32"/>
        </w:rPr>
      </w:pPr>
      <w:r>
        <w:rPr>
          <w:rFonts w:ascii="Tahoma" w:hAnsi="Tahoma" w:cs="Tahoma"/>
          <w:sz w:val="32"/>
          <w:szCs w:val="32"/>
        </w:rPr>
        <w:t>The Victorian Koori Court model involves the judge or magistrate sittin</w:t>
      </w:r>
      <w:r w:rsidR="00D24F0F">
        <w:rPr>
          <w:rFonts w:ascii="Tahoma" w:hAnsi="Tahoma" w:cs="Tahoma"/>
          <w:sz w:val="32"/>
          <w:szCs w:val="32"/>
        </w:rPr>
        <w:t xml:space="preserve">g in a less formal, </w:t>
      </w:r>
      <w:r w:rsidR="000E6106">
        <w:rPr>
          <w:rFonts w:ascii="Tahoma" w:hAnsi="Tahoma" w:cs="Tahoma"/>
          <w:sz w:val="32"/>
          <w:szCs w:val="32"/>
        </w:rPr>
        <w:t>non</w:t>
      </w:r>
      <w:r>
        <w:rPr>
          <w:rFonts w:ascii="Tahoma" w:hAnsi="Tahoma" w:cs="Tahoma"/>
          <w:sz w:val="32"/>
          <w:szCs w:val="32"/>
        </w:rPr>
        <w:t>-</w:t>
      </w:r>
      <w:r w:rsidR="00D24F0F">
        <w:rPr>
          <w:rFonts w:ascii="Tahoma" w:hAnsi="Tahoma" w:cs="Tahoma"/>
          <w:sz w:val="32"/>
          <w:szCs w:val="32"/>
        </w:rPr>
        <w:t>adversarial</w:t>
      </w:r>
      <w:r>
        <w:rPr>
          <w:rFonts w:ascii="Tahoma" w:hAnsi="Tahoma" w:cs="Tahoma"/>
          <w:sz w:val="32"/>
          <w:szCs w:val="32"/>
        </w:rPr>
        <w:t xml:space="preserve"> setting with usually two indigenous </w:t>
      </w:r>
      <w:r w:rsidR="00E302EC">
        <w:rPr>
          <w:rFonts w:ascii="Tahoma" w:hAnsi="Tahoma" w:cs="Tahoma"/>
          <w:sz w:val="32"/>
          <w:szCs w:val="32"/>
        </w:rPr>
        <w:t>E</w:t>
      </w:r>
      <w:r>
        <w:rPr>
          <w:rFonts w:ascii="Tahoma" w:hAnsi="Tahoma" w:cs="Tahoma"/>
          <w:sz w:val="32"/>
          <w:szCs w:val="32"/>
        </w:rPr>
        <w:t xml:space="preserve">lders.  The individual may be legally represented but the discussion is between the individual and the court, including the elders.  </w:t>
      </w:r>
      <w:r w:rsidR="008E36F1">
        <w:rPr>
          <w:rFonts w:ascii="Tahoma" w:hAnsi="Tahoma" w:cs="Tahoma"/>
          <w:sz w:val="32"/>
          <w:szCs w:val="32"/>
        </w:rPr>
        <w:t xml:space="preserve">The ‘sentencing conversation’ is </w:t>
      </w:r>
      <w:r w:rsidR="008E36F1" w:rsidRPr="00992AAC">
        <w:rPr>
          <w:rFonts w:ascii="Tahoma" w:hAnsi="Tahoma" w:cs="Tahoma"/>
          <w:sz w:val="32"/>
          <w:szCs w:val="32"/>
        </w:rPr>
        <w:t xml:space="preserve">conducted around an oval table, </w:t>
      </w:r>
      <w:r w:rsidR="008E36F1">
        <w:rPr>
          <w:rFonts w:ascii="Tahoma" w:hAnsi="Tahoma" w:cs="Tahoma"/>
          <w:sz w:val="32"/>
          <w:szCs w:val="32"/>
        </w:rPr>
        <w:t>and</w:t>
      </w:r>
      <w:r w:rsidR="008E36F1" w:rsidRPr="00992AAC">
        <w:rPr>
          <w:rFonts w:ascii="Tahoma" w:hAnsi="Tahoma" w:cs="Tahoma"/>
          <w:sz w:val="32"/>
          <w:szCs w:val="32"/>
        </w:rPr>
        <w:t xml:space="preserve"> the magistrate sit</w:t>
      </w:r>
      <w:r w:rsidR="008E36F1">
        <w:rPr>
          <w:rFonts w:ascii="Tahoma" w:hAnsi="Tahoma" w:cs="Tahoma"/>
          <w:sz w:val="32"/>
          <w:szCs w:val="32"/>
        </w:rPr>
        <w:t>s</w:t>
      </w:r>
      <w:r w:rsidR="008E36F1" w:rsidRPr="00992AAC">
        <w:rPr>
          <w:rFonts w:ascii="Tahoma" w:hAnsi="Tahoma" w:cs="Tahoma"/>
          <w:sz w:val="32"/>
          <w:szCs w:val="32"/>
        </w:rPr>
        <w:t xml:space="preserve"> at the same level as other participants</w:t>
      </w:r>
      <w:r w:rsidR="008E36F1">
        <w:rPr>
          <w:rFonts w:ascii="Tahoma" w:hAnsi="Tahoma" w:cs="Tahoma"/>
          <w:sz w:val="32"/>
          <w:szCs w:val="32"/>
        </w:rPr>
        <w:t xml:space="preserve">. </w:t>
      </w:r>
      <w:r>
        <w:rPr>
          <w:rFonts w:ascii="Tahoma" w:hAnsi="Tahoma" w:cs="Tahoma"/>
          <w:sz w:val="32"/>
          <w:szCs w:val="32"/>
        </w:rPr>
        <w:t xml:space="preserve">The Children’s Koori Court has </w:t>
      </w:r>
      <w:r>
        <w:rPr>
          <w:rFonts w:ascii="Tahoma" w:hAnsi="Tahoma" w:cs="Tahoma"/>
          <w:sz w:val="32"/>
          <w:szCs w:val="32"/>
        </w:rPr>
        <w:lastRenderedPageBreak/>
        <w:t xml:space="preserve">been very </w:t>
      </w:r>
      <w:r w:rsidR="00246E9D">
        <w:rPr>
          <w:rFonts w:ascii="Tahoma" w:hAnsi="Tahoma" w:cs="Tahoma"/>
          <w:sz w:val="32"/>
          <w:szCs w:val="32"/>
        </w:rPr>
        <w:t xml:space="preserve">successful.  </w:t>
      </w:r>
      <w:r w:rsidR="00E566DB">
        <w:rPr>
          <w:rFonts w:ascii="Tahoma" w:hAnsi="Tahoma" w:cs="Tahoma"/>
          <w:sz w:val="32"/>
          <w:szCs w:val="32"/>
        </w:rPr>
        <w:t xml:space="preserve">Initially the </w:t>
      </w:r>
      <w:r w:rsidR="00872D08">
        <w:rPr>
          <w:rFonts w:ascii="Tahoma" w:hAnsi="Tahoma" w:cs="Tahoma"/>
          <w:sz w:val="32"/>
          <w:szCs w:val="32"/>
        </w:rPr>
        <w:t xml:space="preserve">Children’s Koori Court </w:t>
      </w:r>
      <w:r w:rsidR="00E566DB">
        <w:rPr>
          <w:rFonts w:ascii="Tahoma" w:hAnsi="Tahoma" w:cs="Tahoma"/>
          <w:sz w:val="32"/>
          <w:szCs w:val="32"/>
        </w:rPr>
        <w:t>sat in two locations, but now it sits in</w:t>
      </w:r>
      <w:r w:rsidR="00872D08">
        <w:rPr>
          <w:rFonts w:ascii="Tahoma" w:hAnsi="Tahoma" w:cs="Tahoma"/>
          <w:sz w:val="32"/>
          <w:szCs w:val="32"/>
        </w:rPr>
        <w:t xml:space="preserve"> nine court locations.</w:t>
      </w:r>
      <w:r w:rsidR="008E36F1">
        <w:rPr>
          <w:rFonts w:ascii="Tahoma" w:hAnsi="Tahoma" w:cs="Tahoma"/>
          <w:sz w:val="32"/>
          <w:szCs w:val="32"/>
        </w:rPr>
        <w:t xml:space="preserve">  </w:t>
      </w:r>
    </w:p>
    <w:p w14:paraId="287943B8" w14:textId="77777777" w:rsidR="00E302EC" w:rsidRDefault="00E302EC" w:rsidP="00DC2921">
      <w:pPr>
        <w:spacing w:after="0" w:line="360" w:lineRule="auto"/>
        <w:ind w:firstLine="720"/>
        <w:jc w:val="both"/>
        <w:rPr>
          <w:rFonts w:ascii="Tahoma" w:hAnsi="Tahoma" w:cs="Tahoma"/>
          <w:sz w:val="32"/>
          <w:szCs w:val="32"/>
        </w:rPr>
      </w:pPr>
    </w:p>
    <w:p w14:paraId="0CAFB749" w14:textId="51E1369D" w:rsidR="00F20F3D" w:rsidRDefault="00F20F3D" w:rsidP="00DC2921">
      <w:pPr>
        <w:spacing w:after="0" w:line="360" w:lineRule="auto"/>
        <w:ind w:firstLine="720"/>
        <w:jc w:val="both"/>
        <w:rPr>
          <w:rFonts w:ascii="Tahoma" w:hAnsi="Tahoma" w:cs="Tahoma"/>
          <w:sz w:val="32"/>
          <w:szCs w:val="32"/>
        </w:rPr>
      </w:pPr>
      <w:r>
        <w:rPr>
          <w:rFonts w:ascii="Tahoma" w:hAnsi="Tahoma" w:cs="Tahoma"/>
          <w:sz w:val="32"/>
          <w:szCs w:val="32"/>
        </w:rPr>
        <w:t xml:space="preserve">The </w:t>
      </w:r>
      <w:r w:rsidR="00872D08">
        <w:rPr>
          <w:rFonts w:ascii="Tahoma" w:hAnsi="Tahoma" w:cs="Tahoma"/>
          <w:sz w:val="32"/>
          <w:szCs w:val="32"/>
        </w:rPr>
        <w:t>C</w:t>
      </w:r>
      <w:r>
        <w:rPr>
          <w:rFonts w:ascii="Tahoma" w:hAnsi="Tahoma" w:cs="Tahoma"/>
          <w:sz w:val="32"/>
          <w:szCs w:val="32"/>
        </w:rPr>
        <w:t>hildren’s Court President has explained the purpose of the special court this way: “At its heart the Koori Court aims to interrupt the cycle of intergenerational offending and incarceration”.</w:t>
      </w:r>
      <w:r>
        <w:rPr>
          <w:rStyle w:val="FootnoteReference"/>
          <w:rFonts w:ascii="Tahoma" w:hAnsi="Tahoma" w:cs="Tahoma"/>
          <w:sz w:val="32"/>
          <w:szCs w:val="32"/>
        </w:rPr>
        <w:footnoteReference w:id="62"/>
      </w:r>
    </w:p>
    <w:p w14:paraId="72FEF9C0" w14:textId="77777777" w:rsidR="00F20F3D" w:rsidRDefault="00F20F3D" w:rsidP="00DC2921">
      <w:pPr>
        <w:spacing w:after="0" w:line="360" w:lineRule="auto"/>
        <w:ind w:firstLine="720"/>
        <w:jc w:val="both"/>
        <w:rPr>
          <w:rFonts w:ascii="Tahoma" w:hAnsi="Tahoma" w:cs="Tahoma"/>
          <w:sz w:val="32"/>
          <w:szCs w:val="32"/>
        </w:rPr>
      </w:pPr>
    </w:p>
    <w:p w14:paraId="3AC02287" w14:textId="34AD01F8" w:rsidR="00F20F3D" w:rsidRDefault="00F20F3D" w:rsidP="00992AAC">
      <w:pPr>
        <w:spacing w:after="0" w:line="360" w:lineRule="auto"/>
        <w:jc w:val="both"/>
        <w:rPr>
          <w:rFonts w:ascii="Tahoma" w:hAnsi="Tahoma" w:cs="Tahoma"/>
          <w:sz w:val="32"/>
          <w:szCs w:val="32"/>
        </w:rPr>
      </w:pPr>
      <w:r>
        <w:rPr>
          <w:rFonts w:ascii="Tahoma" w:hAnsi="Tahoma" w:cs="Tahoma"/>
          <w:sz w:val="32"/>
          <w:szCs w:val="32"/>
        </w:rPr>
        <w:t>Relevantly, the President has also said:</w:t>
      </w:r>
    </w:p>
    <w:p w14:paraId="6C314A27" w14:textId="240C21B8" w:rsidR="00F20F3D" w:rsidRDefault="00F20F3D" w:rsidP="0035310B">
      <w:pPr>
        <w:spacing w:after="0" w:line="240" w:lineRule="auto"/>
        <w:ind w:left="720"/>
        <w:jc w:val="both"/>
        <w:rPr>
          <w:rFonts w:ascii="Tahoma" w:hAnsi="Tahoma" w:cs="Tahoma"/>
          <w:sz w:val="32"/>
          <w:szCs w:val="32"/>
        </w:rPr>
      </w:pPr>
      <w:r>
        <w:rPr>
          <w:rFonts w:ascii="Tahoma" w:hAnsi="Tahoma" w:cs="Tahoma"/>
          <w:sz w:val="32"/>
          <w:szCs w:val="32"/>
        </w:rPr>
        <w:t>Young people who elect to appear before a Koori Court are making a commitment to show respect to the court, including the judicial officer, and the Elders and Respected Persons and to take responsibility for their behaviour.  For anyone who might view the Koori Children’s Court as an “easy” option for the Koori offender, you should know that, in reality, for offenders, for families and Elders, involvement in the Koori Court process is a very intense, challenging and reflective experience.</w:t>
      </w:r>
      <w:r>
        <w:rPr>
          <w:rStyle w:val="FootnoteReference"/>
          <w:rFonts w:ascii="Tahoma" w:hAnsi="Tahoma" w:cs="Tahoma"/>
          <w:sz w:val="32"/>
          <w:szCs w:val="32"/>
        </w:rPr>
        <w:footnoteReference w:id="63"/>
      </w:r>
    </w:p>
    <w:p w14:paraId="3E0ED716" w14:textId="77777777" w:rsidR="00F20F3D" w:rsidRDefault="00F20F3D" w:rsidP="0035310B">
      <w:pPr>
        <w:spacing w:after="0" w:line="240" w:lineRule="auto"/>
        <w:ind w:left="720"/>
        <w:jc w:val="both"/>
        <w:rPr>
          <w:rFonts w:ascii="Tahoma" w:hAnsi="Tahoma" w:cs="Tahoma"/>
          <w:sz w:val="32"/>
          <w:szCs w:val="32"/>
        </w:rPr>
      </w:pPr>
    </w:p>
    <w:p w14:paraId="5A5E2E3F" w14:textId="58B5DFA5" w:rsidR="00F20F3D" w:rsidRDefault="00F20F3D">
      <w:pPr>
        <w:spacing w:after="0" w:line="360" w:lineRule="auto"/>
        <w:ind w:firstLine="720"/>
        <w:jc w:val="both"/>
        <w:rPr>
          <w:rFonts w:ascii="Tahoma" w:hAnsi="Tahoma" w:cs="Tahoma"/>
          <w:sz w:val="32"/>
          <w:szCs w:val="32"/>
        </w:rPr>
      </w:pPr>
      <w:r>
        <w:rPr>
          <w:rFonts w:ascii="Tahoma" w:hAnsi="Tahoma" w:cs="Tahoma"/>
          <w:sz w:val="32"/>
          <w:szCs w:val="32"/>
        </w:rPr>
        <w:t xml:space="preserve">A special approach to indigenous children and youth has been adopted </w:t>
      </w:r>
      <w:r w:rsidR="00D2404F">
        <w:rPr>
          <w:rFonts w:ascii="Tahoma" w:hAnsi="Tahoma" w:cs="Tahoma"/>
          <w:sz w:val="32"/>
          <w:szCs w:val="32"/>
        </w:rPr>
        <w:t>in Queensland with the Murri Courts</w:t>
      </w:r>
      <w:r w:rsidR="00D2404F">
        <w:rPr>
          <w:rStyle w:val="FootnoteReference"/>
          <w:rFonts w:ascii="Tahoma" w:hAnsi="Tahoma" w:cs="Tahoma"/>
          <w:sz w:val="32"/>
          <w:szCs w:val="32"/>
        </w:rPr>
        <w:footnoteReference w:id="64"/>
      </w:r>
      <w:r w:rsidR="00D2404F">
        <w:rPr>
          <w:rFonts w:ascii="Tahoma" w:hAnsi="Tahoma" w:cs="Tahoma"/>
          <w:sz w:val="32"/>
          <w:szCs w:val="32"/>
        </w:rPr>
        <w:t>, in New South Wales with its ‘circle sentencing’ program,</w:t>
      </w:r>
      <w:r w:rsidR="00D2404F">
        <w:rPr>
          <w:rStyle w:val="FootnoteReference"/>
          <w:rFonts w:ascii="Tahoma" w:hAnsi="Tahoma" w:cs="Tahoma"/>
          <w:sz w:val="32"/>
          <w:szCs w:val="32"/>
        </w:rPr>
        <w:footnoteReference w:id="65"/>
      </w:r>
      <w:r w:rsidR="00D2404F">
        <w:rPr>
          <w:rFonts w:ascii="Tahoma" w:hAnsi="Tahoma" w:cs="Tahoma"/>
          <w:sz w:val="32"/>
          <w:szCs w:val="32"/>
        </w:rPr>
        <w:t xml:space="preserve"> and </w:t>
      </w:r>
      <w:r>
        <w:rPr>
          <w:rFonts w:ascii="Tahoma" w:hAnsi="Tahoma" w:cs="Tahoma"/>
          <w:sz w:val="32"/>
          <w:szCs w:val="32"/>
        </w:rPr>
        <w:t>in New Zealand with the Youth Courts.</w:t>
      </w:r>
    </w:p>
    <w:p w14:paraId="342ED1D8" w14:textId="77777777" w:rsidR="00F20F3D" w:rsidRDefault="00F20F3D">
      <w:pPr>
        <w:spacing w:after="0" w:line="360" w:lineRule="auto"/>
        <w:ind w:firstLine="720"/>
        <w:jc w:val="both"/>
        <w:rPr>
          <w:rFonts w:ascii="Tahoma" w:hAnsi="Tahoma" w:cs="Tahoma"/>
          <w:sz w:val="32"/>
          <w:szCs w:val="32"/>
        </w:rPr>
      </w:pPr>
    </w:p>
    <w:p w14:paraId="0335253D" w14:textId="6EA75F19" w:rsidR="00F20F3D" w:rsidRDefault="00F20F3D">
      <w:pPr>
        <w:spacing w:after="0" w:line="360" w:lineRule="auto"/>
        <w:ind w:firstLine="720"/>
        <w:jc w:val="both"/>
        <w:rPr>
          <w:rFonts w:ascii="Tahoma" w:hAnsi="Tahoma" w:cs="Tahoma"/>
          <w:sz w:val="32"/>
          <w:szCs w:val="32"/>
        </w:rPr>
      </w:pPr>
      <w:r>
        <w:rPr>
          <w:rFonts w:ascii="Tahoma" w:hAnsi="Tahoma" w:cs="Tahoma"/>
          <w:sz w:val="32"/>
          <w:szCs w:val="32"/>
        </w:rPr>
        <w:t>One other Victorian approach is the effective application of diversion in the Children’s Court.  In essence diversion plans are developed for suitable candidates.  The plans are multi-disciplinary and across agencies.</w:t>
      </w:r>
      <w:r>
        <w:rPr>
          <w:rStyle w:val="FootnoteReference"/>
          <w:rFonts w:ascii="Tahoma" w:hAnsi="Tahoma" w:cs="Tahoma"/>
          <w:sz w:val="32"/>
          <w:szCs w:val="32"/>
        </w:rPr>
        <w:footnoteReference w:id="66"/>
      </w:r>
      <w:r>
        <w:rPr>
          <w:rFonts w:ascii="Tahoma" w:hAnsi="Tahoma" w:cs="Tahoma"/>
          <w:sz w:val="32"/>
          <w:szCs w:val="32"/>
        </w:rPr>
        <w:t xml:space="preserve">  A similar co-ordinated inter-agency approach is applied in the New Zealand Youth Courts.  They are largely solution focused courts with repr</w:t>
      </w:r>
      <w:r w:rsidR="00585028">
        <w:rPr>
          <w:rFonts w:ascii="Tahoma" w:hAnsi="Tahoma" w:cs="Tahoma"/>
          <w:sz w:val="32"/>
          <w:szCs w:val="32"/>
        </w:rPr>
        <w:t>e</w:t>
      </w:r>
      <w:r>
        <w:rPr>
          <w:rFonts w:ascii="Tahoma" w:hAnsi="Tahoma" w:cs="Tahoma"/>
          <w:sz w:val="32"/>
          <w:szCs w:val="32"/>
        </w:rPr>
        <w:t xml:space="preserve">sentatives of Justice, Police, Social Development, Health and Education departments all </w:t>
      </w:r>
      <w:r w:rsidR="00585028">
        <w:rPr>
          <w:rFonts w:ascii="Tahoma" w:hAnsi="Tahoma" w:cs="Tahoma"/>
          <w:sz w:val="32"/>
          <w:szCs w:val="32"/>
        </w:rPr>
        <w:t xml:space="preserve">present in the courtroom.  Also in New Zealand are the </w:t>
      </w:r>
      <w:proofErr w:type="spellStart"/>
      <w:r w:rsidR="00585028">
        <w:rPr>
          <w:rFonts w:ascii="Tahoma" w:hAnsi="Tahoma" w:cs="Tahoma"/>
          <w:sz w:val="32"/>
          <w:szCs w:val="32"/>
        </w:rPr>
        <w:t>Rangatahi</w:t>
      </w:r>
      <w:proofErr w:type="spellEnd"/>
      <w:r w:rsidR="00585028">
        <w:rPr>
          <w:rFonts w:ascii="Tahoma" w:hAnsi="Tahoma" w:cs="Tahoma"/>
          <w:sz w:val="32"/>
          <w:szCs w:val="32"/>
        </w:rPr>
        <w:t xml:space="preserve"> Courts for young Maoris held on traditional grounds </w:t>
      </w:r>
      <w:r w:rsidR="004B2FE3">
        <w:rPr>
          <w:rFonts w:ascii="Tahoma" w:hAnsi="Tahoma" w:cs="Tahoma"/>
          <w:sz w:val="32"/>
          <w:szCs w:val="32"/>
        </w:rPr>
        <w:t xml:space="preserve">and partly </w:t>
      </w:r>
      <w:r w:rsidR="00585028">
        <w:rPr>
          <w:rFonts w:ascii="Tahoma" w:hAnsi="Tahoma" w:cs="Tahoma"/>
          <w:sz w:val="32"/>
          <w:szCs w:val="32"/>
        </w:rPr>
        <w:t>in the Maori language.</w:t>
      </w:r>
    </w:p>
    <w:p w14:paraId="47AC09C8" w14:textId="77777777" w:rsidR="00585028" w:rsidRDefault="00585028">
      <w:pPr>
        <w:spacing w:after="0" w:line="360" w:lineRule="auto"/>
        <w:ind w:firstLine="720"/>
        <w:jc w:val="both"/>
        <w:rPr>
          <w:rFonts w:ascii="Tahoma" w:hAnsi="Tahoma" w:cs="Tahoma"/>
          <w:sz w:val="32"/>
          <w:szCs w:val="32"/>
        </w:rPr>
      </w:pPr>
    </w:p>
    <w:p w14:paraId="10B33710" w14:textId="0724E767" w:rsidR="004331F7" w:rsidRDefault="00585028">
      <w:pPr>
        <w:spacing w:after="0" w:line="360" w:lineRule="auto"/>
        <w:ind w:firstLine="720"/>
        <w:jc w:val="both"/>
        <w:rPr>
          <w:rFonts w:ascii="Tahoma" w:hAnsi="Tahoma" w:cs="Tahoma"/>
          <w:sz w:val="32"/>
          <w:szCs w:val="32"/>
        </w:rPr>
      </w:pPr>
      <w:r>
        <w:rPr>
          <w:rFonts w:ascii="Tahoma" w:hAnsi="Tahoma" w:cs="Tahoma"/>
          <w:sz w:val="32"/>
          <w:szCs w:val="32"/>
        </w:rPr>
        <w:t>When discussing children and young offenders, there is one topic that lies at the heart</w:t>
      </w:r>
      <w:r w:rsidR="00DA3A7E">
        <w:rPr>
          <w:rFonts w:ascii="Tahoma" w:hAnsi="Tahoma" w:cs="Tahoma"/>
          <w:sz w:val="32"/>
          <w:szCs w:val="32"/>
        </w:rPr>
        <w:t xml:space="preserve"> of the discussion:</w:t>
      </w:r>
      <w:r>
        <w:rPr>
          <w:rFonts w:ascii="Tahoma" w:hAnsi="Tahoma" w:cs="Tahoma"/>
          <w:sz w:val="32"/>
          <w:szCs w:val="32"/>
        </w:rPr>
        <w:t xml:space="preserve"> education.  It is self-evident.  </w:t>
      </w:r>
      <w:r w:rsidR="00394C79">
        <w:rPr>
          <w:rFonts w:ascii="Tahoma" w:hAnsi="Tahoma" w:cs="Tahoma"/>
          <w:sz w:val="32"/>
          <w:szCs w:val="32"/>
        </w:rPr>
        <w:t>Nelson Mandela has said ‘[e]</w:t>
      </w:r>
      <w:proofErr w:type="spellStart"/>
      <w:r w:rsidR="00394C79">
        <w:rPr>
          <w:rFonts w:ascii="Tahoma" w:hAnsi="Tahoma" w:cs="Tahoma"/>
          <w:sz w:val="32"/>
          <w:szCs w:val="32"/>
        </w:rPr>
        <w:t>ducation</w:t>
      </w:r>
      <w:proofErr w:type="spellEnd"/>
      <w:r w:rsidR="00394C79">
        <w:rPr>
          <w:rFonts w:ascii="Tahoma" w:hAnsi="Tahoma" w:cs="Tahoma"/>
          <w:sz w:val="32"/>
          <w:szCs w:val="32"/>
        </w:rPr>
        <w:t xml:space="preserve"> is the most powerful weapon which you can use to change the world’.</w:t>
      </w:r>
      <w:r w:rsidR="00394C79">
        <w:rPr>
          <w:rStyle w:val="FootnoteReference"/>
          <w:rFonts w:ascii="Tahoma" w:hAnsi="Tahoma" w:cs="Tahoma"/>
          <w:sz w:val="32"/>
          <w:szCs w:val="32"/>
        </w:rPr>
        <w:footnoteReference w:id="67"/>
      </w:r>
      <w:r w:rsidR="00394C79">
        <w:rPr>
          <w:rFonts w:ascii="Tahoma" w:hAnsi="Tahoma" w:cs="Tahoma"/>
          <w:sz w:val="32"/>
          <w:szCs w:val="32"/>
        </w:rPr>
        <w:t xml:space="preserve"> </w:t>
      </w:r>
      <w:r w:rsidR="00DA3A7E">
        <w:rPr>
          <w:rFonts w:ascii="Tahoma" w:hAnsi="Tahoma" w:cs="Tahoma"/>
          <w:sz w:val="32"/>
          <w:szCs w:val="32"/>
        </w:rPr>
        <w:t xml:space="preserve"> </w:t>
      </w:r>
      <w:r w:rsidR="004573A9">
        <w:rPr>
          <w:rFonts w:ascii="Tahoma" w:hAnsi="Tahoma" w:cs="Tahoma"/>
          <w:sz w:val="32"/>
          <w:szCs w:val="32"/>
        </w:rPr>
        <w:t xml:space="preserve">  </w:t>
      </w:r>
    </w:p>
    <w:p w14:paraId="70F65655" w14:textId="77777777" w:rsidR="004331F7" w:rsidRDefault="004331F7">
      <w:pPr>
        <w:spacing w:after="0" w:line="360" w:lineRule="auto"/>
        <w:ind w:firstLine="720"/>
        <w:jc w:val="both"/>
        <w:rPr>
          <w:rFonts w:ascii="Tahoma" w:hAnsi="Tahoma" w:cs="Tahoma"/>
          <w:sz w:val="32"/>
          <w:szCs w:val="32"/>
        </w:rPr>
      </w:pPr>
    </w:p>
    <w:p w14:paraId="2E0020F0" w14:textId="30CF4F39" w:rsidR="00585028" w:rsidRDefault="00C91C11">
      <w:pPr>
        <w:spacing w:after="0" w:line="360" w:lineRule="auto"/>
        <w:ind w:firstLine="720"/>
        <w:jc w:val="both"/>
        <w:rPr>
          <w:rFonts w:ascii="Tahoma" w:hAnsi="Tahoma" w:cs="Tahoma"/>
          <w:sz w:val="32"/>
          <w:szCs w:val="32"/>
        </w:rPr>
      </w:pPr>
      <w:r>
        <w:rPr>
          <w:rFonts w:ascii="Tahoma" w:hAnsi="Tahoma" w:cs="Tahoma"/>
          <w:sz w:val="32"/>
          <w:szCs w:val="32"/>
        </w:rPr>
        <w:t>In 2014-2015, m</w:t>
      </w:r>
      <w:r w:rsidR="003D4C4F">
        <w:rPr>
          <w:rFonts w:ascii="Tahoma" w:hAnsi="Tahoma" w:cs="Tahoma"/>
          <w:sz w:val="32"/>
          <w:szCs w:val="32"/>
        </w:rPr>
        <w:t>ore than</w:t>
      </w:r>
      <w:r w:rsidR="004573A9" w:rsidRPr="00992AAC">
        <w:rPr>
          <w:rFonts w:ascii="Tahoma" w:hAnsi="Tahoma" w:cs="Tahoma"/>
          <w:sz w:val="32"/>
          <w:szCs w:val="32"/>
        </w:rPr>
        <w:t xml:space="preserve"> half the </w:t>
      </w:r>
      <w:r w:rsidR="003D4C4F">
        <w:rPr>
          <w:rFonts w:ascii="Tahoma" w:hAnsi="Tahoma" w:cs="Tahoma"/>
          <w:sz w:val="32"/>
          <w:szCs w:val="32"/>
        </w:rPr>
        <w:t>children</w:t>
      </w:r>
      <w:r w:rsidR="004573A9" w:rsidRPr="00992AAC">
        <w:rPr>
          <w:rFonts w:ascii="Tahoma" w:hAnsi="Tahoma" w:cs="Tahoma"/>
          <w:sz w:val="32"/>
          <w:szCs w:val="32"/>
        </w:rPr>
        <w:t xml:space="preserve"> </w:t>
      </w:r>
      <w:r w:rsidR="003D4C4F">
        <w:rPr>
          <w:rFonts w:ascii="Tahoma" w:hAnsi="Tahoma" w:cs="Tahoma"/>
          <w:sz w:val="32"/>
          <w:szCs w:val="32"/>
        </w:rPr>
        <w:t>subject to youth detention in V</w:t>
      </w:r>
      <w:r w:rsidR="004573A9" w:rsidRPr="00992AAC">
        <w:rPr>
          <w:rFonts w:ascii="Tahoma" w:hAnsi="Tahoma" w:cs="Tahoma"/>
          <w:sz w:val="32"/>
          <w:szCs w:val="32"/>
        </w:rPr>
        <w:t>ic</w:t>
      </w:r>
      <w:r w:rsidR="003D4C4F">
        <w:rPr>
          <w:rFonts w:ascii="Tahoma" w:hAnsi="Tahoma" w:cs="Tahoma"/>
          <w:sz w:val="32"/>
          <w:szCs w:val="32"/>
        </w:rPr>
        <w:t>toria</w:t>
      </w:r>
      <w:r w:rsidR="004573A9" w:rsidRPr="00992AAC">
        <w:rPr>
          <w:rFonts w:ascii="Tahoma" w:hAnsi="Tahoma" w:cs="Tahoma"/>
          <w:sz w:val="32"/>
          <w:szCs w:val="32"/>
        </w:rPr>
        <w:t xml:space="preserve"> ha</w:t>
      </w:r>
      <w:r w:rsidR="004B2FE3">
        <w:rPr>
          <w:rFonts w:ascii="Tahoma" w:hAnsi="Tahoma" w:cs="Tahoma"/>
          <w:sz w:val="32"/>
          <w:szCs w:val="32"/>
        </w:rPr>
        <w:t>d</w:t>
      </w:r>
      <w:r w:rsidR="004573A9" w:rsidRPr="00992AAC">
        <w:rPr>
          <w:rFonts w:ascii="Tahoma" w:hAnsi="Tahoma" w:cs="Tahoma"/>
          <w:sz w:val="32"/>
          <w:szCs w:val="32"/>
        </w:rPr>
        <w:t xml:space="preserve"> been suspended or expelled from school.</w:t>
      </w:r>
      <w:r w:rsidR="001B2520">
        <w:rPr>
          <w:rFonts w:ascii="Tahoma" w:hAnsi="Tahoma" w:cs="Tahoma"/>
          <w:sz w:val="32"/>
          <w:szCs w:val="32"/>
        </w:rPr>
        <w:t xml:space="preserve">  An incomplete education and social disadvantage are consistent companions.</w:t>
      </w:r>
      <w:r w:rsidR="004573A9" w:rsidRPr="00992AAC">
        <w:rPr>
          <w:rFonts w:ascii="Tahoma" w:hAnsi="Tahoma" w:cs="Tahoma"/>
          <w:sz w:val="32"/>
          <w:szCs w:val="32"/>
        </w:rPr>
        <w:t xml:space="preserve">  </w:t>
      </w:r>
      <w:r w:rsidR="003D4C4F">
        <w:rPr>
          <w:rFonts w:ascii="Tahoma" w:hAnsi="Tahoma" w:cs="Tahoma"/>
          <w:sz w:val="32"/>
          <w:szCs w:val="32"/>
        </w:rPr>
        <w:t xml:space="preserve">The Sentencing Advisory Council has noted that </w:t>
      </w:r>
      <w:r w:rsidR="003D4C4F" w:rsidRPr="00992AAC">
        <w:rPr>
          <w:rFonts w:ascii="Tahoma" w:hAnsi="Tahoma" w:cs="Tahoma"/>
          <w:sz w:val="32"/>
          <w:szCs w:val="32"/>
        </w:rPr>
        <w:t xml:space="preserve">minimal educational attainment or lack of engagement with other </w:t>
      </w:r>
      <w:r w:rsidR="003D4C4F" w:rsidRPr="00992AAC">
        <w:rPr>
          <w:rFonts w:ascii="Tahoma" w:hAnsi="Tahoma" w:cs="Tahoma"/>
          <w:sz w:val="32"/>
          <w:szCs w:val="32"/>
        </w:rPr>
        <w:lastRenderedPageBreak/>
        <w:t>learning opportunities</w:t>
      </w:r>
      <w:r w:rsidR="003D4C4F">
        <w:rPr>
          <w:rFonts w:ascii="Tahoma" w:hAnsi="Tahoma" w:cs="Tahoma"/>
          <w:sz w:val="32"/>
          <w:szCs w:val="32"/>
        </w:rPr>
        <w:t xml:space="preserve"> is a social risk factor for youth offending.  A Tasmanian inquiry into alternatives to youth detention noted that detention can exacerbate factors that contribute to youth offending, and impact adversely on education and employment outcomes.</w:t>
      </w:r>
      <w:r>
        <w:rPr>
          <w:rStyle w:val="FootnoteReference"/>
          <w:rFonts w:ascii="Tahoma" w:hAnsi="Tahoma" w:cs="Tahoma"/>
          <w:sz w:val="32"/>
          <w:szCs w:val="32"/>
        </w:rPr>
        <w:footnoteReference w:id="68"/>
      </w:r>
    </w:p>
    <w:p w14:paraId="602D9180" w14:textId="77777777" w:rsidR="003F2558" w:rsidRDefault="003F2558">
      <w:pPr>
        <w:spacing w:after="0" w:line="360" w:lineRule="auto"/>
        <w:ind w:firstLine="720"/>
        <w:jc w:val="both"/>
        <w:rPr>
          <w:rFonts w:ascii="Tahoma" w:hAnsi="Tahoma" w:cs="Tahoma"/>
          <w:sz w:val="32"/>
          <w:szCs w:val="32"/>
        </w:rPr>
      </w:pPr>
    </w:p>
    <w:p w14:paraId="4863D15A" w14:textId="2DCE0966" w:rsidR="00C91C11" w:rsidRDefault="00C91C11">
      <w:pPr>
        <w:spacing w:after="0" w:line="360" w:lineRule="auto"/>
        <w:ind w:firstLine="720"/>
        <w:jc w:val="both"/>
        <w:rPr>
          <w:rFonts w:ascii="Tahoma" w:hAnsi="Tahoma" w:cs="Tahoma"/>
          <w:sz w:val="32"/>
          <w:szCs w:val="32"/>
        </w:rPr>
      </w:pPr>
      <w:r>
        <w:rPr>
          <w:rFonts w:ascii="Tahoma" w:hAnsi="Tahoma" w:cs="Tahoma"/>
          <w:sz w:val="32"/>
          <w:szCs w:val="32"/>
        </w:rPr>
        <w:t xml:space="preserve">The Victorian Government reported in 2015 that </w:t>
      </w:r>
      <w:r w:rsidRPr="00992AAC">
        <w:rPr>
          <w:rFonts w:ascii="Tahoma" w:hAnsi="Tahoma" w:cs="Tahoma"/>
          <w:sz w:val="32"/>
          <w:szCs w:val="32"/>
        </w:rPr>
        <w:t>“Each year, approximately 10,000 young people in Years 9-11 leave their school and do not go on to any other Victorian education or training provider</w:t>
      </w:r>
      <w:r>
        <w:rPr>
          <w:rFonts w:ascii="Tahoma" w:hAnsi="Tahoma" w:cs="Tahoma"/>
          <w:sz w:val="32"/>
          <w:szCs w:val="32"/>
        </w:rPr>
        <w:t>”.</w:t>
      </w:r>
      <w:r>
        <w:rPr>
          <w:rStyle w:val="FootnoteReference"/>
          <w:rFonts w:ascii="Tahoma" w:hAnsi="Tahoma" w:cs="Tahoma"/>
          <w:sz w:val="32"/>
          <w:szCs w:val="32"/>
        </w:rPr>
        <w:footnoteReference w:id="69"/>
      </w:r>
      <w:r>
        <w:rPr>
          <w:rFonts w:ascii="Tahoma" w:hAnsi="Tahoma" w:cs="Tahoma"/>
          <w:sz w:val="32"/>
          <w:szCs w:val="32"/>
        </w:rPr>
        <w:t xml:space="preserve">  </w:t>
      </w:r>
      <w:r w:rsidR="001B2520">
        <w:rPr>
          <w:rFonts w:ascii="Tahoma" w:hAnsi="Tahoma" w:cs="Tahoma"/>
          <w:sz w:val="32"/>
          <w:szCs w:val="32"/>
        </w:rPr>
        <w:t>Some of t</w:t>
      </w:r>
      <w:r>
        <w:rPr>
          <w:rFonts w:ascii="Tahoma" w:hAnsi="Tahoma" w:cs="Tahoma"/>
          <w:sz w:val="32"/>
          <w:szCs w:val="32"/>
        </w:rPr>
        <w:t>hose children are at greater risk of entering the youth justice system, and will tend t</w:t>
      </w:r>
      <w:r w:rsidRPr="00992AAC">
        <w:rPr>
          <w:rFonts w:ascii="Tahoma" w:hAnsi="Tahoma" w:cs="Tahoma"/>
          <w:sz w:val="32"/>
          <w:szCs w:val="32"/>
        </w:rPr>
        <w:t>o be significantly more disadvantaged in life</w:t>
      </w:r>
      <w:r>
        <w:rPr>
          <w:rFonts w:ascii="Tahoma" w:hAnsi="Tahoma" w:cs="Tahoma"/>
          <w:sz w:val="32"/>
          <w:szCs w:val="32"/>
        </w:rPr>
        <w:t>.</w:t>
      </w:r>
    </w:p>
    <w:p w14:paraId="5E59E7CA" w14:textId="77777777" w:rsidR="00585028" w:rsidRDefault="00585028">
      <w:pPr>
        <w:spacing w:after="0" w:line="360" w:lineRule="auto"/>
        <w:ind w:firstLine="720"/>
        <w:jc w:val="both"/>
        <w:rPr>
          <w:rFonts w:ascii="Tahoma" w:hAnsi="Tahoma" w:cs="Tahoma"/>
          <w:sz w:val="32"/>
          <w:szCs w:val="32"/>
        </w:rPr>
      </w:pPr>
    </w:p>
    <w:p w14:paraId="2F696823" w14:textId="2F81C0BB" w:rsidR="00585028" w:rsidRDefault="00585028">
      <w:pPr>
        <w:spacing w:after="0" w:line="360" w:lineRule="auto"/>
        <w:ind w:firstLine="720"/>
        <w:jc w:val="both"/>
        <w:rPr>
          <w:rFonts w:ascii="Tahoma" w:hAnsi="Tahoma" w:cs="Tahoma"/>
          <w:sz w:val="32"/>
          <w:szCs w:val="32"/>
        </w:rPr>
      </w:pPr>
      <w:r>
        <w:rPr>
          <w:rFonts w:ascii="Tahoma" w:hAnsi="Tahoma" w:cs="Tahoma"/>
          <w:sz w:val="32"/>
          <w:szCs w:val="32"/>
        </w:rPr>
        <w:t>The Victorian Children’s Court has implemented the Education Justice Initiative.  It was funded by the State Department of Education.  The program is direct</w:t>
      </w:r>
      <w:r w:rsidR="00E302EC">
        <w:rPr>
          <w:rFonts w:ascii="Tahoma" w:hAnsi="Tahoma" w:cs="Tahoma"/>
          <w:sz w:val="32"/>
          <w:szCs w:val="32"/>
        </w:rPr>
        <w:t>ed</w:t>
      </w:r>
      <w:r>
        <w:rPr>
          <w:rFonts w:ascii="Tahoma" w:hAnsi="Tahoma" w:cs="Tahoma"/>
          <w:sz w:val="32"/>
          <w:szCs w:val="32"/>
        </w:rPr>
        <w:t xml:space="preserve"> at young people appearing in the Criminal Division who are either “totally or partly disengaged from education”.</w:t>
      </w:r>
      <w:r>
        <w:rPr>
          <w:rStyle w:val="FootnoteReference"/>
          <w:rFonts w:ascii="Tahoma" w:hAnsi="Tahoma" w:cs="Tahoma"/>
          <w:sz w:val="32"/>
          <w:szCs w:val="32"/>
        </w:rPr>
        <w:footnoteReference w:id="70"/>
      </w:r>
      <w:r>
        <w:rPr>
          <w:rFonts w:ascii="Tahoma" w:hAnsi="Tahoma" w:cs="Tahoma"/>
          <w:sz w:val="32"/>
          <w:szCs w:val="32"/>
        </w:rPr>
        <w:t xml:space="preserve">  It is implemented with </w:t>
      </w:r>
      <w:r w:rsidR="00E302EC">
        <w:rPr>
          <w:rFonts w:ascii="Tahoma" w:hAnsi="Tahoma" w:cs="Tahoma"/>
          <w:sz w:val="32"/>
          <w:szCs w:val="32"/>
        </w:rPr>
        <w:t xml:space="preserve">the </w:t>
      </w:r>
      <w:r>
        <w:rPr>
          <w:rFonts w:ascii="Tahoma" w:hAnsi="Tahoma" w:cs="Tahoma"/>
          <w:sz w:val="32"/>
          <w:szCs w:val="32"/>
        </w:rPr>
        <w:t xml:space="preserve">Department of Education who are at the court, daily.  Young offenders appearing at the court are connected to an education pathway through liaison </w:t>
      </w:r>
      <w:r>
        <w:rPr>
          <w:rFonts w:ascii="Tahoma" w:hAnsi="Tahoma" w:cs="Tahoma"/>
          <w:sz w:val="32"/>
          <w:szCs w:val="32"/>
        </w:rPr>
        <w:lastRenderedPageBreak/>
        <w:t>with schools.</w:t>
      </w:r>
      <w:r>
        <w:rPr>
          <w:rStyle w:val="FootnoteReference"/>
          <w:rFonts w:ascii="Tahoma" w:hAnsi="Tahoma" w:cs="Tahoma"/>
          <w:sz w:val="32"/>
          <w:szCs w:val="32"/>
        </w:rPr>
        <w:footnoteReference w:id="71"/>
      </w:r>
      <w:r>
        <w:rPr>
          <w:rFonts w:ascii="Tahoma" w:hAnsi="Tahoma" w:cs="Tahoma"/>
          <w:sz w:val="32"/>
          <w:szCs w:val="32"/>
        </w:rPr>
        <w:t xml:space="preserve">  In addition the youth justice (detention) centres provide classes from Years 2 to 12 levels.  Further, there is a transitional learning centre for young offenders on parole.</w:t>
      </w:r>
      <w:r>
        <w:rPr>
          <w:rStyle w:val="FootnoteReference"/>
          <w:rFonts w:ascii="Tahoma" w:hAnsi="Tahoma" w:cs="Tahoma"/>
          <w:sz w:val="32"/>
          <w:szCs w:val="32"/>
        </w:rPr>
        <w:footnoteReference w:id="72"/>
      </w:r>
    </w:p>
    <w:p w14:paraId="2A5B8258" w14:textId="77777777" w:rsidR="00585028" w:rsidRDefault="00585028">
      <w:pPr>
        <w:spacing w:after="0" w:line="360" w:lineRule="auto"/>
        <w:ind w:firstLine="720"/>
        <w:jc w:val="both"/>
        <w:rPr>
          <w:rFonts w:ascii="Tahoma" w:hAnsi="Tahoma" w:cs="Tahoma"/>
          <w:sz w:val="32"/>
          <w:szCs w:val="32"/>
        </w:rPr>
      </w:pPr>
    </w:p>
    <w:p w14:paraId="13A440E3" w14:textId="544B639F" w:rsidR="00585028" w:rsidRDefault="00585028">
      <w:pPr>
        <w:spacing w:after="0" w:line="360" w:lineRule="auto"/>
        <w:ind w:firstLine="720"/>
        <w:jc w:val="both"/>
        <w:rPr>
          <w:rFonts w:ascii="Tahoma" w:hAnsi="Tahoma" w:cs="Tahoma"/>
          <w:sz w:val="32"/>
          <w:szCs w:val="32"/>
        </w:rPr>
      </w:pPr>
      <w:r>
        <w:rPr>
          <w:rFonts w:ascii="Tahoma" w:hAnsi="Tahoma" w:cs="Tahoma"/>
          <w:sz w:val="32"/>
          <w:szCs w:val="32"/>
        </w:rPr>
        <w:t>The President of the Children’s Court report</w:t>
      </w:r>
      <w:r w:rsidR="006D1234">
        <w:rPr>
          <w:rFonts w:ascii="Tahoma" w:hAnsi="Tahoma" w:cs="Tahoma"/>
          <w:sz w:val="32"/>
          <w:szCs w:val="32"/>
        </w:rPr>
        <w:t>ed</w:t>
      </w:r>
      <w:r>
        <w:rPr>
          <w:rFonts w:ascii="Tahoma" w:hAnsi="Tahoma" w:cs="Tahoma"/>
          <w:sz w:val="32"/>
          <w:szCs w:val="32"/>
        </w:rPr>
        <w:t xml:space="preserve"> that early indications of the education program are extremely positive.</w:t>
      </w:r>
      <w:r>
        <w:rPr>
          <w:rStyle w:val="FootnoteReference"/>
          <w:rFonts w:ascii="Tahoma" w:hAnsi="Tahoma" w:cs="Tahoma"/>
          <w:sz w:val="32"/>
          <w:szCs w:val="32"/>
        </w:rPr>
        <w:footnoteReference w:id="73"/>
      </w:r>
      <w:r>
        <w:rPr>
          <w:rFonts w:ascii="Tahoma" w:hAnsi="Tahoma" w:cs="Tahoma"/>
          <w:sz w:val="32"/>
          <w:szCs w:val="32"/>
        </w:rPr>
        <w:t xml:space="preserve">  In its first year the program engaged intensively with 45 young people:</w:t>
      </w:r>
    </w:p>
    <w:p w14:paraId="2334440E" w14:textId="5960386B" w:rsidR="00585028" w:rsidRDefault="00585028" w:rsidP="0035310B">
      <w:pPr>
        <w:spacing w:after="0" w:line="240" w:lineRule="auto"/>
        <w:ind w:left="720"/>
        <w:jc w:val="both"/>
        <w:rPr>
          <w:rFonts w:ascii="Tahoma" w:hAnsi="Tahoma" w:cs="Tahoma"/>
          <w:sz w:val="32"/>
          <w:szCs w:val="32"/>
        </w:rPr>
      </w:pPr>
      <w:r>
        <w:rPr>
          <w:rFonts w:ascii="Tahoma" w:hAnsi="Tahoma" w:cs="Tahoma"/>
          <w:sz w:val="32"/>
          <w:szCs w:val="32"/>
        </w:rPr>
        <w:t>This cohort was identified as being between 14 – 17, 82% male, 57% from a culturally and linguistically diverse background and 8% explicitly identify as Aboriginal or Torres Strait Islander.  In terms of their educational history, 45% were not currently enrolled in an educational setting, 40% had five or more previous school enrolments and many had been disengaged from education for periods ranging from two months – two years.</w:t>
      </w:r>
      <w:r>
        <w:rPr>
          <w:rStyle w:val="FootnoteReference"/>
          <w:rFonts w:ascii="Tahoma" w:hAnsi="Tahoma" w:cs="Tahoma"/>
          <w:sz w:val="32"/>
          <w:szCs w:val="32"/>
        </w:rPr>
        <w:footnoteReference w:id="74"/>
      </w:r>
    </w:p>
    <w:p w14:paraId="64AC4C14" w14:textId="77777777" w:rsidR="00F20F3D" w:rsidRDefault="00F20F3D" w:rsidP="0035310B">
      <w:pPr>
        <w:spacing w:after="0" w:line="240" w:lineRule="auto"/>
        <w:ind w:left="720"/>
        <w:jc w:val="both"/>
        <w:rPr>
          <w:rFonts w:ascii="Tahoma" w:hAnsi="Tahoma" w:cs="Tahoma"/>
          <w:sz w:val="32"/>
          <w:szCs w:val="32"/>
        </w:rPr>
      </w:pPr>
    </w:p>
    <w:p w14:paraId="469E476C" w14:textId="77777777" w:rsidR="00E85541" w:rsidRDefault="00E85541" w:rsidP="0035310B">
      <w:pPr>
        <w:spacing w:after="0" w:line="240" w:lineRule="auto"/>
        <w:ind w:left="720"/>
        <w:jc w:val="both"/>
        <w:rPr>
          <w:rFonts w:ascii="Tahoma" w:hAnsi="Tahoma" w:cs="Tahoma"/>
          <w:sz w:val="32"/>
          <w:szCs w:val="32"/>
        </w:rPr>
      </w:pPr>
    </w:p>
    <w:p w14:paraId="6039B5AD" w14:textId="06924F85" w:rsidR="00E85541" w:rsidRDefault="001B2520" w:rsidP="00DC2921">
      <w:pPr>
        <w:spacing w:after="0" w:line="360" w:lineRule="auto"/>
        <w:ind w:firstLine="720"/>
        <w:jc w:val="both"/>
        <w:rPr>
          <w:rFonts w:ascii="Tahoma" w:hAnsi="Tahoma" w:cs="Tahoma"/>
          <w:sz w:val="32"/>
          <w:szCs w:val="32"/>
        </w:rPr>
      </w:pPr>
      <w:r>
        <w:rPr>
          <w:rFonts w:ascii="Tahoma" w:hAnsi="Tahoma" w:cs="Tahoma"/>
          <w:sz w:val="32"/>
          <w:szCs w:val="32"/>
        </w:rPr>
        <w:t>Last</w:t>
      </w:r>
      <w:r w:rsidR="00E85541" w:rsidRPr="00E85541">
        <w:rPr>
          <w:rFonts w:ascii="Tahoma" w:hAnsi="Tahoma" w:cs="Tahoma"/>
          <w:sz w:val="32"/>
          <w:szCs w:val="32"/>
        </w:rPr>
        <w:t xml:space="preserve"> year I visited the </w:t>
      </w:r>
      <w:proofErr w:type="spellStart"/>
      <w:r w:rsidR="00E85541" w:rsidRPr="00E85541">
        <w:rPr>
          <w:rFonts w:ascii="Tahoma" w:hAnsi="Tahoma" w:cs="Tahoma"/>
          <w:sz w:val="32"/>
          <w:szCs w:val="32"/>
        </w:rPr>
        <w:t>Djidbidjidbi</w:t>
      </w:r>
      <w:proofErr w:type="spellEnd"/>
      <w:r w:rsidR="00E85541" w:rsidRPr="00E85541">
        <w:rPr>
          <w:rFonts w:ascii="Tahoma" w:hAnsi="Tahoma" w:cs="Tahoma"/>
          <w:sz w:val="32"/>
          <w:szCs w:val="32"/>
        </w:rPr>
        <w:t xml:space="preserve"> Residential College in Jabiru in the Kakadu National Park</w:t>
      </w:r>
      <w:r>
        <w:rPr>
          <w:rFonts w:ascii="Tahoma" w:hAnsi="Tahoma" w:cs="Tahoma"/>
          <w:sz w:val="32"/>
          <w:szCs w:val="32"/>
        </w:rPr>
        <w:t xml:space="preserve"> (it is not a justice or detention centre, rather a community facility)</w:t>
      </w:r>
      <w:r w:rsidR="00E85541" w:rsidRPr="00E85541">
        <w:rPr>
          <w:rFonts w:ascii="Tahoma" w:hAnsi="Tahoma" w:cs="Tahoma"/>
          <w:sz w:val="32"/>
          <w:szCs w:val="32"/>
        </w:rPr>
        <w:t xml:space="preserve">.  </w:t>
      </w:r>
      <w:r w:rsidR="00E85541">
        <w:rPr>
          <w:rFonts w:ascii="Tahoma" w:hAnsi="Tahoma" w:cs="Tahoma"/>
          <w:sz w:val="32"/>
          <w:szCs w:val="32"/>
        </w:rPr>
        <w:t xml:space="preserve">This provides another model which prioritises education as a crucial tool to help people.  </w:t>
      </w:r>
      <w:r w:rsidR="00E85541" w:rsidRPr="00E85541">
        <w:rPr>
          <w:rFonts w:ascii="Tahoma" w:hAnsi="Tahoma" w:cs="Tahoma"/>
          <w:sz w:val="32"/>
          <w:szCs w:val="32"/>
        </w:rPr>
        <w:t xml:space="preserve">The college houses </w:t>
      </w:r>
      <w:r>
        <w:rPr>
          <w:rFonts w:ascii="Tahoma" w:hAnsi="Tahoma" w:cs="Tahoma"/>
          <w:sz w:val="32"/>
          <w:szCs w:val="32"/>
        </w:rPr>
        <w:t xml:space="preserve">about </w:t>
      </w:r>
      <w:r w:rsidR="00E85541" w:rsidRPr="00E85541">
        <w:rPr>
          <w:rFonts w:ascii="Tahoma" w:hAnsi="Tahoma" w:cs="Tahoma"/>
          <w:sz w:val="32"/>
          <w:szCs w:val="32"/>
        </w:rPr>
        <w:t xml:space="preserve">21 </w:t>
      </w:r>
      <w:r>
        <w:rPr>
          <w:rFonts w:ascii="Tahoma" w:hAnsi="Tahoma" w:cs="Tahoma"/>
          <w:sz w:val="32"/>
          <w:szCs w:val="32"/>
        </w:rPr>
        <w:t xml:space="preserve">indigenous </w:t>
      </w:r>
      <w:r w:rsidR="00E85541" w:rsidRPr="00E85541">
        <w:rPr>
          <w:rFonts w:ascii="Tahoma" w:hAnsi="Tahoma" w:cs="Tahoma"/>
          <w:sz w:val="32"/>
          <w:szCs w:val="32"/>
        </w:rPr>
        <w:t xml:space="preserve">students and has created an environment in which children are able to easily attend school and </w:t>
      </w:r>
      <w:r w:rsidR="00E85541" w:rsidRPr="00E85541">
        <w:rPr>
          <w:rFonts w:ascii="Tahoma" w:hAnsi="Tahoma" w:cs="Tahoma"/>
          <w:sz w:val="32"/>
          <w:szCs w:val="32"/>
        </w:rPr>
        <w:lastRenderedPageBreak/>
        <w:t>complete homework.</w:t>
      </w:r>
      <w:r w:rsidR="00794C24">
        <w:rPr>
          <w:rStyle w:val="FootnoteReference"/>
          <w:rFonts w:ascii="Tahoma" w:hAnsi="Tahoma" w:cs="Tahoma"/>
          <w:sz w:val="32"/>
          <w:szCs w:val="32"/>
        </w:rPr>
        <w:footnoteReference w:id="75"/>
      </w:r>
      <w:r w:rsidR="00E85541" w:rsidRPr="00E85541">
        <w:rPr>
          <w:rFonts w:ascii="Tahoma" w:hAnsi="Tahoma" w:cs="Tahoma"/>
          <w:sz w:val="32"/>
          <w:szCs w:val="32"/>
        </w:rPr>
        <w:t xml:space="preserve">  It is a simple model that is designed to </w:t>
      </w:r>
      <w:r w:rsidR="00E85541">
        <w:rPr>
          <w:rFonts w:ascii="Tahoma" w:hAnsi="Tahoma" w:cs="Tahoma"/>
          <w:sz w:val="32"/>
          <w:szCs w:val="32"/>
        </w:rPr>
        <w:t>reduce barriers to learning.  Further, a</w:t>
      </w:r>
      <w:r w:rsidR="00E85541" w:rsidRPr="00E85541">
        <w:rPr>
          <w:rFonts w:ascii="Tahoma" w:hAnsi="Tahoma" w:cs="Tahoma"/>
          <w:sz w:val="32"/>
          <w:szCs w:val="32"/>
        </w:rPr>
        <w:t>lthough the residents are mostly between 11 and 18 years old, the College aims to provide an ‘intergenerational learning space’.</w:t>
      </w:r>
      <w:r w:rsidR="00ED6298">
        <w:rPr>
          <w:rStyle w:val="FootnoteReference"/>
          <w:rFonts w:ascii="Tahoma" w:hAnsi="Tahoma" w:cs="Tahoma"/>
          <w:sz w:val="32"/>
          <w:szCs w:val="32"/>
        </w:rPr>
        <w:footnoteReference w:id="76"/>
      </w:r>
      <w:r w:rsidR="00E85541" w:rsidRPr="00E85541">
        <w:rPr>
          <w:rFonts w:ascii="Tahoma" w:hAnsi="Tahoma" w:cs="Tahoma"/>
          <w:sz w:val="32"/>
          <w:szCs w:val="32"/>
        </w:rPr>
        <w:t xml:space="preserve">  </w:t>
      </w:r>
      <w:r w:rsidR="00E85541">
        <w:rPr>
          <w:rFonts w:ascii="Tahoma" w:hAnsi="Tahoma" w:cs="Tahoma"/>
          <w:sz w:val="32"/>
          <w:szCs w:val="32"/>
        </w:rPr>
        <w:t xml:space="preserve">It hosts workshops for families including </w:t>
      </w:r>
      <w:r w:rsidR="00E85541" w:rsidRPr="00E85541">
        <w:rPr>
          <w:rFonts w:ascii="Tahoma" w:hAnsi="Tahoma" w:cs="Tahoma"/>
          <w:sz w:val="32"/>
          <w:szCs w:val="32"/>
        </w:rPr>
        <w:t>what it terms ‘Master Apprentice’ language workshops which facilitate the passing down of indigenous languages from elders within the community to beginners.</w:t>
      </w:r>
      <w:r w:rsidR="00794C24">
        <w:rPr>
          <w:rStyle w:val="FootnoteReference"/>
          <w:rFonts w:ascii="Tahoma" w:hAnsi="Tahoma" w:cs="Tahoma"/>
          <w:sz w:val="32"/>
          <w:szCs w:val="32"/>
        </w:rPr>
        <w:footnoteReference w:id="77"/>
      </w:r>
    </w:p>
    <w:p w14:paraId="364D4FD1" w14:textId="77777777" w:rsidR="00E85541" w:rsidRDefault="00E85541" w:rsidP="00DC2921">
      <w:pPr>
        <w:spacing w:after="0" w:line="360" w:lineRule="auto"/>
        <w:ind w:firstLine="720"/>
        <w:jc w:val="both"/>
        <w:rPr>
          <w:rFonts w:ascii="Tahoma" w:hAnsi="Tahoma" w:cs="Tahoma"/>
          <w:sz w:val="32"/>
          <w:szCs w:val="32"/>
        </w:rPr>
      </w:pPr>
    </w:p>
    <w:p w14:paraId="53C81153" w14:textId="18D0B306" w:rsidR="0078024B" w:rsidRDefault="00DC2921" w:rsidP="00DC2921">
      <w:pPr>
        <w:spacing w:after="0" w:line="360" w:lineRule="auto"/>
        <w:ind w:firstLine="720"/>
        <w:jc w:val="both"/>
        <w:rPr>
          <w:rFonts w:ascii="Tahoma" w:hAnsi="Tahoma" w:cs="Tahoma"/>
          <w:sz w:val="32"/>
          <w:szCs w:val="32"/>
        </w:rPr>
      </w:pPr>
      <w:r>
        <w:rPr>
          <w:rFonts w:ascii="Tahoma" w:hAnsi="Tahoma" w:cs="Tahoma"/>
          <w:sz w:val="32"/>
          <w:szCs w:val="32"/>
        </w:rPr>
        <w:t>Then there are other local, national and international models</w:t>
      </w:r>
      <w:r w:rsidR="00585028">
        <w:rPr>
          <w:rFonts w:ascii="Tahoma" w:hAnsi="Tahoma" w:cs="Tahoma"/>
          <w:sz w:val="32"/>
          <w:szCs w:val="32"/>
        </w:rPr>
        <w:t>.</w:t>
      </w:r>
      <w:r>
        <w:rPr>
          <w:rFonts w:ascii="Tahoma" w:hAnsi="Tahoma" w:cs="Tahoma"/>
          <w:sz w:val="32"/>
          <w:szCs w:val="32"/>
        </w:rPr>
        <w:t xml:space="preserve"> </w:t>
      </w:r>
      <w:r w:rsidR="0078024B">
        <w:rPr>
          <w:rFonts w:ascii="Tahoma" w:hAnsi="Tahoma" w:cs="Tahoma"/>
          <w:sz w:val="32"/>
          <w:szCs w:val="32"/>
        </w:rPr>
        <w:t xml:space="preserve"> </w:t>
      </w:r>
    </w:p>
    <w:p w14:paraId="1E81BD22" w14:textId="77777777" w:rsidR="00DC2921" w:rsidRDefault="00DC2921" w:rsidP="00DC2921">
      <w:pPr>
        <w:spacing w:after="0" w:line="360" w:lineRule="auto"/>
        <w:jc w:val="both"/>
        <w:rPr>
          <w:rFonts w:ascii="Tahoma" w:hAnsi="Tahoma" w:cs="Tahoma"/>
          <w:sz w:val="32"/>
          <w:szCs w:val="32"/>
        </w:rPr>
      </w:pPr>
    </w:p>
    <w:p w14:paraId="724181B6" w14:textId="77777777" w:rsidR="00DC2921" w:rsidRDefault="00DC2921" w:rsidP="00992AAC">
      <w:pPr>
        <w:spacing w:after="0" w:line="360" w:lineRule="auto"/>
        <w:ind w:firstLine="720"/>
        <w:jc w:val="both"/>
        <w:rPr>
          <w:rFonts w:ascii="Tahoma" w:hAnsi="Tahoma" w:cs="Tahoma"/>
          <w:sz w:val="32"/>
          <w:szCs w:val="32"/>
        </w:rPr>
      </w:pPr>
      <w:r>
        <w:rPr>
          <w:rFonts w:ascii="Tahoma" w:hAnsi="Tahoma" w:cs="Tahoma"/>
          <w:sz w:val="32"/>
          <w:szCs w:val="32"/>
        </w:rPr>
        <w:t xml:space="preserve">For example, in the small town of Bourke in northwest New South Wales, one of Australia’s first major justice reinvestment programs is being embarked upon.  The first element of this project has involved three years of community engagement and data gathering, identifying some of the catalysts for young people to offend.  A simple discovery has been that providing free driving lessons will prevent numerous youths from being stopped for driving without a licence.  From June 2016 to 2019, the town is entering the implementation phase of the scheme, during which it </w:t>
      </w:r>
      <w:r>
        <w:rPr>
          <w:rFonts w:ascii="Tahoma" w:hAnsi="Tahoma" w:cs="Tahoma"/>
          <w:sz w:val="32"/>
          <w:szCs w:val="32"/>
        </w:rPr>
        <w:lastRenderedPageBreak/>
        <w:t xml:space="preserve">will track the success of these measures at diverting youths from offending and at reducing the cost of detaining young offenders. </w:t>
      </w:r>
    </w:p>
    <w:p w14:paraId="71681C30" w14:textId="7D6B0AD3" w:rsidR="00DC2921" w:rsidRDefault="00DC2921" w:rsidP="00ED020B">
      <w:pPr>
        <w:spacing w:after="0" w:line="360" w:lineRule="auto"/>
        <w:jc w:val="both"/>
        <w:rPr>
          <w:rFonts w:ascii="Tahoma" w:hAnsi="Tahoma" w:cs="Tahoma"/>
          <w:sz w:val="32"/>
          <w:szCs w:val="32"/>
        </w:rPr>
      </w:pPr>
    </w:p>
    <w:p w14:paraId="23E38D56" w14:textId="547C4334" w:rsidR="0078024B" w:rsidRDefault="0078024B" w:rsidP="00992AAC">
      <w:pPr>
        <w:spacing w:after="0" w:line="360" w:lineRule="auto"/>
        <w:ind w:firstLine="720"/>
        <w:jc w:val="both"/>
        <w:rPr>
          <w:rFonts w:ascii="Tahoma" w:hAnsi="Tahoma" w:cs="Tahoma"/>
          <w:sz w:val="32"/>
          <w:szCs w:val="32"/>
        </w:rPr>
      </w:pPr>
      <w:r>
        <w:rPr>
          <w:rFonts w:ascii="Tahoma" w:hAnsi="Tahoma" w:cs="Tahoma"/>
          <w:sz w:val="32"/>
          <w:szCs w:val="32"/>
        </w:rPr>
        <w:t>In the United States, training programs have been implemented to both reduce racial bias in school administrators reporting students’ truancy and to implement a new system under which such minor offences can be referred to social services rather than police or the courts.</w:t>
      </w:r>
      <w:r>
        <w:rPr>
          <w:rStyle w:val="FootnoteReference"/>
          <w:rFonts w:ascii="Tahoma" w:hAnsi="Tahoma" w:cs="Tahoma"/>
          <w:sz w:val="32"/>
          <w:szCs w:val="32"/>
        </w:rPr>
        <w:footnoteReference w:id="78"/>
      </w:r>
    </w:p>
    <w:p w14:paraId="3532CB3E" w14:textId="25307EB3" w:rsidR="00145C61" w:rsidRDefault="00145C61" w:rsidP="00ED020B">
      <w:pPr>
        <w:spacing w:after="0" w:line="360" w:lineRule="auto"/>
        <w:jc w:val="both"/>
        <w:rPr>
          <w:rFonts w:ascii="Tahoma" w:hAnsi="Tahoma" w:cs="Tahoma"/>
          <w:sz w:val="32"/>
          <w:szCs w:val="32"/>
        </w:rPr>
      </w:pPr>
    </w:p>
    <w:p w14:paraId="56C51840" w14:textId="7CC61636" w:rsidR="00145C61" w:rsidRPr="00F77E89" w:rsidRDefault="00145C61" w:rsidP="00145C61">
      <w:pPr>
        <w:spacing w:after="0" w:line="360" w:lineRule="auto"/>
        <w:ind w:firstLine="720"/>
        <w:jc w:val="both"/>
        <w:rPr>
          <w:rFonts w:ascii="Tahoma" w:hAnsi="Tahoma" w:cs="Tahoma"/>
          <w:sz w:val="32"/>
          <w:szCs w:val="32"/>
        </w:rPr>
      </w:pPr>
      <w:r>
        <w:rPr>
          <w:rFonts w:ascii="Tahoma" w:hAnsi="Tahoma" w:cs="Tahoma"/>
          <w:sz w:val="32"/>
          <w:szCs w:val="32"/>
        </w:rPr>
        <w:t xml:space="preserve">The US has also trialled a </w:t>
      </w:r>
      <w:r w:rsidRPr="00F77E89">
        <w:rPr>
          <w:rFonts w:ascii="Tahoma" w:hAnsi="Tahoma" w:cs="Tahoma"/>
          <w:sz w:val="32"/>
          <w:szCs w:val="32"/>
        </w:rPr>
        <w:t xml:space="preserve">Peer Youth Court </w:t>
      </w:r>
      <w:r>
        <w:rPr>
          <w:rFonts w:ascii="Tahoma" w:hAnsi="Tahoma" w:cs="Tahoma"/>
          <w:sz w:val="32"/>
          <w:szCs w:val="32"/>
        </w:rPr>
        <w:t xml:space="preserve">which </w:t>
      </w:r>
      <w:r w:rsidRPr="00F77E89">
        <w:rPr>
          <w:rFonts w:ascii="Tahoma" w:hAnsi="Tahoma" w:cs="Tahoma"/>
          <w:sz w:val="32"/>
          <w:szCs w:val="32"/>
        </w:rPr>
        <w:t>trains young people to act as the advocates and the jury who determine the appropriate response to an offence committed by a juvenile.</w:t>
      </w:r>
      <w:r>
        <w:rPr>
          <w:rFonts w:ascii="Tahoma" w:hAnsi="Tahoma" w:cs="Tahoma"/>
          <w:sz w:val="32"/>
          <w:szCs w:val="32"/>
        </w:rPr>
        <w:t xml:space="preserve">  </w:t>
      </w:r>
      <w:r w:rsidRPr="00F77E89">
        <w:rPr>
          <w:rFonts w:ascii="Tahoma" w:hAnsi="Tahoma" w:cs="Tahoma"/>
          <w:sz w:val="32"/>
          <w:szCs w:val="32"/>
        </w:rPr>
        <w:t>The underpinning principle of the model is to use the peer pressure that is ever-present in teenage interactions to create a positive motivating force.  The trial of this Peer Youth Court model in New York was very effective with 94% of the ‘dispositions’ of the jury</w:t>
      </w:r>
      <w:r>
        <w:rPr>
          <w:rFonts w:ascii="Tahoma" w:hAnsi="Tahoma" w:cs="Tahoma"/>
          <w:sz w:val="32"/>
          <w:szCs w:val="32"/>
        </w:rPr>
        <w:t>, ranging from reflective essays to community service,</w:t>
      </w:r>
      <w:r w:rsidRPr="00F77E89">
        <w:rPr>
          <w:rFonts w:ascii="Tahoma" w:hAnsi="Tahoma" w:cs="Tahoma"/>
          <w:sz w:val="32"/>
          <w:szCs w:val="32"/>
        </w:rPr>
        <w:t xml:space="preserve"> satisfactorily complied with.</w:t>
      </w:r>
      <w:r w:rsidRPr="00F77E89">
        <w:rPr>
          <w:rStyle w:val="FootnoteReference"/>
          <w:rFonts w:ascii="Tahoma" w:hAnsi="Tahoma" w:cs="Tahoma"/>
          <w:sz w:val="32"/>
          <w:szCs w:val="32"/>
        </w:rPr>
        <w:footnoteReference w:id="79"/>
      </w:r>
      <w:r>
        <w:rPr>
          <w:rFonts w:ascii="Tahoma" w:hAnsi="Tahoma" w:cs="Tahoma"/>
          <w:sz w:val="32"/>
          <w:szCs w:val="32"/>
        </w:rPr>
        <w:t xml:space="preserve">  T</w:t>
      </w:r>
      <w:r w:rsidRPr="00F77E89">
        <w:rPr>
          <w:rFonts w:ascii="Tahoma" w:hAnsi="Tahoma" w:cs="Tahoma"/>
          <w:sz w:val="32"/>
          <w:szCs w:val="32"/>
        </w:rPr>
        <w:t>he Youth Justice Advisory Committee, a body that reports to the Northern Territory’s Department of Correctional Services</w:t>
      </w:r>
      <w:r>
        <w:rPr>
          <w:rFonts w:ascii="Tahoma" w:hAnsi="Tahoma" w:cs="Tahoma"/>
          <w:sz w:val="32"/>
          <w:szCs w:val="32"/>
        </w:rPr>
        <w:t xml:space="preserve"> is advocating for its trial in the Territory.</w:t>
      </w:r>
      <w:r w:rsidRPr="00F77E89">
        <w:rPr>
          <w:rStyle w:val="FootnoteReference"/>
          <w:rFonts w:ascii="Tahoma" w:hAnsi="Tahoma" w:cs="Tahoma"/>
          <w:sz w:val="32"/>
          <w:szCs w:val="32"/>
        </w:rPr>
        <w:footnoteReference w:id="80"/>
      </w:r>
    </w:p>
    <w:p w14:paraId="7809A5F4" w14:textId="77777777" w:rsidR="00145C61" w:rsidRDefault="00145C61" w:rsidP="00ED020B">
      <w:pPr>
        <w:spacing w:after="0" w:line="360" w:lineRule="auto"/>
        <w:jc w:val="both"/>
        <w:rPr>
          <w:rFonts w:ascii="Tahoma" w:hAnsi="Tahoma" w:cs="Tahoma"/>
          <w:sz w:val="32"/>
          <w:szCs w:val="32"/>
        </w:rPr>
      </w:pPr>
    </w:p>
    <w:p w14:paraId="4A4FE6E7" w14:textId="12451766" w:rsidR="0078024B" w:rsidRDefault="0078024B" w:rsidP="0078024B">
      <w:pPr>
        <w:spacing w:after="0" w:line="360" w:lineRule="auto"/>
        <w:ind w:firstLine="720"/>
        <w:jc w:val="both"/>
        <w:rPr>
          <w:rFonts w:ascii="Tahoma" w:hAnsi="Tahoma" w:cs="Tahoma"/>
          <w:sz w:val="32"/>
          <w:szCs w:val="32"/>
        </w:rPr>
      </w:pPr>
      <w:r>
        <w:rPr>
          <w:rFonts w:ascii="Tahoma" w:hAnsi="Tahoma" w:cs="Tahoma"/>
          <w:sz w:val="32"/>
          <w:szCs w:val="32"/>
        </w:rPr>
        <w:t>Finally, electronic monitoring is supported by a number of institutions, including t</w:t>
      </w:r>
      <w:r w:rsidRPr="00F77E89">
        <w:rPr>
          <w:rFonts w:ascii="Tahoma" w:hAnsi="Tahoma" w:cs="Tahoma"/>
          <w:sz w:val="32"/>
          <w:szCs w:val="32"/>
        </w:rPr>
        <w:t>he Northern Territory Youth Justice Advisory Committee as an alternative to imprisonment.</w:t>
      </w:r>
      <w:r w:rsidRPr="00F77E89">
        <w:rPr>
          <w:rStyle w:val="FootnoteReference"/>
          <w:rFonts w:ascii="Tahoma" w:hAnsi="Tahoma" w:cs="Tahoma"/>
          <w:sz w:val="32"/>
          <w:szCs w:val="32"/>
        </w:rPr>
        <w:footnoteReference w:id="81"/>
      </w:r>
      <w:r w:rsidRPr="00F77E89">
        <w:rPr>
          <w:rFonts w:ascii="Tahoma" w:hAnsi="Tahoma" w:cs="Tahoma"/>
          <w:sz w:val="32"/>
          <w:szCs w:val="32"/>
        </w:rPr>
        <w:t xml:space="preserve">  Advocates for young offenders </w:t>
      </w:r>
      <w:r w:rsidR="006D1234">
        <w:rPr>
          <w:rFonts w:ascii="Tahoma" w:hAnsi="Tahoma" w:cs="Tahoma"/>
          <w:sz w:val="32"/>
          <w:szCs w:val="32"/>
        </w:rPr>
        <w:t xml:space="preserve">have </w:t>
      </w:r>
      <w:r w:rsidRPr="00F77E89">
        <w:rPr>
          <w:rFonts w:ascii="Tahoma" w:hAnsi="Tahoma" w:cs="Tahoma"/>
          <w:sz w:val="32"/>
          <w:szCs w:val="32"/>
        </w:rPr>
        <w:t>note</w:t>
      </w:r>
      <w:r w:rsidR="006D1234">
        <w:rPr>
          <w:rFonts w:ascii="Tahoma" w:hAnsi="Tahoma" w:cs="Tahoma"/>
          <w:sz w:val="32"/>
          <w:szCs w:val="32"/>
        </w:rPr>
        <w:t>d</w:t>
      </w:r>
      <w:r w:rsidRPr="00F77E89">
        <w:rPr>
          <w:rFonts w:ascii="Tahoma" w:hAnsi="Tahoma" w:cs="Tahoma"/>
          <w:sz w:val="32"/>
          <w:szCs w:val="32"/>
        </w:rPr>
        <w:t xml:space="preserve"> it is significantly cheaper than detaining juveniles in custody and argue</w:t>
      </w:r>
      <w:r w:rsidR="006D1234">
        <w:rPr>
          <w:rFonts w:ascii="Tahoma" w:hAnsi="Tahoma" w:cs="Tahoma"/>
          <w:sz w:val="32"/>
          <w:szCs w:val="32"/>
        </w:rPr>
        <w:t>d</w:t>
      </w:r>
      <w:r w:rsidRPr="00F77E89">
        <w:rPr>
          <w:rFonts w:ascii="Tahoma" w:hAnsi="Tahoma" w:cs="Tahoma"/>
          <w:sz w:val="32"/>
          <w:szCs w:val="32"/>
        </w:rPr>
        <w:t xml:space="preserve"> that it reduces the risk of recidivism as it prevents juveniles being exposed to other offenders in detention.  It also allows young offenders to remain in their communities, including remote ones, rather than requiring them to be moved to a detention facility often far from family and friends.</w:t>
      </w:r>
      <w:r w:rsidRPr="00F77E89">
        <w:rPr>
          <w:rStyle w:val="FootnoteReference"/>
          <w:rFonts w:ascii="Tahoma" w:hAnsi="Tahoma" w:cs="Tahoma"/>
          <w:sz w:val="32"/>
          <w:szCs w:val="32"/>
        </w:rPr>
        <w:footnoteReference w:id="82"/>
      </w:r>
    </w:p>
    <w:p w14:paraId="669C615C" w14:textId="0EA77C15" w:rsidR="0078024B" w:rsidRDefault="0078024B" w:rsidP="00ED020B">
      <w:pPr>
        <w:spacing w:after="0" w:line="360" w:lineRule="auto"/>
        <w:jc w:val="both"/>
        <w:rPr>
          <w:rFonts w:ascii="Tahoma" w:hAnsi="Tahoma" w:cs="Tahoma"/>
          <w:sz w:val="32"/>
          <w:szCs w:val="32"/>
        </w:rPr>
      </w:pPr>
    </w:p>
    <w:p w14:paraId="71F9B3C7" w14:textId="548340F8" w:rsidR="00E1110A" w:rsidRDefault="00E1110A" w:rsidP="002C1267">
      <w:pPr>
        <w:spacing w:after="0" w:line="360" w:lineRule="auto"/>
        <w:jc w:val="center"/>
        <w:rPr>
          <w:rFonts w:ascii="Tahoma" w:hAnsi="Tahoma" w:cs="Tahoma"/>
          <w:sz w:val="32"/>
          <w:szCs w:val="32"/>
        </w:rPr>
      </w:pPr>
      <w:r>
        <w:rPr>
          <w:rFonts w:ascii="Tahoma" w:hAnsi="Tahoma" w:cs="Tahoma"/>
          <w:sz w:val="32"/>
          <w:szCs w:val="32"/>
        </w:rPr>
        <w:t>***************************</w:t>
      </w:r>
    </w:p>
    <w:p w14:paraId="4A6B8CE1" w14:textId="77777777" w:rsidR="0078024B" w:rsidRDefault="0078024B" w:rsidP="00ED020B">
      <w:pPr>
        <w:spacing w:after="0" w:line="360" w:lineRule="auto"/>
        <w:jc w:val="both"/>
        <w:rPr>
          <w:rFonts w:ascii="Tahoma" w:hAnsi="Tahoma" w:cs="Tahoma"/>
          <w:sz w:val="32"/>
          <w:szCs w:val="32"/>
        </w:rPr>
      </w:pPr>
    </w:p>
    <w:p w14:paraId="12226729" w14:textId="0134B3ED" w:rsidR="004D499E" w:rsidRDefault="004D499E" w:rsidP="00ED020B">
      <w:pPr>
        <w:spacing w:after="0" w:line="360" w:lineRule="auto"/>
        <w:jc w:val="both"/>
        <w:rPr>
          <w:rFonts w:ascii="Tahoma" w:hAnsi="Tahoma" w:cs="Tahoma"/>
          <w:sz w:val="32"/>
          <w:szCs w:val="32"/>
        </w:rPr>
      </w:pPr>
      <w:r>
        <w:rPr>
          <w:rFonts w:ascii="Tahoma" w:hAnsi="Tahoma" w:cs="Tahoma"/>
          <w:sz w:val="32"/>
          <w:szCs w:val="32"/>
        </w:rPr>
        <w:tab/>
        <w:t xml:space="preserve">Reflecting on the </w:t>
      </w:r>
      <w:r w:rsidR="00585028">
        <w:rPr>
          <w:rFonts w:ascii="Tahoma" w:hAnsi="Tahoma" w:cs="Tahoma"/>
          <w:sz w:val="32"/>
          <w:szCs w:val="32"/>
        </w:rPr>
        <w:t>constrained</w:t>
      </w:r>
      <w:r>
        <w:rPr>
          <w:rFonts w:ascii="Tahoma" w:hAnsi="Tahoma" w:cs="Tahoma"/>
          <w:sz w:val="32"/>
          <w:szCs w:val="32"/>
        </w:rPr>
        <w:t xml:space="preserve"> success of the </w:t>
      </w:r>
      <w:r w:rsidR="00585028">
        <w:rPr>
          <w:rFonts w:ascii="Tahoma" w:hAnsi="Tahoma" w:cs="Tahoma"/>
          <w:sz w:val="32"/>
          <w:szCs w:val="32"/>
        </w:rPr>
        <w:t>Joint</w:t>
      </w:r>
      <w:r>
        <w:rPr>
          <w:rFonts w:ascii="Tahoma" w:hAnsi="Tahoma" w:cs="Tahoma"/>
          <w:sz w:val="32"/>
          <w:szCs w:val="32"/>
        </w:rPr>
        <w:t xml:space="preserve"> Report and observing what has happened since I venture to suggest that we need to reconsider the way children and young offenders are treated in the criminal justice system.  If I might draw on the Victorian experience</w:t>
      </w:r>
      <w:r w:rsidR="00585028">
        <w:rPr>
          <w:rFonts w:ascii="Tahoma" w:hAnsi="Tahoma" w:cs="Tahoma"/>
          <w:sz w:val="32"/>
          <w:szCs w:val="32"/>
        </w:rPr>
        <w:t>. T</w:t>
      </w:r>
      <w:r>
        <w:rPr>
          <w:rFonts w:ascii="Tahoma" w:hAnsi="Tahoma" w:cs="Tahoma"/>
          <w:sz w:val="32"/>
          <w:szCs w:val="32"/>
        </w:rPr>
        <w:t xml:space="preserve">he State reached a crisis with family violence.  Rather than embark on the </w:t>
      </w:r>
      <w:r w:rsidR="00BE3965">
        <w:rPr>
          <w:rFonts w:ascii="Tahoma" w:hAnsi="Tahoma" w:cs="Tahoma"/>
          <w:sz w:val="32"/>
          <w:szCs w:val="32"/>
        </w:rPr>
        <w:t>usual responsive model of an</w:t>
      </w:r>
      <w:r>
        <w:rPr>
          <w:rFonts w:ascii="Tahoma" w:hAnsi="Tahoma" w:cs="Tahoma"/>
          <w:sz w:val="32"/>
          <w:szCs w:val="32"/>
        </w:rPr>
        <w:t xml:space="preserve"> </w:t>
      </w:r>
      <w:r>
        <w:rPr>
          <w:rFonts w:ascii="Tahoma" w:hAnsi="Tahoma" w:cs="Tahoma"/>
          <w:sz w:val="32"/>
          <w:szCs w:val="32"/>
        </w:rPr>
        <w:lastRenderedPageBreak/>
        <w:t>inquiry</w:t>
      </w:r>
      <w:r w:rsidR="00BE3965">
        <w:rPr>
          <w:rFonts w:ascii="Tahoma" w:hAnsi="Tahoma" w:cs="Tahoma"/>
          <w:sz w:val="32"/>
          <w:szCs w:val="32"/>
        </w:rPr>
        <w:t xml:space="preserve"> and inter-</w:t>
      </w:r>
      <w:r>
        <w:rPr>
          <w:rFonts w:ascii="Tahoma" w:hAnsi="Tahoma" w:cs="Tahoma"/>
          <w:sz w:val="32"/>
          <w:szCs w:val="32"/>
        </w:rPr>
        <w:t>government</w:t>
      </w:r>
      <w:r w:rsidR="00BE3965">
        <w:rPr>
          <w:rFonts w:ascii="Tahoma" w:hAnsi="Tahoma" w:cs="Tahoma"/>
          <w:sz w:val="32"/>
          <w:szCs w:val="32"/>
        </w:rPr>
        <w:t xml:space="preserve">al implementation of </w:t>
      </w:r>
      <w:r>
        <w:rPr>
          <w:rFonts w:ascii="Tahoma" w:hAnsi="Tahoma" w:cs="Tahoma"/>
          <w:sz w:val="32"/>
          <w:szCs w:val="32"/>
        </w:rPr>
        <w:t xml:space="preserve"> recommendations, the Victorian government established a royal commission into family violence</w:t>
      </w:r>
      <w:r w:rsidR="00BE3965">
        <w:rPr>
          <w:rFonts w:ascii="Tahoma" w:hAnsi="Tahoma" w:cs="Tahoma"/>
          <w:sz w:val="32"/>
          <w:szCs w:val="32"/>
        </w:rPr>
        <w:t xml:space="preserve"> with unusual terms of reference that contemplated a systemic analysis and therapeutic  jurisprudential approach.</w:t>
      </w:r>
    </w:p>
    <w:p w14:paraId="3440ADEE" w14:textId="77777777" w:rsidR="00E1080C" w:rsidRDefault="00E1080C" w:rsidP="00ED020B">
      <w:pPr>
        <w:spacing w:after="0" w:line="360" w:lineRule="auto"/>
        <w:jc w:val="both"/>
        <w:rPr>
          <w:rFonts w:ascii="Tahoma" w:hAnsi="Tahoma" w:cs="Tahoma"/>
          <w:sz w:val="32"/>
          <w:szCs w:val="32"/>
        </w:rPr>
      </w:pPr>
    </w:p>
    <w:p w14:paraId="2D6A9006" w14:textId="77777777" w:rsidR="00E1080C" w:rsidRPr="00E1080C" w:rsidRDefault="00E1080C" w:rsidP="00E1080C">
      <w:pPr>
        <w:spacing w:after="0" w:line="360" w:lineRule="auto"/>
        <w:ind w:firstLine="720"/>
        <w:jc w:val="both"/>
        <w:rPr>
          <w:rFonts w:ascii="Tahoma" w:hAnsi="Tahoma" w:cs="Tahoma"/>
          <w:sz w:val="32"/>
          <w:szCs w:val="32"/>
        </w:rPr>
      </w:pPr>
      <w:r w:rsidRPr="00E1080C">
        <w:rPr>
          <w:rFonts w:ascii="Tahoma" w:hAnsi="Tahoma" w:cs="Tahoma"/>
          <w:sz w:val="32"/>
          <w:szCs w:val="32"/>
        </w:rPr>
        <w:t>The Commission was established 22 February 2015. Its terms of reference were expansive, directing the Commission to:</w:t>
      </w:r>
    </w:p>
    <w:p w14:paraId="6C23FCC3" w14:textId="77777777" w:rsidR="00E1080C" w:rsidRPr="00E1080C" w:rsidRDefault="00E1080C" w:rsidP="00E1080C">
      <w:pPr>
        <w:spacing w:after="0" w:line="360" w:lineRule="auto"/>
        <w:jc w:val="both"/>
        <w:rPr>
          <w:rFonts w:ascii="Tahoma" w:hAnsi="Tahoma" w:cs="Tahoma"/>
          <w:sz w:val="32"/>
          <w:szCs w:val="32"/>
        </w:rPr>
      </w:pPr>
    </w:p>
    <w:p w14:paraId="3975FC32" w14:textId="77777777" w:rsidR="00E1080C" w:rsidRPr="00E1080C" w:rsidRDefault="00E1080C" w:rsidP="00BB40BB">
      <w:pPr>
        <w:spacing w:after="0" w:line="360" w:lineRule="auto"/>
        <w:ind w:left="720" w:hanging="720"/>
        <w:jc w:val="both"/>
        <w:rPr>
          <w:rFonts w:ascii="Tahoma" w:hAnsi="Tahoma" w:cs="Tahoma"/>
          <w:sz w:val="32"/>
          <w:szCs w:val="32"/>
        </w:rPr>
      </w:pPr>
      <w:r w:rsidRPr="00E1080C">
        <w:rPr>
          <w:rFonts w:ascii="Tahoma" w:hAnsi="Tahoma" w:cs="Tahoma"/>
          <w:sz w:val="32"/>
          <w:szCs w:val="32"/>
        </w:rPr>
        <w:t>•</w:t>
      </w:r>
      <w:r w:rsidRPr="00E1080C">
        <w:rPr>
          <w:rFonts w:ascii="Tahoma" w:hAnsi="Tahoma" w:cs="Tahoma"/>
          <w:sz w:val="32"/>
          <w:szCs w:val="32"/>
        </w:rPr>
        <w:tab/>
        <w:t>Examine and evaluate strategies, frameworks, policies, programs and services across government and local government, media business and community organisations and establish best practice in the prevention of family violence, early intervention, support for victims and perpetrator accountability;</w:t>
      </w:r>
    </w:p>
    <w:p w14:paraId="34635E33" w14:textId="77777777" w:rsidR="00E1080C" w:rsidRPr="00E1080C" w:rsidRDefault="00E1080C" w:rsidP="00BB40BB">
      <w:pPr>
        <w:spacing w:after="0" w:line="360" w:lineRule="auto"/>
        <w:ind w:left="720" w:hanging="720"/>
        <w:jc w:val="both"/>
        <w:rPr>
          <w:rFonts w:ascii="Tahoma" w:hAnsi="Tahoma" w:cs="Tahoma"/>
          <w:sz w:val="32"/>
          <w:szCs w:val="32"/>
        </w:rPr>
      </w:pPr>
    </w:p>
    <w:p w14:paraId="63219108" w14:textId="77777777" w:rsidR="00E1080C" w:rsidRPr="00E1080C" w:rsidRDefault="00E1080C" w:rsidP="00BB40BB">
      <w:pPr>
        <w:spacing w:after="0" w:line="360" w:lineRule="auto"/>
        <w:ind w:left="720" w:hanging="720"/>
        <w:jc w:val="both"/>
        <w:rPr>
          <w:rFonts w:ascii="Tahoma" w:hAnsi="Tahoma" w:cs="Tahoma"/>
          <w:sz w:val="32"/>
          <w:szCs w:val="32"/>
        </w:rPr>
      </w:pPr>
      <w:r w:rsidRPr="00E1080C">
        <w:rPr>
          <w:rFonts w:ascii="Tahoma" w:hAnsi="Tahoma" w:cs="Tahoma"/>
          <w:sz w:val="32"/>
          <w:szCs w:val="32"/>
        </w:rPr>
        <w:t>•</w:t>
      </w:r>
      <w:r w:rsidRPr="00E1080C">
        <w:rPr>
          <w:rFonts w:ascii="Tahoma" w:hAnsi="Tahoma" w:cs="Tahoma"/>
          <w:sz w:val="32"/>
          <w:szCs w:val="32"/>
        </w:rPr>
        <w:tab/>
        <w:t>Investigate the means of having systemic responses to family violence, particularly in the legal system and by police, corrections, child protection, legal and family violence support services, including reducing re-offending and changing violence and controlling behaviours;</w:t>
      </w:r>
    </w:p>
    <w:p w14:paraId="19C5DD30" w14:textId="77777777" w:rsidR="00E1080C" w:rsidRPr="00E1080C" w:rsidRDefault="00E1080C" w:rsidP="00BB40BB">
      <w:pPr>
        <w:spacing w:after="0" w:line="360" w:lineRule="auto"/>
        <w:ind w:left="720" w:hanging="720"/>
        <w:jc w:val="both"/>
        <w:rPr>
          <w:rFonts w:ascii="Tahoma" w:hAnsi="Tahoma" w:cs="Tahoma"/>
          <w:sz w:val="32"/>
          <w:szCs w:val="32"/>
        </w:rPr>
      </w:pPr>
    </w:p>
    <w:p w14:paraId="1F7EFCBD" w14:textId="77777777" w:rsidR="00BB40BB" w:rsidRDefault="00E1080C" w:rsidP="00BB40BB">
      <w:pPr>
        <w:spacing w:after="0" w:line="360" w:lineRule="auto"/>
        <w:ind w:left="720" w:hanging="720"/>
        <w:jc w:val="both"/>
        <w:rPr>
          <w:rFonts w:ascii="Tahoma" w:hAnsi="Tahoma" w:cs="Tahoma"/>
          <w:sz w:val="32"/>
          <w:szCs w:val="32"/>
        </w:rPr>
      </w:pPr>
      <w:r w:rsidRPr="00E1080C">
        <w:rPr>
          <w:rFonts w:ascii="Tahoma" w:hAnsi="Tahoma" w:cs="Tahoma"/>
          <w:sz w:val="32"/>
          <w:szCs w:val="32"/>
        </w:rPr>
        <w:t>•</w:t>
      </w:r>
      <w:r w:rsidRPr="00E1080C">
        <w:rPr>
          <w:rFonts w:ascii="Tahoma" w:hAnsi="Tahoma" w:cs="Tahoma"/>
          <w:sz w:val="32"/>
          <w:szCs w:val="32"/>
        </w:rPr>
        <w:tab/>
        <w:t>Investigate how government agencies and community organisations can better integrate and co-ordinate their efforts; and</w:t>
      </w:r>
    </w:p>
    <w:p w14:paraId="0FF04B21" w14:textId="77777777" w:rsidR="00BB40BB" w:rsidRDefault="00BB40BB" w:rsidP="00BB40BB">
      <w:pPr>
        <w:spacing w:after="0" w:line="360" w:lineRule="auto"/>
        <w:ind w:left="720" w:hanging="720"/>
        <w:jc w:val="both"/>
        <w:rPr>
          <w:rFonts w:ascii="Tahoma" w:hAnsi="Tahoma" w:cs="Tahoma"/>
          <w:sz w:val="32"/>
          <w:szCs w:val="32"/>
        </w:rPr>
      </w:pPr>
    </w:p>
    <w:p w14:paraId="56C348E3" w14:textId="65B29AFA" w:rsidR="00E1080C" w:rsidRPr="00E1080C" w:rsidRDefault="00E1080C" w:rsidP="00BB40BB">
      <w:pPr>
        <w:spacing w:after="0" w:line="360" w:lineRule="auto"/>
        <w:ind w:left="720" w:hanging="720"/>
        <w:jc w:val="both"/>
        <w:rPr>
          <w:rFonts w:ascii="Tahoma" w:hAnsi="Tahoma" w:cs="Tahoma"/>
          <w:sz w:val="32"/>
          <w:szCs w:val="32"/>
        </w:rPr>
      </w:pPr>
      <w:r w:rsidRPr="00E1080C">
        <w:rPr>
          <w:rFonts w:ascii="Tahoma" w:hAnsi="Tahoma" w:cs="Tahoma"/>
          <w:sz w:val="32"/>
          <w:szCs w:val="32"/>
        </w:rPr>
        <w:t>•</w:t>
      </w:r>
      <w:r w:rsidRPr="00E1080C">
        <w:rPr>
          <w:rFonts w:ascii="Tahoma" w:hAnsi="Tahoma" w:cs="Tahoma"/>
          <w:sz w:val="32"/>
          <w:szCs w:val="32"/>
        </w:rPr>
        <w:tab/>
        <w:t>Provide recommendations on how best to evaluate and measure the success of strategies, frameworks, policies, programs and services put in place to stop family violence.</w:t>
      </w:r>
    </w:p>
    <w:p w14:paraId="7194CD93" w14:textId="77777777" w:rsidR="00E1080C" w:rsidRPr="00E1080C" w:rsidRDefault="00E1080C" w:rsidP="00E1080C">
      <w:pPr>
        <w:spacing w:after="0" w:line="360" w:lineRule="auto"/>
        <w:jc w:val="both"/>
        <w:rPr>
          <w:rFonts w:ascii="Tahoma" w:hAnsi="Tahoma" w:cs="Tahoma"/>
          <w:sz w:val="32"/>
          <w:szCs w:val="32"/>
        </w:rPr>
      </w:pPr>
    </w:p>
    <w:p w14:paraId="1E729DC2" w14:textId="6171BF22" w:rsidR="00E1080C" w:rsidRPr="00E1080C" w:rsidRDefault="00E1080C" w:rsidP="00BB40BB">
      <w:pPr>
        <w:spacing w:after="0" w:line="360" w:lineRule="auto"/>
        <w:ind w:firstLine="720"/>
        <w:jc w:val="both"/>
        <w:rPr>
          <w:rFonts w:ascii="Tahoma" w:hAnsi="Tahoma" w:cs="Tahoma"/>
          <w:sz w:val="32"/>
          <w:szCs w:val="32"/>
        </w:rPr>
      </w:pPr>
      <w:r w:rsidRPr="00E1080C">
        <w:rPr>
          <w:rFonts w:ascii="Tahoma" w:hAnsi="Tahoma" w:cs="Tahoma"/>
          <w:sz w:val="32"/>
          <w:szCs w:val="32"/>
        </w:rPr>
        <w:t>In addition to being broad, the terms of reference were of a distinctive nature.</w:t>
      </w:r>
      <w:r>
        <w:rPr>
          <w:rStyle w:val="FootnoteReference"/>
          <w:rFonts w:ascii="Tahoma" w:hAnsi="Tahoma" w:cs="Tahoma"/>
          <w:sz w:val="32"/>
          <w:szCs w:val="32"/>
        </w:rPr>
        <w:footnoteReference w:id="83"/>
      </w:r>
      <w:r w:rsidRPr="00E1080C">
        <w:rPr>
          <w:rFonts w:ascii="Tahoma" w:hAnsi="Tahoma" w:cs="Tahoma"/>
          <w:sz w:val="32"/>
          <w:szCs w:val="32"/>
        </w:rPr>
        <w:t xml:space="preserve"> Rather than investigating factual findings about past events, they sought recommendations on matters of policy.</w:t>
      </w:r>
      <w:r w:rsidR="00192D6D">
        <w:rPr>
          <w:rStyle w:val="FootnoteReference"/>
          <w:rFonts w:ascii="Tahoma" w:hAnsi="Tahoma" w:cs="Tahoma"/>
          <w:sz w:val="32"/>
          <w:szCs w:val="32"/>
        </w:rPr>
        <w:footnoteReference w:id="84"/>
      </w:r>
      <w:r w:rsidRPr="00E1080C">
        <w:rPr>
          <w:rFonts w:ascii="Tahoma" w:hAnsi="Tahoma" w:cs="Tahoma"/>
          <w:sz w:val="32"/>
          <w:szCs w:val="32"/>
        </w:rPr>
        <w:t xml:space="preserve">  As such, the Hon </w:t>
      </w:r>
      <w:r w:rsidR="008D259D">
        <w:rPr>
          <w:rFonts w:ascii="Tahoma" w:hAnsi="Tahoma" w:cs="Tahoma"/>
          <w:sz w:val="32"/>
          <w:szCs w:val="32"/>
        </w:rPr>
        <w:t xml:space="preserve">Marcia </w:t>
      </w:r>
      <w:r w:rsidRPr="00E1080C">
        <w:rPr>
          <w:rFonts w:ascii="Tahoma" w:hAnsi="Tahoma" w:cs="Tahoma"/>
          <w:sz w:val="32"/>
          <w:szCs w:val="32"/>
        </w:rPr>
        <w:t>Neave AO perceived the Commission’s primary focus as</w:t>
      </w:r>
      <w:r w:rsidR="00192D6D">
        <w:rPr>
          <w:rFonts w:ascii="Tahoma" w:hAnsi="Tahoma" w:cs="Tahoma"/>
          <w:sz w:val="32"/>
          <w:szCs w:val="32"/>
        </w:rPr>
        <w:t xml:space="preserve"> </w:t>
      </w:r>
      <w:r w:rsidRPr="00E1080C">
        <w:rPr>
          <w:rFonts w:ascii="Tahoma" w:hAnsi="Tahoma" w:cs="Tahoma"/>
          <w:sz w:val="32"/>
          <w:szCs w:val="32"/>
        </w:rPr>
        <w:t>‘identifying and solving system-wide issues rather than on hearing from a large number of individuals about their particular circumstances’.</w:t>
      </w:r>
      <w:r w:rsidR="00192D6D">
        <w:rPr>
          <w:rStyle w:val="FootnoteReference"/>
          <w:rFonts w:ascii="Tahoma" w:hAnsi="Tahoma" w:cs="Tahoma"/>
          <w:sz w:val="32"/>
          <w:szCs w:val="32"/>
        </w:rPr>
        <w:footnoteReference w:id="85"/>
      </w:r>
      <w:r w:rsidRPr="00E1080C">
        <w:rPr>
          <w:rFonts w:ascii="Tahoma" w:hAnsi="Tahoma" w:cs="Tahoma"/>
          <w:sz w:val="32"/>
          <w:szCs w:val="32"/>
        </w:rPr>
        <w:t xml:space="preserve">  Instead of ‘carrying out a forensic investigation into the cause or occurrence of a particular event with a view of determining fault or liability’, the task was to ‘set directions for future family violence policy’.</w:t>
      </w:r>
      <w:r w:rsidR="00192D6D">
        <w:rPr>
          <w:rStyle w:val="FootnoteReference"/>
          <w:rFonts w:ascii="Tahoma" w:hAnsi="Tahoma" w:cs="Tahoma"/>
          <w:sz w:val="32"/>
          <w:szCs w:val="32"/>
        </w:rPr>
        <w:footnoteReference w:id="86"/>
      </w:r>
    </w:p>
    <w:p w14:paraId="107EF075" w14:textId="77777777" w:rsidR="00BB40BB" w:rsidRDefault="00BB40BB" w:rsidP="00BB40BB">
      <w:pPr>
        <w:spacing w:after="0" w:line="360" w:lineRule="auto"/>
        <w:ind w:firstLine="720"/>
        <w:jc w:val="both"/>
        <w:rPr>
          <w:rFonts w:ascii="Tahoma" w:hAnsi="Tahoma" w:cs="Tahoma"/>
          <w:sz w:val="32"/>
          <w:szCs w:val="32"/>
        </w:rPr>
      </w:pPr>
    </w:p>
    <w:p w14:paraId="3997F588" w14:textId="0834372B" w:rsidR="00192D6D" w:rsidRPr="00192D6D" w:rsidRDefault="00192D6D" w:rsidP="00BB40BB">
      <w:pPr>
        <w:spacing w:after="0" w:line="360" w:lineRule="auto"/>
        <w:ind w:firstLine="720"/>
        <w:jc w:val="both"/>
        <w:rPr>
          <w:rFonts w:ascii="Tahoma" w:hAnsi="Tahoma" w:cs="Tahoma"/>
          <w:sz w:val="32"/>
          <w:szCs w:val="32"/>
        </w:rPr>
      </w:pPr>
      <w:r w:rsidRPr="00192D6D">
        <w:rPr>
          <w:rFonts w:ascii="Tahoma" w:hAnsi="Tahoma" w:cs="Tahoma"/>
          <w:sz w:val="32"/>
          <w:szCs w:val="32"/>
        </w:rPr>
        <w:t xml:space="preserve">A further aim of the Commission was to raise awareness of family violence and the activities of organisations seeking to address it. Consequently, public hearings were broadcast live over the internet, submissions, witness statements and transcripts were </w:t>
      </w:r>
      <w:r w:rsidRPr="00192D6D">
        <w:rPr>
          <w:rFonts w:ascii="Tahoma" w:hAnsi="Tahoma" w:cs="Tahoma"/>
          <w:sz w:val="32"/>
          <w:szCs w:val="32"/>
        </w:rPr>
        <w:lastRenderedPageBreak/>
        <w:t>published on the Commission’s website,</w:t>
      </w:r>
      <w:r>
        <w:rPr>
          <w:rStyle w:val="FootnoteReference"/>
          <w:rFonts w:ascii="Tahoma" w:hAnsi="Tahoma" w:cs="Tahoma"/>
          <w:sz w:val="32"/>
          <w:szCs w:val="32"/>
        </w:rPr>
        <w:footnoteReference w:id="87"/>
      </w:r>
      <w:r w:rsidRPr="00192D6D">
        <w:rPr>
          <w:rFonts w:ascii="Tahoma" w:hAnsi="Tahoma" w:cs="Tahoma"/>
          <w:sz w:val="32"/>
          <w:szCs w:val="32"/>
        </w:rPr>
        <w:t xml:space="preserve"> and relationships established with the media.</w:t>
      </w:r>
    </w:p>
    <w:p w14:paraId="15498F06" w14:textId="77777777" w:rsidR="00192D6D" w:rsidRDefault="00192D6D" w:rsidP="00192D6D">
      <w:pPr>
        <w:spacing w:after="0" w:line="360" w:lineRule="auto"/>
        <w:jc w:val="both"/>
        <w:rPr>
          <w:rFonts w:ascii="Tahoma" w:hAnsi="Tahoma" w:cs="Tahoma"/>
          <w:sz w:val="32"/>
          <w:szCs w:val="32"/>
        </w:rPr>
      </w:pPr>
    </w:p>
    <w:p w14:paraId="0A1765D1" w14:textId="16D6E52D" w:rsidR="00192D6D" w:rsidRPr="00192D6D" w:rsidRDefault="00192D6D" w:rsidP="00BB40BB">
      <w:pPr>
        <w:spacing w:after="0" w:line="360" w:lineRule="auto"/>
        <w:ind w:firstLine="720"/>
        <w:jc w:val="both"/>
        <w:rPr>
          <w:rFonts w:ascii="Tahoma" w:hAnsi="Tahoma" w:cs="Tahoma"/>
          <w:sz w:val="32"/>
          <w:szCs w:val="32"/>
        </w:rPr>
      </w:pPr>
      <w:r w:rsidRPr="00192D6D">
        <w:rPr>
          <w:rFonts w:ascii="Tahoma" w:hAnsi="Tahoma" w:cs="Tahoma"/>
          <w:sz w:val="32"/>
          <w:szCs w:val="32"/>
        </w:rPr>
        <w:t xml:space="preserve">The Commission recognised significant limitations </w:t>
      </w:r>
      <w:r w:rsidR="008D259D">
        <w:rPr>
          <w:rFonts w:ascii="Tahoma" w:hAnsi="Tahoma" w:cs="Tahoma"/>
          <w:sz w:val="32"/>
          <w:szCs w:val="32"/>
        </w:rPr>
        <w:t>to</w:t>
      </w:r>
      <w:r w:rsidR="008D259D" w:rsidRPr="00192D6D">
        <w:rPr>
          <w:rFonts w:ascii="Tahoma" w:hAnsi="Tahoma" w:cs="Tahoma"/>
          <w:sz w:val="32"/>
          <w:szCs w:val="32"/>
        </w:rPr>
        <w:t xml:space="preserve"> </w:t>
      </w:r>
      <w:r w:rsidRPr="00192D6D">
        <w:rPr>
          <w:rFonts w:ascii="Tahoma" w:hAnsi="Tahoma" w:cs="Tahoma"/>
          <w:sz w:val="32"/>
          <w:szCs w:val="32"/>
        </w:rPr>
        <w:t>the current response. Issues raised include services which are ill-equipped to meet high-demands; insufficient recognition of the different manifestations of family violence; lack of coordination and information sharing between systems; inadequate effort and investment in prevention; and a lack of a dedicated governance mechanism within the Victorian Government to coordinate the system’s prevention and response efforts.</w:t>
      </w:r>
      <w:r>
        <w:rPr>
          <w:rStyle w:val="FootnoteReference"/>
          <w:rFonts w:ascii="Tahoma" w:hAnsi="Tahoma" w:cs="Tahoma"/>
          <w:sz w:val="32"/>
          <w:szCs w:val="32"/>
        </w:rPr>
        <w:footnoteReference w:id="88"/>
      </w:r>
    </w:p>
    <w:p w14:paraId="3EA9B3A1" w14:textId="77777777" w:rsidR="00192D6D" w:rsidRPr="00192D6D" w:rsidRDefault="00192D6D" w:rsidP="00192D6D">
      <w:pPr>
        <w:spacing w:after="0" w:line="360" w:lineRule="auto"/>
        <w:jc w:val="both"/>
        <w:rPr>
          <w:rFonts w:ascii="Tahoma" w:hAnsi="Tahoma" w:cs="Tahoma"/>
          <w:sz w:val="32"/>
          <w:szCs w:val="32"/>
        </w:rPr>
      </w:pPr>
    </w:p>
    <w:p w14:paraId="5F929EC5" w14:textId="6B586A57" w:rsidR="00E1080C" w:rsidRDefault="00192D6D" w:rsidP="00BB40BB">
      <w:pPr>
        <w:spacing w:after="0" w:line="360" w:lineRule="auto"/>
        <w:ind w:firstLine="720"/>
        <w:jc w:val="both"/>
        <w:rPr>
          <w:rFonts w:ascii="Tahoma" w:hAnsi="Tahoma" w:cs="Tahoma"/>
          <w:sz w:val="32"/>
          <w:szCs w:val="32"/>
        </w:rPr>
      </w:pPr>
      <w:r w:rsidRPr="00192D6D">
        <w:rPr>
          <w:rFonts w:ascii="Tahoma" w:hAnsi="Tahoma" w:cs="Tahoma"/>
          <w:sz w:val="32"/>
          <w:szCs w:val="32"/>
        </w:rPr>
        <w:t xml:space="preserve">The 227 recommendations in the </w:t>
      </w:r>
      <w:r w:rsidR="00724727">
        <w:rPr>
          <w:rFonts w:ascii="Tahoma" w:hAnsi="Tahoma" w:cs="Tahoma"/>
          <w:sz w:val="32"/>
          <w:szCs w:val="32"/>
        </w:rPr>
        <w:t>Neave</w:t>
      </w:r>
      <w:r w:rsidRPr="00192D6D">
        <w:rPr>
          <w:rFonts w:ascii="Tahoma" w:hAnsi="Tahoma" w:cs="Tahoma"/>
          <w:sz w:val="32"/>
          <w:szCs w:val="32"/>
        </w:rPr>
        <w:t xml:space="preserve"> </w:t>
      </w:r>
      <w:r w:rsidR="00724727">
        <w:rPr>
          <w:rFonts w:ascii="Tahoma" w:hAnsi="Tahoma" w:cs="Tahoma"/>
          <w:sz w:val="32"/>
          <w:szCs w:val="32"/>
        </w:rPr>
        <w:t>R</w:t>
      </w:r>
      <w:r w:rsidRPr="00192D6D">
        <w:rPr>
          <w:rFonts w:ascii="Tahoma" w:hAnsi="Tahoma" w:cs="Tahoma"/>
          <w:sz w:val="32"/>
          <w:szCs w:val="32"/>
        </w:rPr>
        <w:t>eport are directed at addressing these limitations and improving Victoria’s current foundations.</w:t>
      </w:r>
    </w:p>
    <w:p w14:paraId="33393631" w14:textId="77777777" w:rsidR="00E1080C" w:rsidRDefault="00E1080C" w:rsidP="00ED020B">
      <w:pPr>
        <w:spacing w:after="0" w:line="360" w:lineRule="auto"/>
        <w:jc w:val="both"/>
        <w:rPr>
          <w:rFonts w:ascii="Tahoma" w:hAnsi="Tahoma" w:cs="Tahoma"/>
          <w:sz w:val="32"/>
          <w:szCs w:val="32"/>
        </w:rPr>
      </w:pPr>
    </w:p>
    <w:p w14:paraId="7016432B" w14:textId="77F05F7F" w:rsidR="00192D6D" w:rsidRPr="00192D6D" w:rsidRDefault="00192D6D" w:rsidP="00BB40BB">
      <w:pPr>
        <w:spacing w:after="0" w:line="360" w:lineRule="auto"/>
        <w:ind w:firstLine="720"/>
        <w:jc w:val="both"/>
        <w:rPr>
          <w:rFonts w:ascii="Tahoma" w:hAnsi="Tahoma" w:cs="Tahoma"/>
          <w:sz w:val="32"/>
          <w:szCs w:val="32"/>
        </w:rPr>
      </w:pPr>
      <w:r w:rsidRPr="00192D6D">
        <w:rPr>
          <w:rFonts w:ascii="Tahoma" w:hAnsi="Tahoma" w:cs="Tahoma"/>
          <w:sz w:val="32"/>
          <w:szCs w:val="32"/>
        </w:rPr>
        <w:t>Underpinning the recommendations is a transformative agenda. The Commission has called for a broadening of responsibility in addressing family violence; each sector or component part of the system needs to reinforce the work of others, there needs to be greater collaboration and trust with one another, and an outward focus adopted, which is open to new ideas and new solutions.</w:t>
      </w:r>
      <w:r>
        <w:rPr>
          <w:rStyle w:val="FootnoteReference"/>
          <w:rFonts w:ascii="Tahoma" w:hAnsi="Tahoma" w:cs="Tahoma"/>
          <w:sz w:val="32"/>
          <w:szCs w:val="32"/>
        </w:rPr>
        <w:footnoteReference w:id="89"/>
      </w:r>
    </w:p>
    <w:p w14:paraId="211BB964" w14:textId="77777777" w:rsidR="00192D6D" w:rsidRPr="00192D6D" w:rsidRDefault="00192D6D" w:rsidP="00192D6D">
      <w:pPr>
        <w:spacing w:after="0" w:line="360" w:lineRule="auto"/>
        <w:jc w:val="both"/>
        <w:rPr>
          <w:rFonts w:ascii="Tahoma" w:hAnsi="Tahoma" w:cs="Tahoma"/>
          <w:sz w:val="32"/>
          <w:szCs w:val="32"/>
        </w:rPr>
      </w:pPr>
    </w:p>
    <w:p w14:paraId="3FA3F30A" w14:textId="77777777" w:rsidR="00192D6D" w:rsidRPr="00192D6D" w:rsidRDefault="00192D6D" w:rsidP="00192D6D">
      <w:pPr>
        <w:spacing w:after="0" w:line="360" w:lineRule="auto"/>
        <w:jc w:val="both"/>
        <w:rPr>
          <w:rFonts w:ascii="Tahoma" w:hAnsi="Tahoma" w:cs="Tahoma"/>
          <w:sz w:val="32"/>
          <w:szCs w:val="32"/>
        </w:rPr>
      </w:pPr>
      <w:r w:rsidRPr="00192D6D">
        <w:rPr>
          <w:rFonts w:ascii="Tahoma" w:hAnsi="Tahoma" w:cs="Tahoma"/>
          <w:sz w:val="32"/>
          <w:szCs w:val="32"/>
        </w:rPr>
        <w:t>Novel recommendations include:</w:t>
      </w:r>
    </w:p>
    <w:p w14:paraId="4F8F2A26" w14:textId="0A7FE732" w:rsidR="00192D6D" w:rsidRPr="00192D6D" w:rsidRDefault="00BB40BB" w:rsidP="00BB40BB">
      <w:pPr>
        <w:spacing w:after="0" w:line="360" w:lineRule="auto"/>
        <w:ind w:left="720" w:hanging="720"/>
        <w:jc w:val="both"/>
        <w:rPr>
          <w:rFonts w:ascii="Tahoma" w:hAnsi="Tahoma" w:cs="Tahoma"/>
          <w:sz w:val="32"/>
          <w:szCs w:val="32"/>
        </w:rPr>
      </w:pPr>
      <w:r>
        <w:rPr>
          <w:rFonts w:ascii="Tahoma" w:hAnsi="Tahoma" w:cs="Tahoma"/>
          <w:sz w:val="32"/>
          <w:szCs w:val="32"/>
        </w:rPr>
        <w:t>•</w:t>
      </w:r>
      <w:r>
        <w:rPr>
          <w:rFonts w:ascii="Tahoma" w:hAnsi="Tahoma" w:cs="Tahoma"/>
          <w:sz w:val="32"/>
          <w:szCs w:val="32"/>
        </w:rPr>
        <w:tab/>
      </w:r>
      <w:r w:rsidR="00BE3965">
        <w:rPr>
          <w:rFonts w:ascii="Tahoma" w:hAnsi="Tahoma" w:cs="Tahoma"/>
          <w:sz w:val="32"/>
          <w:szCs w:val="32"/>
        </w:rPr>
        <w:t>S</w:t>
      </w:r>
      <w:r w:rsidR="00192D6D" w:rsidRPr="00192D6D">
        <w:rPr>
          <w:rFonts w:ascii="Tahoma" w:hAnsi="Tahoma" w:cs="Tahoma"/>
          <w:sz w:val="32"/>
          <w:szCs w:val="32"/>
        </w:rPr>
        <w:t>upport and Safety Hubs in local communities through-out Victoria to enhance access to help and services;</w:t>
      </w:r>
    </w:p>
    <w:p w14:paraId="3207B7F1" w14:textId="77777777" w:rsidR="00192D6D" w:rsidRPr="00192D6D" w:rsidRDefault="00192D6D" w:rsidP="00BB40BB">
      <w:pPr>
        <w:spacing w:after="0" w:line="360" w:lineRule="auto"/>
        <w:ind w:left="720" w:hanging="720"/>
        <w:jc w:val="both"/>
        <w:rPr>
          <w:rFonts w:ascii="Tahoma" w:hAnsi="Tahoma" w:cs="Tahoma"/>
          <w:sz w:val="32"/>
          <w:szCs w:val="32"/>
        </w:rPr>
      </w:pPr>
      <w:r w:rsidRPr="00192D6D">
        <w:rPr>
          <w:rFonts w:ascii="Tahoma" w:hAnsi="Tahoma" w:cs="Tahoma"/>
          <w:sz w:val="32"/>
          <w:szCs w:val="32"/>
        </w:rPr>
        <w:t>•</w:t>
      </w:r>
      <w:r w:rsidRPr="00192D6D">
        <w:rPr>
          <w:rFonts w:ascii="Tahoma" w:hAnsi="Tahoma" w:cs="Tahoma"/>
          <w:sz w:val="32"/>
          <w:szCs w:val="32"/>
        </w:rPr>
        <w:tab/>
        <w:t>an immediate increase in funding to support services, Aboriginal community initiatives and dedicated funding towards family violence prevention;</w:t>
      </w:r>
    </w:p>
    <w:p w14:paraId="7B80DF54" w14:textId="77777777" w:rsidR="00192D6D" w:rsidRPr="00192D6D" w:rsidRDefault="00192D6D" w:rsidP="00BB40BB">
      <w:pPr>
        <w:spacing w:after="0" w:line="360" w:lineRule="auto"/>
        <w:ind w:left="720" w:hanging="720"/>
        <w:jc w:val="both"/>
        <w:rPr>
          <w:rFonts w:ascii="Tahoma" w:hAnsi="Tahoma" w:cs="Tahoma"/>
          <w:sz w:val="32"/>
          <w:szCs w:val="32"/>
        </w:rPr>
      </w:pPr>
      <w:r w:rsidRPr="00192D6D">
        <w:rPr>
          <w:rFonts w:ascii="Tahoma" w:hAnsi="Tahoma" w:cs="Tahoma"/>
          <w:sz w:val="32"/>
          <w:szCs w:val="32"/>
        </w:rPr>
        <w:t>•</w:t>
      </w:r>
      <w:r w:rsidRPr="00192D6D">
        <w:rPr>
          <w:rFonts w:ascii="Tahoma" w:hAnsi="Tahoma" w:cs="Tahoma"/>
          <w:sz w:val="32"/>
          <w:szCs w:val="32"/>
        </w:rPr>
        <w:tab/>
        <w:t>more specialist family violence courts;</w:t>
      </w:r>
    </w:p>
    <w:p w14:paraId="1A049048" w14:textId="77777777" w:rsidR="00192D6D" w:rsidRPr="00192D6D" w:rsidRDefault="00192D6D" w:rsidP="00BB40BB">
      <w:pPr>
        <w:spacing w:after="0" w:line="360" w:lineRule="auto"/>
        <w:ind w:left="720" w:hanging="720"/>
        <w:jc w:val="both"/>
        <w:rPr>
          <w:rFonts w:ascii="Tahoma" w:hAnsi="Tahoma" w:cs="Tahoma"/>
          <w:sz w:val="32"/>
          <w:szCs w:val="32"/>
        </w:rPr>
      </w:pPr>
      <w:r w:rsidRPr="00192D6D">
        <w:rPr>
          <w:rFonts w:ascii="Tahoma" w:hAnsi="Tahoma" w:cs="Tahoma"/>
          <w:sz w:val="32"/>
          <w:szCs w:val="32"/>
        </w:rPr>
        <w:t>•</w:t>
      </w:r>
      <w:r w:rsidRPr="00192D6D">
        <w:rPr>
          <w:rFonts w:ascii="Tahoma" w:hAnsi="Tahoma" w:cs="Tahoma"/>
          <w:sz w:val="32"/>
          <w:szCs w:val="32"/>
        </w:rPr>
        <w:tab/>
        <w:t>stronger perpetrator programs;</w:t>
      </w:r>
    </w:p>
    <w:p w14:paraId="3C1FC9E3" w14:textId="77777777" w:rsidR="00192D6D" w:rsidRPr="00192D6D" w:rsidRDefault="00192D6D" w:rsidP="00BB40BB">
      <w:pPr>
        <w:spacing w:after="0" w:line="360" w:lineRule="auto"/>
        <w:ind w:left="720" w:hanging="720"/>
        <w:jc w:val="both"/>
        <w:rPr>
          <w:rFonts w:ascii="Tahoma" w:hAnsi="Tahoma" w:cs="Tahoma"/>
          <w:sz w:val="32"/>
          <w:szCs w:val="32"/>
        </w:rPr>
      </w:pPr>
      <w:r w:rsidRPr="00192D6D">
        <w:rPr>
          <w:rFonts w:ascii="Tahoma" w:hAnsi="Tahoma" w:cs="Tahoma"/>
          <w:sz w:val="32"/>
          <w:szCs w:val="32"/>
        </w:rPr>
        <w:t>•</w:t>
      </w:r>
      <w:r w:rsidRPr="00192D6D">
        <w:rPr>
          <w:rFonts w:ascii="Tahoma" w:hAnsi="Tahoma" w:cs="Tahoma"/>
          <w:sz w:val="32"/>
          <w:szCs w:val="32"/>
        </w:rPr>
        <w:tab/>
        <w:t>family violence training for key workforces such as schools and hospitals;</w:t>
      </w:r>
    </w:p>
    <w:p w14:paraId="2A90D7FE" w14:textId="77777777" w:rsidR="00192D6D" w:rsidRPr="00192D6D" w:rsidRDefault="00192D6D" w:rsidP="00BB40BB">
      <w:pPr>
        <w:spacing w:after="0" w:line="360" w:lineRule="auto"/>
        <w:ind w:left="720" w:hanging="720"/>
        <w:jc w:val="both"/>
        <w:rPr>
          <w:rFonts w:ascii="Tahoma" w:hAnsi="Tahoma" w:cs="Tahoma"/>
          <w:sz w:val="32"/>
          <w:szCs w:val="32"/>
        </w:rPr>
      </w:pPr>
      <w:r w:rsidRPr="00192D6D">
        <w:rPr>
          <w:rFonts w:ascii="Tahoma" w:hAnsi="Tahoma" w:cs="Tahoma"/>
          <w:sz w:val="32"/>
          <w:szCs w:val="32"/>
        </w:rPr>
        <w:t>•</w:t>
      </w:r>
      <w:r w:rsidRPr="00192D6D">
        <w:rPr>
          <w:rFonts w:ascii="Tahoma" w:hAnsi="Tahoma" w:cs="Tahoma"/>
          <w:sz w:val="32"/>
          <w:szCs w:val="32"/>
        </w:rPr>
        <w:tab/>
        <w:t>an independent Family Violence Agency; and</w:t>
      </w:r>
    </w:p>
    <w:p w14:paraId="11BAEC8A" w14:textId="63BE52DE" w:rsidR="00192D6D" w:rsidRPr="00192D6D" w:rsidRDefault="00192D6D" w:rsidP="00BB40BB">
      <w:pPr>
        <w:spacing w:after="0" w:line="360" w:lineRule="auto"/>
        <w:ind w:left="720" w:hanging="720"/>
        <w:jc w:val="both"/>
        <w:rPr>
          <w:rFonts w:ascii="Tahoma" w:hAnsi="Tahoma" w:cs="Tahoma"/>
          <w:sz w:val="32"/>
          <w:szCs w:val="32"/>
        </w:rPr>
      </w:pPr>
      <w:r w:rsidRPr="00192D6D">
        <w:rPr>
          <w:rFonts w:ascii="Tahoma" w:hAnsi="Tahoma" w:cs="Tahoma"/>
          <w:sz w:val="32"/>
          <w:szCs w:val="32"/>
        </w:rPr>
        <w:t>•</w:t>
      </w:r>
      <w:r w:rsidRPr="00192D6D">
        <w:rPr>
          <w:rFonts w:ascii="Tahoma" w:hAnsi="Tahoma" w:cs="Tahoma"/>
          <w:sz w:val="32"/>
          <w:szCs w:val="32"/>
        </w:rPr>
        <w:tab/>
        <w:t>exp</w:t>
      </w:r>
      <w:r w:rsidR="00E302EC">
        <w:rPr>
          <w:rFonts w:ascii="Tahoma" w:hAnsi="Tahoma" w:cs="Tahoma"/>
          <w:sz w:val="32"/>
          <w:szCs w:val="32"/>
        </w:rPr>
        <w:t>a</w:t>
      </w:r>
      <w:r w:rsidRPr="00192D6D">
        <w:rPr>
          <w:rFonts w:ascii="Tahoma" w:hAnsi="Tahoma" w:cs="Tahoma"/>
          <w:sz w:val="32"/>
          <w:szCs w:val="32"/>
        </w:rPr>
        <w:t>nded respectful relationships education in schools.</w:t>
      </w:r>
      <w:r>
        <w:rPr>
          <w:rStyle w:val="FootnoteReference"/>
          <w:rFonts w:ascii="Tahoma" w:hAnsi="Tahoma" w:cs="Tahoma"/>
          <w:sz w:val="32"/>
          <w:szCs w:val="32"/>
        </w:rPr>
        <w:footnoteReference w:id="90"/>
      </w:r>
    </w:p>
    <w:p w14:paraId="4B1125A0" w14:textId="77777777" w:rsidR="00192D6D" w:rsidRPr="00192D6D" w:rsidRDefault="00192D6D" w:rsidP="00192D6D">
      <w:pPr>
        <w:spacing w:after="0" w:line="360" w:lineRule="auto"/>
        <w:jc w:val="both"/>
        <w:rPr>
          <w:rFonts w:ascii="Tahoma" w:hAnsi="Tahoma" w:cs="Tahoma"/>
          <w:sz w:val="32"/>
          <w:szCs w:val="32"/>
        </w:rPr>
      </w:pPr>
    </w:p>
    <w:p w14:paraId="3071493C" w14:textId="39F474CE" w:rsidR="00E1080C" w:rsidRDefault="00192D6D" w:rsidP="00BB40BB">
      <w:pPr>
        <w:spacing w:after="0" w:line="360" w:lineRule="auto"/>
        <w:ind w:firstLine="720"/>
        <w:jc w:val="both"/>
        <w:rPr>
          <w:rFonts w:ascii="Tahoma" w:hAnsi="Tahoma" w:cs="Tahoma"/>
          <w:sz w:val="32"/>
          <w:szCs w:val="32"/>
        </w:rPr>
      </w:pPr>
      <w:r w:rsidRPr="00192D6D">
        <w:rPr>
          <w:rFonts w:ascii="Tahoma" w:hAnsi="Tahoma" w:cs="Tahoma"/>
          <w:sz w:val="32"/>
          <w:szCs w:val="32"/>
        </w:rPr>
        <w:t>The Commission recognise</w:t>
      </w:r>
      <w:r w:rsidR="006D1234">
        <w:rPr>
          <w:rFonts w:ascii="Tahoma" w:hAnsi="Tahoma" w:cs="Tahoma"/>
          <w:sz w:val="32"/>
          <w:szCs w:val="32"/>
        </w:rPr>
        <w:t>d</w:t>
      </w:r>
      <w:r w:rsidR="00E302EC">
        <w:rPr>
          <w:rFonts w:ascii="Tahoma" w:hAnsi="Tahoma" w:cs="Tahoma"/>
          <w:sz w:val="32"/>
          <w:szCs w:val="32"/>
        </w:rPr>
        <w:t xml:space="preserve"> that</w:t>
      </w:r>
      <w:r w:rsidR="00BE3965">
        <w:rPr>
          <w:rFonts w:ascii="Tahoma" w:hAnsi="Tahoma" w:cs="Tahoma"/>
          <w:sz w:val="32"/>
          <w:szCs w:val="32"/>
        </w:rPr>
        <w:t xml:space="preserve"> t</w:t>
      </w:r>
      <w:r w:rsidRPr="00192D6D">
        <w:rPr>
          <w:rFonts w:ascii="Tahoma" w:hAnsi="Tahoma" w:cs="Tahoma"/>
          <w:sz w:val="32"/>
          <w:szCs w:val="32"/>
        </w:rPr>
        <w:t>he way forward necessitates a long-term approach.</w:t>
      </w:r>
      <w:r>
        <w:rPr>
          <w:rStyle w:val="FootnoteReference"/>
          <w:rFonts w:ascii="Tahoma" w:hAnsi="Tahoma" w:cs="Tahoma"/>
          <w:sz w:val="32"/>
          <w:szCs w:val="32"/>
        </w:rPr>
        <w:footnoteReference w:id="91"/>
      </w:r>
      <w:r w:rsidRPr="00192D6D">
        <w:rPr>
          <w:rFonts w:ascii="Tahoma" w:hAnsi="Tahoma" w:cs="Tahoma"/>
          <w:sz w:val="32"/>
          <w:szCs w:val="32"/>
        </w:rPr>
        <w:t xml:space="preserve">  Such an approach involves the whole community, is bipartisan and requires all sections of the government to work together.</w:t>
      </w:r>
      <w:r w:rsidR="00BB40BB">
        <w:rPr>
          <w:rStyle w:val="FootnoteReference"/>
          <w:rFonts w:ascii="Tahoma" w:hAnsi="Tahoma" w:cs="Tahoma"/>
          <w:sz w:val="32"/>
          <w:szCs w:val="32"/>
        </w:rPr>
        <w:footnoteReference w:id="92"/>
      </w:r>
      <w:r w:rsidRPr="00192D6D">
        <w:rPr>
          <w:rFonts w:ascii="Tahoma" w:hAnsi="Tahoma" w:cs="Tahoma"/>
          <w:sz w:val="32"/>
          <w:szCs w:val="32"/>
        </w:rPr>
        <w:t xml:space="preserve">  Unprecedented levels of community commitment to stop family violence need to be harnessed, and all members of the community have a role to play in creating a culture</w:t>
      </w:r>
      <w:r w:rsidR="00BB40BB">
        <w:rPr>
          <w:rFonts w:ascii="Tahoma" w:hAnsi="Tahoma" w:cs="Tahoma"/>
          <w:sz w:val="32"/>
          <w:szCs w:val="32"/>
        </w:rPr>
        <w:t xml:space="preserve"> </w:t>
      </w:r>
      <w:r w:rsidRPr="00192D6D">
        <w:rPr>
          <w:rFonts w:ascii="Tahoma" w:hAnsi="Tahoma" w:cs="Tahoma"/>
          <w:sz w:val="32"/>
          <w:szCs w:val="32"/>
        </w:rPr>
        <w:t>capable of influencing the behaviour and practices of individuals.</w:t>
      </w:r>
      <w:r w:rsidR="00BB40BB">
        <w:rPr>
          <w:rStyle w:val="FootnoteReference"/>
          <w:rFonts w:ascii="Tahoma" w:hAnsi="Tahoma" w:cs="Tahoma"/>
          <w:sz w:val="32"/>
          <w:szCs w:val="32"/>
        </w:rPr>
        <w:footnoteReference w:id="93"/>
      </w:r>
    </w:p>
    <w:p w14:paraId="73080C59" w14:textId="77777777" w:rsidR="00192D6D" w:rsidRDefault="00192D6D" w:rsidP="00ED020B">
      <w:pPr>
        <w:spacing w:after="0" w:line="360" w:lineRule="auto"/>
        <w:jc w:val="both"/>
        <w:rPr>
          <w:rFonts w:ascii="Tahoma" w:hAnsi="Tahoma" w:cs="Tahoma"/>
          <w:sz w:val="32"/>
          <w:szCs w:val="32"/>
        </w:rPr>
      </w:pPr>
    </w:p>
    <w:p w14:paraId="09F04458" w14:textId="7231DD92" w:rsidR="001E592F" w:rsidRDefault="001E592F" w:rsidP="00ED020B">
      <w:pPr>
        <w:spacing w:after="0" w:line="360" w:lineRule="auto"/>
        <w:jc w:val="both"/>
        <w:rPr>
          <w:rFonts w:ascii="Tahoma" w:hAnsi="Tahoma" w:cs="Tahoma"/>
          <w:sz w:val="32"/>
          <w:szCs w:val="32"/>
        </w:rPr>
      </w:pPr>
      <w:r>
        <w:rPr>
          <w:rFonts w:ascii="Tahoma" w:hAnsi="Tahoma" w:cs="Tahoma"/>
          <w:sz w:val="32"/>
          <w:szCs w:val="32"/>
        </w:rPr>
        <w:tab/>
        <w:t xml:space="preserve">So far the Neave </w:t>
      </w:r>
      <w:r w:rsidR="00724727">
        <w:rPr>
          <w:rFonts w:ascii="Tahoma" w:hAnsi="Tahoma" w:cs="Tahoma"/>
          <w:sz w:val="32"/>
          <w:szCs w:val="32"/>
        </w:rPr>
        <w:t>R</w:t>
      </w:r>
      <w:r>
        <w:rPr>
          <w:rFonts w:ascii="Tahoma" w:hAnsi="Tahoma" w:cs="Tahoma"/>
          <w:sz w:val="32"/>
          <w:szCs w:val="32"/>
        </w:rPr>
        <w:t>eport has had a dramatic impact in Victoria.  The Victorian Premier announced before the Royal Commission started that every recommendation would be implemented</w:t>
      </w:r>
      <w:r>
        <w:rPr>
          <w:rStyle w:val="FootnoteReference"/>
          <w:rFonts w:ascii="Tahoma" w:hAnsi="Tahoma" w:cs="Tahoma"/>
          <w:sz w:val="32"/>
          <w:szCs w:val="32"/>
        </w:rPr>
        <w:footnoteReference w:id="94"/>
      </w:r>
      <w:r>
        <w:rPr>
          <w:rFonts w:ascii="Tahoma" w:hAnsi="Tahoma" w:cs="Tahoma"/>
          <w:sz w:val="32"/>
          <w:szCs w:val="32"/>
        </w:rPr>
        <w:t xml:space="preserve"> - that commitment was given without knowing what would be recommended or the cost.</w:t>
      </w:r>
    </w:p>
    <w:p w14:paraId="19D50C12" w14:textId="77777777" w:rsidR="001E592F" w:rsidRDefault="001E592F" w:rsidP="00ED020B">
      <w:pPr>
        <w:spacing w:after="0" w:line="360" w:lineRule="auto"/>
        <w:jc w:val="both"/>
        <w:rPr>
          <w:rFonts w:ascii="Tahoma" w:hAnsi="Tahoma" w:cs="Tahoma"/>
          <w:sz w:val="32"/>
          <w:szCs w:val="32"/>
        </w:rPr>
      </w:pPr>
    </w:p>
    <w:p w14:paraId="1D0736A2" w14:textId="7E0E28F7" w:rsidR="001E592F" w:rsidRDefault="001E592F" w:rsidP="00ED020B">
      <w:pPr>
        <w:spacing w:after="0" w:line="360" w:lineRule="auto"/>
        <w:jc w:val="both"/>
        <w:rPr>
          <w:rFonts w:ascii="Tahoma" w:hAnsi="Tahoma" w:cs="Tahoma"/>
          <w:sz w:val="32"/>
          <w:szCs w:val="32"/>
        </w:rPr>
      </w:pPr>
      <w:r>
        <w:rPr>
          <w:rFonts w:ascii="Tahoma" w:hAnsi="Tahoma" w:cs="Tahoma"/>
          <w:sz w:val="32"/>
          <w:szCs w:val="32"/>
        </w:rPr>
        <w:tab/>
      </w:r>
      <w:r w:rsidR="00DA3A7E">
        <w:rPr>
          <w:rFonts w:ascii="Tahoma" w:hAnsi="Tahoma" w:cs="Tahoma"/>
          <w:sz w:val="32"/>
          <w:szCs w:val="32"/>
        </w:rPr>
        <w:t xml:space="preserve">The </w:t>
      </w:r>
      <w:r w:rsidR="00724727">
        <w:rPr>
          <w:rFonts w:ascii="Tahoma" w:hAnsi="Tahoma" w:cs="Tahoma"/>
          <w:sz w:val="32"/>
          <w:szCs w:val="32"/>
        </w:rPr>
        <w:t>Neave</w:t>
      </w:r>
      <w:r w:rsidR="00DA3A7E">
        <w:rPr>
          <w:rFonts w:ascii="Tahoma" w:hAnsi="Tahoma" w:cs="Tahoma"/>
          <w:sz w:val="32"/>
          <w:szCs w:val="32"/>
        </w:rPr>
        <w:t xml:space="preserve"> Report has received bipartisan support.  </w:t>
      </w:r>
      <w:r>
        <w:rPr>
          <w:rFonts w:ascii="Tahoma" w:hAnsi="Tahoma" w:cs="Tahoma"/>
          <w:sz w:val="32"/>
          <w:szCs w:val="32"/>
        </w:rPr>
        <w:t xml:space="preserve">Since the report was </w:t>
      </w:r>
      <w:r w:rsidRPr="00955E44">
        <w:rPr>
          <w:rFonts w:ascii="Tahoma" w:hAnsi="Tahoma" w:cs="Tahoma"/>
          <w:sz w:val="32"/>
          <w:szCs w:val="32"/>
        </w:rPr>
        <w:t xml:space="preserve">delivered </w:t>
      </w:r>
      <w:r w:rsidR="008D259D" w:rsidRPr="00992AAC">
        <w:rPr>
          <w:rFonts w:ascii="Tahoma" w:hAnsi="Tahoma" w:cs="Tahoma"/>
          <w:sz w:val="32"/>
          <w:szCs w:val="32"/>
        </w:rPr>
        <w:t>on 30 March 2016</w:t>
      </w:r>
      <w:r w:rsidR="00BE3965" w:rsidRPr="00992AAC">
        <w:rPr>
          <w:rFonts w:ascii="Tahoma" w:hAnsi="Tahoma" w:cs="Tahoma"/>
          <w:sz w:val="32"/>
          <w:szCs w:val="32"/>
        </w:rPr>
        <w:t xml:space="preserve"> </w:t>
      </w:r>
      <w:r w:rsidRPr="00955E44">
        <w:rPr>
          <w:rFonts w:ascii="Tahoma" w:hAnsi="Tahoma" w:cs="Tahoma"/>
          <w:sz w:val="32"/>
          <w:szCs w:val="32"/>
        </w:rPr>
        <w:t>a</w:t>
      </w:r>
      <w:r>
        <w:rPr>
          <w:rFonts w:ascii="Tahoma" w:hAnsi="Tahoma" w:cs="Tahoma"/>
          <w:sz w:val="32"/>
          <w:szCs w:val="32"/>
        </w:rPr>
        <w:t xml:space="preserve"> great deal of activity has occurred in both government departments and the courts, particularly the Magistrates’ Court.  Special committees and task forces have been established.  One particularly relevant group is a court established Judicial Advisory Group on Family Violence.  It is chaired by Marcia Neave.  It consists of a judicial representative of each Victorian state and federal jurisdiction.  The purpose of the Group is to provide a judicial perspective on the Neave </w:t>
      </w:r>
      <w:r w:rsidR="00724727">
        <w:rPr>
          <w:rFonts w:ascii="Tahoma" w:hAnsi="Tahoma" w:cs="Tahoma"/>
          <w:sz w:val="32"/>
          <w:szCs w:val="32"/>
        </w:rPr>
        <w:t>R</w:t>
      </w:r>
      <w:r>
        <w:rPr>
          <w:rFonts w:ascii="Tahoma" w:hAnsi="Tahoma" w:cs="Tahoma"/>
          <w:sz w:val="32"/>
          <w:szCs w:val="32"/>
        </w:rPr>
        <w:t>eport’s reforms</w:t>
      </w:r>
      <w:r w:rsidR="00BE3965">
        <w:rPr>
          <w:rFonts w:ascii="Tahoma" w:hAnsi="Tahoma" w:cs="Tahoma"/>
          <w:sz w:val="32"/>
          <w:szCs w:val="32"/>
        </w:rPr>
        <w:t>.</w:t>
      </w:r>
    </w:p>
    <w:p w14:paraId="35AA2915" w14:textId="77777777" w:rsidR="001E592F" w:rsidRDefault="001E592F" w:rsidP="00ED020B">
      <w:pPr>
        <w:spacing w:after="0" w:line="360" w:lineRule="auto"/>
        <w:jc w:val="both"/>
        <w:rPr>
          <w:rFonts w:ascii="Tahoma" w:hAnsi="Tahoma" w:cs="Tahoma"/>
          <w:sz w:val="32"/>
          <w:szCs w:val="32"/>
        </w:rPr>
      </w:pPr>
    </w:p>
    <w:p w14:paraId="495F2112" w14:textId="2F8E0D1B" w:rsidR="001E592F" w:rsidRDefault="001E592F" w:rsidP="00ED020B">
      <w:pPr>
        <w:spacing w:after="0" w:line="360" w:lineRule="auto"/>
        <w:jc w:val="both"/>
        <w:rPr>
          <w:rFonts w:ascii="Tahoma" w:hAnsi="Tahoma" w:cs="Tahoma"/>
          <w:sz w:val="32"/>
          <w:szCs w:val="32"/>
        </w:rPr>
      </w:pPr>
      <w:r>
        <w:rPr>
          <w:rFonts w:ascii="Tahoma" w:hAnsi="Tahoma" w:cs="Tahoma"/>
          <w:sz w:val="32"/>
          <w:szCs w:val="32"/>
        </w:rPr>
        <w:tab/>
        <w:t xml:space="preserve">I reflected that a different approach to children and young offenders taking the example of the Neave </w:t>
      </w:r>
      <w:r w:rsidR="00724727">
        <w:rPr>
          <w:rFonts w:ascii="Tahoma" w:hAnsi="Tahoma" w:cs="Tahoma"/>
          <w:sz w:val="32"/>
          <w:szCs w:val="32"/>
        </w:rPr>
        <w:t>R</w:t>
      </w:r>
      <w:r>
        <w:rPr>
          <w:rFonts w:ascii="Tahoma" w:hAnsi="Tahoma" w:cs="Tahoma"/>
          <w:sz w:val="32"/>
          <w:szCs w:val="32"/>
        </w:rPr>
        <w:t xml:space="preserve">eport may lead to change in a way the </w:t>
      </w:r>
      <w:r w:rsidR="00871AB0">
        <w:rPr>
          <w:rFonts w:ascii="Tahoma" w:hAnsi="Tahoma" w:cs="Tahoma"/>
          <w:sz w:val="32"/>
          <w:szCs w:val="32"/>
        </w:rPr>
        <w:t>1997 J</w:t>
      </w:r>
      <w:r w:rsidR="00BE3965">
        <w:rPr>
          <w:rFonts w:ascii="Tahoma" w:hAnsi="Tahoma" w:cs="Tahoma"/>
          <w:sz w:val="32"/>
          <w:szCs w:val="32"/>
        </w:rPr>
        <w:t xml:space="preserve">oint </w:t>
      </w:r>
      <w:r>
        <w:rPr>
          <w:rFonts w:ascii="Tahoma" w:hAnsi="Tahoma" w:cs="Tahoma"/>
          <w:sz w:val="32"/>
          <w:szCs w:val="32"/>
        </w:rPr>
        <w:t>Report</w:t>
      </w:r>
      <w:r w:rsidR="0016782C">
        <w:rPr>
          <w:rFonts w:ascii="Tahoma" w:hAnsi="Tahoma" w:cs="Tahoma"/>
          <w:sz w:val="32"/>
          <w:szCs w:val="32"/>
        </w:rPr>
        <w:t xml:space="preserve"> </w:t>
      </w:r>
      <w:r>
        <w:rPr>
          <w:rFonts w:ascii="Tahoma" w:hAnsi="Tahoma" w:cs="Tahoma"/>
          <w:sz w:val="32"/>
          <w:szCs w:val="32"/>
        </w:rPr>
        <w:t xml:space="preserve">was unable to achieve. </w:t>
      </w:r>
    </w:p>
    <w:p w14:paraId="30DF6CC2" w14:textId="77777777" w:rsidR="001E592F" w:rsidRDefault="001E592F" w:rsidP="00ED020B">
      <w:pPr>
        <w:spacing w:after="0" w:line="360" w:lineRule="auto"/>
        <w:jc w:val="both"/>
        <w:rPr>
          <w:rFonts w:ascii="Tahoma" w:hAnsi="Tahoma" w:cs="Tahoma"/>
          <w:sz w:val="32"/>
          <w:szCs w:val="32"/>
        </w:rPr>
      </w:pPr>
    </w:p>
    <w:p w14:paraId="6DDCBEE8" w14:textId="5532CABC" w:rsidR="00BE3965" w:rsidRDefault="00BE3965" w:rsidP="00ED020B">
      <w:pPr>
        <w:spacing w:after="0" w:line="360" w:lineRule="auto"/>
        <w:jc w:val="both"/>
        <w:rPr>
          <w:rFonts w:ascii="Tahoma" w:hAnsi="Tahoma" w:cs="Tahoma"/>
          <w:sz w:val="32"/>
          <w:szCs w:val="32"/>
        </w:rPr>
      </w:pPr>
      <w:r>
        <w:rPr>
          <w:rFonts w:ascii="Tahoma" w:hAnsi="Tahoma" w:cs="Tahoma"/>
          <w:sz w:val="32"/>
          <w:szCs w:val="32"/>
        </w:rPr>
        <w:lastRenderedPageBreak/>
        <w:tab/>
        <w:t xml:space="preserve">If we reflect as to what is on the </w:t>
      </w:r>
      <w:r w:rsidR="00E302EC">
        <w:rPr>
          <w:rFonts w:ascii="Tahoma" w:hAnsi="Tahoma" w:cs="Tahoma"/>
          <w:sz w:val="32"/>
          <w:szCs w:val="32"/>
        </w:rPr>
        <w:t>‘</w:t>
      </w:r>
      <w:r>
        <w:rPr>
          <w:rFonts w:ascii="Tahoma" w:hAnsi="Tahoma" w:cs="Tahoma"/>
          <w:sz w:val="32"/>
          <w:szCs w:val="32"/>
        </w:rPr>
        <w:t>front page</w:t>
      </w:r>
      <w:r w:rsidR="00E302EC">
        <w:rPr>
          <w:rFonts w:ascii="Tahoma" w:hAnsi="Tahoma" w:cs="Tahoma"/>
          <w:sz w:val="32"/>
          <w:szCs w:val="32"/>
        </w:rPr>
        <w:t>’</w:t>
      </w:r>
      <w:r>
        <w:rPr>
          <w:rFonts w:ascii="Tahoma" w:hAnsi="Tahoma" w:cs="Tahoma"/>
          <w:sz w:val="32"/>
          <w:szCs w:val="32"/>
        </w:rPr>
        <w:t xml:space="preserve"> of the children and young people tabloid, there are constant, varied and dominant topics:</w:t>
      </w:r>
    </w:p>
    <w:p w14:paraId="253A3BC6" w14:textId="03A34F0D"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child neglect and homicide (including by parents and partners);</w:t>
      </w:r>
    </w:p>
    <w:p w14:paraId="7A0A34EA" w14:textId="4460EB66"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truancy;</w:t>
      </w:r>
    </w:p>
    <w:p w14:paraId="749CF49C" w14:textId="3438FDCC"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youth radicalisation for terrorism;</w:t>
      </w:r>
    </w:p>
    <w:p w14:paraId="55338317" w14:textId="3E2DB051"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wild, lawless and unacceptable behaviour by young offenders;</w:t>
      </w:r>
    </w:p>
    <w:p w14:paraId="096D38EE" w14:textId="06799084"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youth sentencing (including mandatory sentencing);</w:t>
      </w:r>
    </w:p>
    <w:p w14:paraId="79D1F38E" w14:textId="0CC00EB5"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custody management of children in fractured relationships;</w:t>
      </w:r>
    </w:p>
    <w:p w14:paraId="1F512D02" w14:textId="5BAA25B2"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poverty;</w:t>
      </w:r>
    </w:p>
    <w:p w14:paraId="7788F19E" w14:textId="07E8DA4C"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homelessness / sleeping rough;</w:t>
      </w:r>
    </w:p>
    <w:p w14:paraId="2974FBB3" w14:textId="4AD76479"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drugs (especially ice (meth amphetamine));</w:t>
      </w:r>
    </w:p>
    <w:p w14:paraId="0B0B480A" w14:textId="75747630"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indigenous over-representation and recidivism in the child protection and criminal justice systems;</w:t>
      </w:r>
    </w:p>
    <w:p w14:paraId="443662AE" w14:textId="1927848C"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children and young people in detention (both at state and federal level and including all detainees – whether held for reasons of protection, criminal offending or asylum);</w:t>
      </w:r>
    </w:p>
    <w:p w14:paraId="4B4109F3" w14:textId="62B52019"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youth self-harm and suicide;</w:t>
      </w:r>
    </w:p>
    <w:p w14:paraId="599D3CD1" w14:textId="2C3D67EF" w:rsidR="00BE3965" w:rsidRDefault="00BE3965" w:rsidP="0035310B">
      <w:pPr>
        <w:pStyle w:val="ListParagraph"/>
        <w:numPr>
          <w:ilvl w:val="0"/>
          <w:numId w:val="4"/>
        </w:numPr>
        <w:spacing w:after="0" w:line="360" w:lineRule="auto"/>
        <w:jc w:val="both"/>
        <w:rPr>
          <w:rFonts w:ascii="Tahoma" w:hAnsi="Tahoma" w:cs="Tahoma"/>
          <w:sz w:val="32"/>
          <w:szCs w:val="32"/>
        </w:rPr>
      </w:pPr>
      <w:r>
        <w:rPr>
          <w:rFonts w:ascii="Tahoma" w:hAnsi="Tahoma" w:cs="Tahoma"/>
          <w:sz w:val="32"/>
          <w:szCs w:val="32"/>
        </w:rPr>
        <w:t>sexual ab</w:t>
      </w:r>
      <w:r w:rsidR="007E2E0F">
        <w:rPr>
          <w:rFonts w:ascii="Tahoma" w:hAnsi="Tahoma" w:cs="Tahoma"/>
          <w:sz w:val="32"/>
          <w:szCs w:val="32"/>
        </w:rPr>
        <w:t>use (both current and historic).</w:t>
      </w:r>
    </w:p>
    <w:p w14:paraId="1E9098AA" w14:textId="77777777" w:rsidR="007E2E0F" w:rsidRDefault="007E2E0F">
      <w:pPr>
        <w:spacing w:after="0" w:line="360" w:lineRule="auto"/>
        <w:jc w:val="both"/>
        <w:rPr>
          <w:rFonts w:ascii="Tahoma" w:hAnsi="Tahoma" w:cs="Tahoma"/>
          <w:sz w:val="32"/>
          <w:szCs w:val="32"/>
        </w:rPr>
      </w:pPr>
    </w:p>
    <w:p w14:paraId="4217400A" w14:textId="77998DDC" w:rsidR="00C6207B" w:rsidRDefault="00C6207B" w:rsidP="0035310B">
      <w:pPr>
        <w:spacing w:after="0" w:line="360" w:lineRule="auto"/>
        <w:ind w:firstLine="720"/>
        <w:jc w:val="both"/>
        <w:rPr>
          <w:rFonts w:ascii="Tahoma" w:hAnsi="Tahoma" w:cs="Tahoma"/>
          <w:sz w:val="32"/>
          <w:szCs w:val="32"/>
        </w:rPr>
      </w:pPr>
      <w:r>
        <w:rPr>
          <w:rFonts w:ascii="Tahoma" w:hAnsi="Tahoma" w:cs="Tahoma"/>
          <w:sz w:val="32"/>
          <w:szCs w:val="32"/>
        </w:rPr>
        <w:t>They are the very same features that appear all too frequently under the heading ‘Personal circumstances’ in adult sentencing decisions.  Let</w:t>
      </w:r>
      <w:r w:rsidR="001B2520">
        <w:rPr>
          <w:rFonts w:ascii="Tahoma" w:hAnsi="Tahoma" w:cs="Tahoma"/>
          <w:sz w:val="32"/>
          <w:szCs w:val="32"/>
        </w:rPr>
        <w:t xml:space="preserve"> us</w:t>
      </w:r>
      <w:r>
        <w:rPr>
          <w:rFonts w:ascii="Tahoma" w:hAnsi="Tahoma" w:cs="Tahoma"/>
          <w:sz w:val="32"/>
          <w:szCs w:val="32"/>
        </w:rPr>
        <w:t xml:space="preserve"> look at what appeared under that heading for a recent high profile offender in Victoria.  The offender was left with </w:t>
      </w:r>
      <w:r>
        <w:rPr>
          <w:rFonts w:ascii="Tahoma" w:hAnsi="Tahoma" w:cs="Tahoma"/>
          <w:sz w:val="32"/>
          <w:szCs w:val="32"/>
        </w:rPr>
        <w:lastRenderedPageBreak/>
        <w:t>developmental consequences from complications at birth and had a very difficult childhood.  His parents separated when he was five years old.  He then lived with his mother, who had relationships with several violent men.  He was physically and sexually abused.  He finished school at 15 after having moved from school to school and suffered learning difficulties.  He started to use marijuana at 15 and then other drugs at 17.  He began his criminal career at 18.  By the age of 19 he was in the need of mental health services as he was exhibiting signs of psychotic illness.  He abused alcohol.  An expert reported that he was bequeathed with almost every conceivable developmental contribution to adult mental disorder.  Ultimately</w:t>
      </w:r>
      <w:r w:rsidR="00761E0E">
        <w:rPr>
          <w:rFonts w:ascii="Tahoma" w:hAnsi="Tahoma" w:cs="Tahoma"/>
          <w:sz w:val="32"/>
          <w:szCs w:val="32"/>
        </w:rPr>
        <w:t xml:space="preserve"> at the age of 31</w:t>
      </w:r>
      <w:r>
        <w:rPr>
          <w:rFonts w:ascii="Tahoma" w:hAnsi="Tahoma" w:cs="Tahoma"/>
          <w:sz w:val="32"/>
          <w:szCs w:val="32"/>
        </w:rPr>
        <w:t xml:space="preserve"> he murdered an innocent young woman who happened to pass him by and was a complete stranger.  When sentencing the man, the trial judge lamented that ‘</w:t>
      </w:r>
      <w:r w:rsidRPr="003E210A">
        <w:rPr>
          <w:rFonts w:ascii="Tahoma" w:hAnsi="Tahoma" w:cs="Tahoma"/>
          <w:sz w:val="32"/>
          <w:szCs w:val="32"/>
        </w:rPr>
        <w:t>Executive government, through whichever instrumentality was appropriate, has both failed to treat you and, as these terrible crimes demonstrate, failed to protect the community from the danger you clearly posed with tragic results</w:t>
      </w:r>
      <w:r>
        <w:rPr>
          <w:rFonts w:ascii="Tahoma" w:hAnsi="Tahoma" w:cs="Tahoma"/>
          <w:sz w:val="32"/>
          <w:szCs w:val="32"/>
        </w:rPr>
        <w:t>’</w:t>
      </w:r>
      <w:r w:rsidRPr="003E210A">
        <w:rPr>
          <w:rFonts w:ascii="Tahoma" w:hAnsi="Tahoma" w:cs="Tahoma"/>
          <w:sz w:val="32"/>
          <w:szCs w:val="32"/>
        </w:rPr>
        <w:t>.</w:t>
      </w:r>
      <w:r w:rsidR="00761E0E">
        <w:rPr>
          <w:rFonts w:ascii="Tahoma" w:hAnsi="Tahoma" w:cs="Tahoma"/>
          <w:sz w:val="32"/>
          <w:szCs w:val="32"/>
        </w:rPr>
        <w:t xml:space="preserve">  Had there been an intervention in his childhood, perhaps this offender’s life would have turned out very differently</w:t>
      </w:r>
      <w:r w:rsidR="001B2520">
        <w:rPr>
          <w:rFonts w:ascii="Tahoma" w:hAnsi="Tahoma" w:cs="Tahoma"/>
          <w:sz w:val="32"/>
          <w:szCs w:val="32"/>
        </w:rPr>
        <w:t xml:space="preserve"> and his vile offending avoided</w:t>
      </w:r>
      <w:r w:rsidR="00761E0E">
        <w:rPr>
          <w:rFonts w:ascii="Tahoma" w:hAnsi="Tahoma" w:cs="Tahoma"/>
          <w:sz w:val="32"/>
          <w:szCs w:val="32"/>
        </w:rPr>
        <w:t>.</w:t>
      </w:r>
    </w:p>
    <w:p w14:paraId="5D3700F0" w14:textId="77777777" w:rsidR="00C6207B" w:rsidRDefault="00C6207B" w:rsidP="0035310B">
      <w:pPr>
        <w:spacing w:after="0" w:line="360" w:lineRule="auto"/>
        <w:ind w:firstLine="720"/>
        <w:jc w:val="both"/>
        <w:rPr>
          <w:rFonts w:ascii="Tahoma" w:hAnsi="Tahoma" w:cs="Tahoma"/>
          <w:sz w:val="32"/>
          <w:szCs w:val="32"/>
        </w:rPr>
      </w:pPr>
    </w:p>
    <w:p w14:paraId="1729B0AB" w14:textId="5B23FF59" w:rsidR="007E2E0F" w:rsidRDefault="007E2E0F" w:rsidP="0035310B">
      <w:pPr>
        <w:spacing w:after="0" w:line="360" w:lineRule="auto"/>
        <w:ind w:firstLine="720"/>
        <w:jc w:val="both"/>
        <w:rPr>
          <w:rFonts w:ascii="Tahoma" w:hAnsi="Tahoma" w:cs="Tahoma"/>
          <w:sz w:val="32"/>
          <w:szCs w:val="32"/>
        </w:rPr>
      </w:pPr>
      <w:r>
        <w:rPr>
          <w:rFonts w:ascii="Tahoma" w:hAnsi="Tahoma" w:cs="Tahoma"/>
          <w:sz w:val="32"/>
          <w:szCs w:val="32"/>
        </w:rPr>
        <w:t xml:space="preserve">Children and young people are </w:t>
      </w:r>
      <w:r>
        <w:rPr>
          <w:rFonts w:ascii="Tahoma" w:hAnsi="Tahoma" w:cs="Tahoma"/>
          <w:sz w:val="32"/>
          <w:szCs w:val="32"/>
          <w:u w:val="single"/>
        </w:rPr>
        <w:t xml:space="preserve">the </w:t>
      </w:r>
      <w:r w:rsidRPr="0035310B">
        <w:rPr>
          <w:rFonts w:ascii="Tahoma" w:hAnsi="Tahoma" w:cs="Tahoma"/>
          <w:sz w:val="32"/>
          <w:szCs w:val="32"/>
        </w:rPr>
        <w:t>‘tomorrow’</w:t>
      </w:r>
      <w:r>
        <w:rPr>
          <w:rFonts w:ascii="Tahoma" w:hAnsi="Tahoma" w:cs="Tahoma"/>
          <w:sz w:val="32"/>
          <w:szCs w:val="32"/>
        </w:rPr>
        <w:t xml:space="preserve">.   So far, there has been some, but limited, success at addressing their needs and rights.  Let me venture into the order of things:  the future of children and young people is in the top order of priorities.  The </w:t>
      </w:r>
      <w:r>
        <w:rPr>
          <w:rFonts w:ascii="Tahoma" w:hAnsi="Tahoma" w:cs="Tahoma"/>
          <w:sz w:val="32"/>
          <w:szCs w:val="32"/>
        </w:rPr>
        <w:lastRenderedPageBreak/>
        <w:t xml:space="preserve">challenge is how to confront it.  </w:t>
      </w:r>
      <w:r w:rsidR="00DA3A7E">
        <w:rPr>
          <w:rFonts w:ascii="Tahoma" w:hAnsi="Tahoma" w:cs="Tahoma"/>
          <w:sz w:val="32"/>
          <w:szCs w:val="32"/>
        </w:rPr>
        <w:t xml:space="preserve">The priority is very, very high for judges and magistrates.  The judiciary is removed from the maelstrom of current public affairs.  The judiciary does not shape policy, rather it encounters the consequences. </w:t>
      </w:r>
      <w:r>
        <w:rPr>
          <w:rFonts w:ascii="Tahoma" w:hAnsi="Tahoma" w:cs="Tahoma"/>
          <w:sz w:val="32"/>
          <w:szCs w:val="32"/>
        </w:rPr>
        <w:t>If governments and policy-makers embrace the future of children and young people, the courts, I fully expect, will help.  It seems the approaches to children and young offenders are inconsistently and differently applied across the nation.</w:t>
      </w:r>
    </w:p>
    <w:p w14:paraId="743BE8B4" w14:textId="77777777" w:rsidR="007E2E0F" w:rsidRDefault="007E2E0F" w:rsidP="0035310B">
      <w:pPr>
        <w:spacing w:after="0" w:line="360" w:lineRule="auto"/>
        <w:ind w:firstLine="720"/>
        <w:jc w:val="both"/>
        <w:rPr>
          <w:rFonts w:ascii="Tahoma" w:hAnsi="Tahoma" w:cs="Tahoma"/>
          <w:sz w:val="32"/>
          <w:szCs w:val="32"/>
        </w:rPr>
      </w:pPr>
    </w:p>
    <w:p w14:paraId="7BAE4472" w14:textId="7592E53D" w:rsidR="007E2E0F" w:rsidRDefault="007E2E0F" w:rsidP="0035310B">
      <w:pPr>
        <w:spacing w:after="0" w:line="360" w:lineRule="auto"/>
        <w:ind w:firstLine="720"/>
        <w:jc w:val="both"/>
        <w:rPr>
          <w:rFonts w:ascii="Tahoma" w:hAnsi="Tahoma" w:cs="Tahoma"/>
          <w:sz w:val="32"/>
          <w:szCs w:val="32"/>
        </w:rPr>
      </w:pPr>
      <w:r>
        <w:rPr>
          <w:rFonts w:ascii="Tahoma" w:hAnsi="Tahoma" w:cs="Tahoma"/>
          <w:sz w:val="32"/>
          <w:szCs w:val="32"/>
        </w:rPr>
        <w:t>Unless muc</w:t>
      </w:r>
      <w:r w:rsidR="00DA3A7E">
        <w:rPr>
          <w:rFonts w:ascii="Tahoma" w:hAnsi="Tahoma" w:cs="Tahoma"/>
          <w:sz w:val="32"/>
          <w:szCs w:val="32"/>
        </w:rPr>
        <w:t>h</w:t>
      </w:r>
      <w:r>
        <w:rPr>
          <w:rFonts w:ascii="Tahoma" w:hAnsi="Tahoma" w:cs="Tahoma"/>
          <w:sz w:val="32"/>
          <w:szCs w:val="32"/>
        </w:rPr>
        <w:t>, more occurs then courts will continue to see the tragedies of harm, violence and death across the full human spectrum.</w:t>
      </w:r>
    </w:p>
    <w:p w14:paraId="6784D155" w14:textId="77777777" w:rsidR="007E2E0F" w:rsidRDefault="007E2E0F" w:rsidP="0035310B">
      <w:pPr>
        <w:spacing w:after="0" w:line="360" w:lineRule="auto"/>
        <w:ind w:firstLine="720"/>
        <w:jc w:val="both"/>
        <w:rPr>
          <w:rFonts w:ascii="Tahoma" w:hAnsi="Tahoma" w:cs="Tahoma"/>
          <w:sz w:val="32"/>
          <w:szCs w:val="32"/>
        </w:rPr>
      </w:pPr>
    </w:p>
    <w:p w14:paraId="072CDA69" w14:textId="41BE6F58" w:rsidR="007E2E0F" w:rsidRDefault="007E2E0F" w:rsidP="0035310B">
      <w:pPr>
        <w:spacing w:after="0" w:line="360" w:lineRule="auto"/>
        <w:ind w:firstLine="720"/>
        <w:jc w:val="both"/>
        <w:rPr>
          <w:rFonts w:ascii="Tahoma" w:hAnsi="Tahoma" w:cs="Tahoma"/>
          <w:sz w:val="32"/>
          <w:szCs w:val="32"/>
        </w:rPr>
      </w:pPr>
      <w:r>
        <w:rPr>
          <w:rFonts w:ascii="Tahoma" w:hAnsi="Tahoma" w:cs="Tahoma"/>
          <w:sz w:val="32"/>
          <w:szCs w:val="32"/>
        </w:rPr>
        <w:t xml:space="preserve">There will be much learning to be taken from the Victorian Royal Commission on Family Violence, the Federal and State Royal Commission into Child Sex Abuse and the Royal Commission </w:t>
      </w:r>
      <w:r w:rsidR="00955E44">
        <w:rPr>
          <w:rFonts w:ascii="Tahoma" w:hAnsi="Tahoma" w:cs="Tahoma"/>
          <w:sz w:val="32"/>
          <w:szCs w:val="32"/>
        </w:rPr>
        <w:t>into the Child Protection and Youth Detention Systems of the Northern Territory</w:t>
      </w:r>
      <w:r>
        <w:rPr>
          <w:rFonts w:ascii="Tahoma" w:hAnsi="Tahoma" w:cs="Tahoma"/>
          <w:sz w:val="32"/>
          <w:szCs w:val="32"/>
        </w:rPr>
        <w:t>.</w:t>
      </w:r>
      <w:r w:rsidR="00DA3A7E">
        <w:rPr>
          <w:rFonts w:ascii="Tahoma" w:hAnsi="Tahoma" w:cs="Tahoma"/>
          <w:sz w:val="32"/>
          <w:szCs w:val="32"/>
        </w:rPr>
        <w:t xml:space="preserve">  Each of these Royal Commissions has received bipartisan </w:t>
      </w:r>
      <w:r w:rsidR="00DC53F1">
        <w:rPr>
          <w:rFonts w:ascii="Tahoma" w:hAnsi="Tahoma" w:cs="Tahoma"/>
          <w:sz w:val="32"/>
          <w:szCs w:val="32"/>
        </w:rPr>
        <w:t>support</w:t>
      </w:r>
      <w:r w:rsidR="00DA3A7E">
        <w:rPr>
          <w:rFonts w:ascii="Tahoma" w:hAnsi="Tahoma" w:cs="Tahoma"/>
          <w:sz w:val="32"/>
          <w:szCs w:val="32"/>
        </w:rPr>
        <w:t>.</w:t>
      </w:r>
      <w:r>
        <w:rPr>
          <w:rFonts w:ascii="Tahoma" w:hAnsi="Tahoma" w:cs="Tahoma"/>
          <w:sz w:val="32"/>
          <w:szCs w:val="32"/>
        </w:rPr>
        <w:t xml:space="preserve">  Then there are the reports of the past and the manifold successful reforms on the ground.  A holistic approach  based on a model of therapeutic jurisprudence will be well worth considering.  The question might be, who will lead it and who will participate?</w:t>
      </w:r>
    </w:p>
    <w:p w14:paraId="5FF896E4" w14:textId="77777777" w:rsidR="007E2E0F" w:rsidRDefault="007E2E0F" w:rsidP="0035310B">
      <w:pPr>
        <w:spacing w:after="0" w:line="360" w:lineRule="auto"/>
        <w:ind w:firstLine="720"/>
        <w:jc w:val="both"/>
        <w:rPr>
          <w:rFonts w:ascii="Tahoma" w:hAnsi="Tahoma" w:cs="Tahoma"/>
          <w:sz w:val="32"/>
          <w:szCs w:val="32"/>
        </w:rPr>
      </w:pPr>
    </w:p>
    <w:p w14:paraId="5EC19BFE" w14:textId="2731C6C7" w:rsidR="007E2E0F" w:rsidRDefault="007E2E0F" w:rsidP="0035310B">
      <w:pPr>
        <w:spacing w:after="0" w:line="360" w:lineRule="auto"/>
        <w:ind w:firstLine="720"/>
        <w:jc w:val="both"/>
        <w:rPr>
          <w:rFonts w:ascii="Tahoma" w:hAnsi="Tahoma" w:cs="Tahoma"/>
          <w:sz w:val="32"/>
          <w:szCs w:val="32"/>
        </w:rPr>
      </w:pPr>
      <w:r>
        <w:rPr>
          <w:rFonts w:ascii="Tahoma" w:hAnsi="Tahoma" w:cs="Tahoma"/>
          <w:sz w:val="32"/>
          <w:szCs w:val="32"/>
        </w:rPr>
        <w:lastRenderedPageBreak/>
        <w:t xml:space="preserve">Thirty-five years ago this week Austin </w:t>
      </w:r>
      <w:proofErr w:type="spellStart"/>
      <w:r>
        <w:rPr>
          <w:rFonts w:ascii="Tahoma" w:hAnsi="Tahoma" w:cs="Tahoma"/>
          <w:sz w:val="32"/>
          <w:szCs w:val="32"/>
        </w:rPr>
        <w:t>Asche</w:t>
      </w:r>
      <w:proofErr w:type="spellEnd"/>
      <w:r>
        <w:rPr>
          <w:rFonts w:ascii="Tahoma" w:hAnsi="Tahoma" w:cs="Tahoma"/>
          <w:sz w:val="32"/>
          <w:szCs w:val="32"/>
        </w:rPr>
        <w:t xml:space="preserve"> delivered a lecture on the rights of the child.</w:t>
      </w:r>
      <w:r>
        <w:rPr>
          <w:rStyle w:val="FootnoteReference"/>
          <w:rFonts w:ascii="Tahoma" w:hAnsi="Tahoma" w:cs="Tahoma"/>
          <w:sz w:val="32"/>
          <w:szCs w:val="32"/>
        </w:rPr>
        <w:footnoteReference w:id="95"/>
      </w:r>
      <w:r>
        <w:rPr>
          <w:rFonts w:ascii="Tahoma" w:hAnsi="Tahoma" w:cs="Tahoma"/>
          <w:sz w:val="32"/>
          <w:szCs w:val="32"/>
        </w:rPr>
        <w:t xml:space="preserve">   It was a significant and important commentary.   </w:t>
      </w:r>
      <w:r w:rsidR="00D24F0F">
        <w:rPr>
          <w:rFonts w:ascii="Tahoma" w:hAnsi="Tahoma" w:cs="Tahoma"/>
          <w:sz w:val="32"/>
          <w:szCs w:val="32"/>
        </w:rPr>
        <w:t>And</w:t>
      </w:r>
      <w:r>
        <w:rPr>
          <w:rFonts w:ascii="Tahoma" w:hAnsi="Tahoma" w:cs="Tahoma"/>
          <w:sz w:val="32"/>
          <w:szCs w:val="32"/>
        </w:rPr>
        <w:t xml:space="preserve"> that is the point, an enduring point, as a society we are bound to recognise the </w:t>
      </w:r>
      <w:r>
        <w:rPr>
          <w:rFonts w:ascii="Tahoma" w:hAnsi="Tahoma" w:cs="Tahoma"/>
          <w:sz w:val="32"/>
          <w:szCs w:val="32"/>
          <w:u w:val="single"/>
        </w:rPr>
        <w:t>rights</w:t>
      </w:r>
      <w:r>
        <w:rPr>
          <w:rFonts w:ascii="Tahoma" w:hAnsi="Tahoma" w:cs="Tahoma"/>
          <w:sz w:val="32"/>
          <w:szCs w:val="32"/>
        </w:rPr>
        <w:t xml:space="preserve"> of the child for the ongoing benefit of our society.</w:t>
      </w:r>
    </w:p>
    <w:p w14:paraId="32369785" w14:textId="77777777" w:rsidR="007E2E0F" w:rsidRDefault="007E2E0F" w:rsidP="0035310B">
      <w:pPr>
        <w:spacing w:after="0" w:line="360" w:lineRule="auto"/>
        <w:ind w:firstLine="720"/>
        <w:jc w:val="both"/>
        <w:rPr>
          <w:rFonts w:ascii="Tahoma" w:hAnsi="Tahoma" w:cs="Tahoma"/>
          <w:sz w:val="32"/>
          <w:szCs w:val="32"/>
        </w:rPr>
      </w:pPr>
    </w:p>
    <w:p w14:paraId="735F9AD6" w14:textId="77777777" w:rsidR="007E2E0F" w:rsidRDefault="007E2E0F" w:rsidP="0035310B">
      <w:pPr>
        <w:spacing w:after="0" w:line="360" w:lineRule="auto"/>
        <w:ind w:firstLine="720"/>
        <w:jc w:val="both"/>
        <w:rPr>
          <w:rFonts w:ascii="Tahoma" w:hAnsi="Tahoma" w:cs="Tahoma"/>
          <w:sz w:val="32"/>
          <w:szCs w:val="32"/>
        </w:rPr>
      </w:pPr>
    </w:p>
    <w:p w14:paraId="35C3F58F" w14:textId="77777777" w:rsidR="007E2E0F" w:rsidRDefault="007E2E0F" w:rsidP="0035310B">
      <w:pPr>
        <w:spacing w:after="0" w:line="360" w:lineRule="auto"/>
        <w:ind w:firstLine="720"/>
        <w:jc w:val="both"/>
        <w:rPr>
          <w:rFonts w:ascii="Tahoma" w:hAnsi="Tahoma" w:cs="Tahoma"/>
          <w:sz w:val="32"/>
          <w:szCs w:val="32"/>
        </w:rPr>
      </w:pPr>
    </w:p>
    <w:p w14:paraId="1DCB9F4F" w14:textId="77777777" w:rsidR="00246E9D" w:rsidRPr="00F77E89" w:rsidRDefault="00246E9D" w:rsidP="002C1267">
      <w:pPr>
        <w:rPr>
          <w:rFonts w:ascii="Tahoma" w:hAnsi="Tahoma" w:cs="Tahoma"/>
          <w:sz w:val="32"/>
          <w:szCs w:val="32"/>
        </w:rPr>
      </w:pPr>
    </w:p>
    <w:sectPr w:rsidR="00246E9D" w:rsidRPr="00F77E89" w:rsidSect="002D0BC3">
      <w:headerReference w:type="even" r:id="rId8"/>
      <w:headerReference w:type="default" r:id="rId9"/>
      <w:footerReference w:type="even" r:id="rId10"/>
      <w:footerReference w:type="default" r:id="rId11"/>
      <w:headerReference w:type="first" r:id="rId12"/>
      <w:footerReference w:type="first" r:id="rId13"/>
      <w:pgSz w:w="11906" w:h="16838"/>
      <w:pgMar w:top="1170" w:right="926" w:bottom="630"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2163" w14:textId="77777777" w:rsidR="004476E1" w:rsidRDefault="004476E1" w:rsidP="004D461E">
      <w:pPr>
        <w:spacing w:after="0" w:line="240" w:lineRule="auto"/>
      </w:pPr>
      <w:r>
        <w:separator/>
      </w:r>
    </w:p>
  </w:endnote>
  <w:endnote w:type="continuationSeparator" w:id="0">
    <w:p w14:paraId="72E4426B" w14:textId="77777777" w:rsidR="004476E1" w:rsidRDefault="004476E1" w:rsidP="004D461E">
      <w:pPr>
        <w:spacing w:after="0" w:line="240" w:lineRule="auto"/>
      </w:pPr>
      <w:r>
        <w:continuationSeparator/>
      </w:r>
    </w:p>
  </w:endnote>
  <w:endnote w:type="continuationNotice" w:id="1">
    <w:p w14:paraId="3CC1179E" w14:textId="77777777" w:rsidR="004476E1" w:rsidRDefault="00447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FFC4" w14:textId="77777777" w:rsidR="00250128" w:rsidRDefault="00250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414314"/>
      <w:docPartObj>
        <w:docPartGallery w:val="Page Numbers (Bottom of Page)"/>
        <w:docPartUnique/>
      </w:docPartObj>
    </w:sdtPr>
    <w:sdtEndPr>
      <w:rPr>
        <w:noProof/>
      </w:rPr>
    </w:sdtEndPr>
    <w:sdtContent>
      <w:p w14:paraId="278C06BE" w14:textId="020937FB" w:rsidR="004476E1" w:rsidRDefault="004476E1">
        <w:pPr>
          <w:pStyle w:val="Footer"/>
          <w:jc w:val="right"/>
        </w:pPr>
        <w:r>
          <w:fldChar w:fldCharType="begin"/>
        </w:r>
        <w:r>
          <w:instrText xml:space="preserve"> PAGE   \* MERGEFORMAT </w:instrText>
        </w:r>
        <w:r>
          <w:fldChar w:fldCharType="separate"/>
        </w:r>
        <w:r w:rsidR="00D45609">
          <w:rPr>
            <w:noProof/>
          </w:rPr>
          <w:t>22</w:t>
        </w:r>
        <w:r>
          <w:rPr>
            <w:noProof/>
          </w:rPr>
          <w:fldChar w:fldCharType="end"/>
        </w:r>
      </w:p>
    </w:sdtContent>
  </w:sdt>
  <w:p w14:paraId="6D6506DB" w14:textId="77777777" w:rsidR="004476E1" w:rsidRDefault="00447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FF01" w14:textId="77777777" w:rsidR="00250128" w:rsidRDefault="00250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25A49" w14:textId="77777777" w:rsidR="004476E1" w:rsidRDefault="004476E1" w:rsidP="004D461E">
      <w:pPr>
        <w:spacing w:after="0" w:line="240" w:lineRule="auto"/>
      </w:pPr>
      <w:r>
        <w:separator/>
      </w:r>
    </w:p>
  </w:footnote>
  <w:footnote w:type="continuationSeparator" w:id="0">
    <w:p w14:paraId="708560A0" w14:textId="77777777" w:rsidR="004476E1" w:rsidRDefault="004476E1" w:rsidP="004D461E">
      <w:pPr>
        <w:spacing w:after="0" w:line="240" w:lineRule="auto"/>
      </w:pPr>
      <w:r>
        <w:continuationSeparator/>
      </w:r>
    </w:p>
  </w:footnote>
  <w:footnote w:type="continuationNotice" w:id="1">
    <w:p w14:paraId="6309339C" w14:textId="77777777" w:rsidR="004476E1" w:rsidRDefault="004476E1">
      <w:pPr>
        <w:spacing w:after="0" w:line="240" w:lineRule="auto"/>
      </w:pPr>
    </w:p>
  </w:footnote>
  <w:footnote w:id="2">
    <w:p w14:paraId="571A845D" w14:textId="77777777" w:rsidR="004476E1" w:rsidRPr="00634C48" w:rsidRDefault="004476E1" w:rsidP="00603DBE">
      <w:pPr>
        <w:pStyle w:val="FootnoteText"/>
      </w:pPr>
      <w:r w:rsidRPr="00634C48">
        <w:rPr>
          <w:rStyle w:val="FootnoteReference"/>
        </w:rPr>
        <w:footnoteRef/>
      </w:r>
      <w:r w:rsidRPr="00634C48">
        <w:t xml:space="preserve"> </w:t>
      </w:r>
      <w:r w:rsidRPr="00634C48">
        <w:rPr>
          <w:rFonts w:cs="Tahoma"/>
        </w:rPr>
        <w:t>Unless the individual is subject to an ongoing supervision order as will occur these days with serious sex offenders and terrorists.</w:t>
      </w:r>
    </w:p>
  </w:footnote>
  <w:footnote w:id="3">
    <w:p w14:paraId="5126908E" w14:textId="77777777" w:rsidR="004476E1" w:rsidRPr="00634C48" w:rsidRDefault="004476E1" w:rsidP="00E9513F">
      <w:pPr>
        <w:pStyle w:val="FootnoteText"/>
        <w:ind w:left="180" w:hanging="180"/>
      </w:pPr>
      <w:r w:rsidRPr="00634C48">
        <w:rPr>
          <w:rStyle w:val="FootnoteReference"/>
        </w:rPr>
        <w:footnoteRef/>
      </w:r>
      <w:r w:rsidRPr="00634C48">
        <w:t xml:space="preserve"> </w:t>
      </w:r>
      <w:r w:rsidRPr="00634C48">
        <w:tab/>
        <w:t xml:space="preserve">Susan M Sawyer et al, ‘Adolescence: A Foundation for Future Health’ (2012) 379 </w:t>
      </w:r>
      <w:r w:rsidRPr="00634C48">
        <w:rPr>
          <w:i/>
        </w:rPr>
        <w:t>The Lancet</w:t>
      </w:r>
      <w:r w:rsidRPr="00634C48">
        <w:t xml:space="preserve"> 1630, 1632.</w:t>
      </w:r>
    </w:p>
  </w:footnote>
  <w:footnote w:id="4">
    <w:p w14:paraId="4F846643" w14:textId="77777777" w:rsidR="004476E1" w:rsidRPr="00634C48" w:rsidRDefault="004476E1" w:rsidP="00E9513F">
      <w:pPr>
        <w:pStyle w:val="FootnoteText"/>
        <w:ind w:left="180" w:hanging="180"/>
      </w:pPr>
      <w:r w:rsidRPr="00634C48">
        <w:rPr>
          <w:rStyle w:val="FootnoteReference"/>
        </w:rPr>
        <w:footnoteRef/>
      </w:r>
      <w:r w:rsidRPr="00634C48">
        <w:t xml:space="preserve"> </w:t>
      </w:r>
      <w:r w:rsidRPr="00634C48">
        <w:tab/>
        <w:t xml:space="preserve">Susan M Sawyer et al, ‘Adolescence: A Foundation for Future Health’ (2012) 379 </w:t>
      </w:r>
      <w:r w:rsidRPr="00634C48">
        <w:rPr>
          <w:i/>
        </w:rPr>
        <w:t>The Lancet</w:t>
      </w:r>
      <w:r w:rsidRPr="00634C48">
        <w:t xml:space="preserve"> 1630, 1632.</w:t>
      </w:r>
    </w:p>
  </w:footnote>
  <w:footnote w:id="5">
    <w:p w14:paraId="2553E78A" w14:textId="77777777" w:rsidR="004476E1" w:rsidRPr="00634C48" w:rsidRDefault="004476E1" w:rsidP="00E9513F">
      <w:pPr>
        <w:pStyle w:val="FootnoteText"/>
        <w:ind w:left="180" w:hanging="180"/>
      </w:pPr>
      <w:r w:rsidRPr="00634C48">
        <w:rPr>
          <w:rStyle w:val="FootnoteReference"/>
        </w:rPr>
        <w:footnoteRef/>
      </w:r>
      <w:r w:rsidRPr="00634C48">
        <w:t xml:space="preserve"> </w:t>
      </w:r>
      <w:r w:rsidRPr="00634C48">
        <w:tab/>
        <w:t xml:space="preserve">Susan M Sawyer et al, ‘Adolescence: A Foundation for Future Health’ (2012) 379 </w:t>
      </w:r>
      <w:r w:rsidRPr="00634C48">
        <w:rPr>
          <w:i/>
        </w:rPr>
        <w:t>The Lancet</w:t>
      </w:r>
      <w:r w:rsidRPr="00634C48">
        <w:t xml:space="preserve"> 1630, 1632.</w:t>
      </w:r>
    </w:p>
  </w:footnote>
  <w:footnote w:id="6">
    <w:p w14:paraId="1EE672C0" w14:textId="77777777" w:rsidR="004476E1" w:rsidRPr="00634C48" w:rsidRDefault="004476E1" w:rsidP="00E9513F">
      <w:pPr>
        <w:pStyle w:val="FootnoteText"/>
        <w:ind w:left="180" w:hanging="180"/>
      </w:pPr>
      <w:r w:rsidRPr="00634C48">
        <w:rPr>
          <w:rStyle w:val="FootnoteReference"/>
        </w:rPr>
        <w:footnoteRef/>
      </w:r>
      <w:r w:rsidRPr="00634C48">
        <w:t xml:space="preserve"> </w:t>
      </w:r>
      <w:r w:rsidRPr="00634C48">
        <w:tab/>
        <w:t xml:space="preserve">Susan M Sawyer et al, ‘Adolescence: A Foundation for Future Health’ (2012) 379 </w:t>
      </w:r>
      <w:r w:rsidRPr="00634C48">
        <w:rPr>
          <w:i/>
        </w:rPr>
        <w:t>The Lancet</w:t>
      </w:r>
      <w:r w:rsidRPr="00634C48">
        <w:t xml:space="preserve"> 1630, 1635.</w:t>
      </w:r>
    </w:p>
  </w:footnote>
  <w:footnote w:id="7">
    <w:p w14:paraId="09CCEC85" w14:textId="77777777" w:rsidR="004476E1" w:rsidRPr="00634C48" w:rsidRDefault="004476E1" w:rsidP="00E9513F">
      <w:pPr>
        <w:pStyle w:val="FootnoteText"/>
        <w:ind w:left="180" w:hanging="180"/>
      </w:pPr>
      <w:r w:rsidRPr="00634C48">
        <w:rPr>
          <w:rStyle w:val="FootnoteReference"/>
        </w:rPr>
        <w:footnoteRef/>
      </w:r>
      <w:r w:rsidRPr="00634C48">
        <w:t xml:space="preserve"> </w:t>
      </w:r>
      <w:r w:rsidRPr="00634C48">
        <w:tab/>
        <w:t xml:space="preserve">Susan M Sawyer et al, ‘Adolescence: A Foundation for Future Health’ (2012) 379 </w:t>
      </w:r>
      <w:r w:rsidRPr="00634C48">
        <w:rPr>
          <w:i/>
        </w:rPr>
        <w:t>The Lancet</w:t>
      </w:r>
      <w:r w:rsidRPr="00634C48">
        <w:t xml:space="preserve"> 1630, 1633.</w:t>
      </w:r>
    </w:p>
  </w:footnote>
  <w:footnote w:id="8">
    <w:p w14:paraId="159A69B5" w14:textId="77777777" w:rsidR="004476E1" w:rsidRPr="00634C48" w:rsidRDefault="004476E1" w:rsidP="00E9513F">
      <w:pPr>
        <w:pStyle w:val="FootnoteText"/>
      </w:pPr>
      <w:r w:rsidRPr="00634C48">
        <w:rPr>
          <w:rStyle w:val="FootnoteReference"/>
        </w:rPr>
        <w:footnoteRef/>
      </w:r>
      <w:r w:rsidRPr="00634C48">
        <w:t xml:space="preserve"> http://www.theaustralian.com.au/news/health-science/kids-and-teenagers-with-mental-health-issues-deserve-early-intervention/news-story/d3034cb356ae6f0421d0c3a181c908cb</w:t>
      </w:r>
    </w:p>
  </w:footnote>
  <w:footnote w:id="9">
    <w:p w14:paraId="5FD611DA" w14:textId="77777777" w:rsidR="004476E1" w:rsidRPr="00634C48" w:rsidRDefault="004476E1" w:rsidP="00E9513F">
      <w:pPr>
        <w:pStyle w:val="FootnoteText"/>
      </w:pPr>
      <w:r w:rsidRPr="00634C48">
        <w:rPr>
          <w:rStyle w:val="FootnoteReference"/>
        </w:rPr>
        <w:footnoteRef/>
      </w:r>
      <w:r w:rsidRPr="00634C48">
        <w:t xml:space="preserve"> http://www.abc.net.au/7.30/content/2016/s4479239.htm</w:t>
      </w:r>
    </w:p>
  </w:footnote>
  <w:footnote w:id="10">
    <w:p w14:paraId="3277D4E1" w14:textId="77777777" w:rsidR="004476E1" w:rsidRPr="00634C48" w:rsidRDefault="004476E1" w:rsidP="00E9513F">
      <w:pPr>
        <w:pStyle w:val="FootnoteText"/>
      </w:pPr>
      <w:r w:rsidRPr="00634C48">
        <w:rPr>
          <w:rStyle w:val="FootnoteReference"/>
        </w:rPr>
        <w:footnoteRef/>
      </w:r>
      <w:r w:rsidRPr="00634C48">
        <w:t xml:space="preserve"> </w:t>
      </w:r>
      <w:hyperlink r:id="rId1" w:history="1">
        <w:r w:rsidRPr="00634C48">
          <w:rPr>
            <w:rStyle w:val="Hyperlink"/>
          </w:rPr>
          <w:t>http://www.couriermail.com.au/news/national/former-australian-of-the-year-patrick-mcgorry-calls-on-politicians-to-free-asylum-seeker-children-from-detention/story-e6freooo-1226051825641</w:t>
        </w:r>
      </w:hyperlink>
      <w:r w:rsidRPr="00634C48">
        <w:t xml:space="preserve">; See further Australian Children’s Commissioners and Guardians, </w:t>
      </w:r>
      <w:r w:rsidRPr="00634C48">
        <w:rPr>
          <w:i/>
        </w:rPr>
        <w:t>Human Rights Standards in Youth Detention Facilities in Australia: The Use of Restraint, Disciplinary Regimes and Other Specified Practices</w:t>
      </w:r>
      <w:r w:rsidRPr="00634C48">
        <w:t xml:space="preserve"> (April 2016) &lt;https://www.ccyp.wa.gov.au/media/2152/report-accg-human-rights-the-use-of-restraint-disciplinary-regimes-and-other-specified-practices.pdf&gt;.</w:t>
      </w:r>
    </w:p>
  </w:footnote>
  <w:footnote w:id="11">
    <w:p w14:paraId="3A2E78CE" w14:textId="77777777" w:rsidR="004476E1" w:rsidRPr="00634C48" w:rsidRDefault="004476E1" w:rsidP="00E9513F">
      <w:pPr>
        <w:pStyle w:val="FootnoteText"/>
        <w:ind w:left="180" w:hanging="180"/>
      </w:pPr>
      <w:r w:rsidRPr="00634C48">
        <w:rPr>
          <w:rStyle w:val="FootnoteReference"/>
        </w:rPr>
        <w:footnoteRef/>
      </w:r>
      <w:r w:rsidRPr="00634C48">
        <w:t xml:space="preserve"> Sentencing Children in Victoria – Data Update Report, SAC, July 2016.</w:t>
      </w:r>
    </w:p>
  </w:footnote>
  <w:footnote w:id="12">
    <w:p w14:paraId="23DD521A" w14:textId="77777777" w:rsidR="004476E1" w:rsidRPr="00634C48" w:rsidRDefault="004476E1" w:rsidP="00E9513F">
      <w:pPr>
        <w:pStyle w:val="FootnoteText"/>
      </w:pPr>
      <w:r w:rsidRPr="00634C48">
        <w:rPr>
          <w:rStyle w:val="FootnoteReference"/>
        </w:rPr>
        <w:footnoteRef/>
      </w:r>
      <w:r w:rsidRPr="00634C48">
        <w:t xml:space="preserve"> </w:t>
      </w:r>
      <w:hyperlink r:id="rId2" w:history="1">
        <w:r w:rsidRPr="00634C48">
          <w:rPr>
            <w:rStyle w:val="Hyperlink"/>
          </w:rPr>
          <w:t>http://www.abs.gov.au/ausstats/abs@.nsf/Products/9458935BB998B2EBCA257840000F31C9?opendocument</w:t>
        </w:r>
      </w:hyperlink>
      <w:r w:rsidRPr="00634C48">
        <w:t xml:space="preserve"> </w:t>
      </w:r>
    </w:p>
  </w:footnote>
  <w:footnote w:id="13">
    <w:p w14:paraId="7CA36C0F" w14:textId="77777777" w:rsidR="004476E1" w:rsidRPr="00634C48" w:rsidRDefault="004476E1" w:rsidP="00E9513F">
      <w:pPr>
        <w:pStyle w:val="FootnoteText"/>
      </w:pPr>
      <w:r w:rsidRPr="00634C48">
        <w:rPr>
          <w:rStyle w:val="FootnoteReference"/>
        </w:rPr>
        <w:footnoteRef/>
      </w:r>
      <w:r w:rsidRPr="00634C48">
        <w:t xml:space="preserve"> </w:t>
      </w:r>
      <w:hyperlink r:id="rId3" w:history="1">
        <w:r w:rsidRPr="00634C48">
          <w:rPr>
            <w:rStyle w:val="Hyperlink"/>
          </w:rPr>
          <w:t>http://www.abs.gov.au/ausstats/abs@.nsf/Products/42EC7840CD683146CA257840000F319D?opendocument</w:t>
        </w:r>
      </w:hyperlink>
      <w:r w:rsidRPr="00634C48">
        <w:t>;  Note also that the ABS data from 2014-15 showed that ‘[y]</w:t>
      </w:r>
      <w:proofErr w:type="spellStart"/>
      <w:r w:rsidRPr="00634C48">
        <w:t>outh</w:t>
      </w:r>
      <w:proofErr w:type="spellEnd"/>
      <w:r w:rsidRPr="00634C48">
        <w:t xml:space="preserve"> offenders comprised just over a fifth (21%) of the total offender population in 2014-15, while representing 14% of the total Australian Estimated Resident Population (ERP).’  </w:t>
      </w:r>
      <w:hyperlink r:id="rId4" w:history="1">
        <w:r w:rsidRPr="00634C48">
          <w:rPr>
            <w:rStyle w:val="Hyperlink"/>
          </w:rPr>
          <w:t>http://www.abs.gov.au/ausstats/abs@.nsf/Lookup/by%20Subject/4519.0~2014-15~Main%20Features~Youth%20Offenders~4</w:t>
        </w:r>
      </w:hyperlink>
      <w:r w:rsidRPr="00634C48">
        <w:t xml:space="preserve"> </w:t>
      </w:r>
    </w:p>
  </w:footnote>
  <w:footnote w:id="14">
    <w:p w14:paraId="247579A1" w14:textId="1798E726" w:rsidR="004476E1" w:rsidRPr="00634C48" w:rsidRDefault="004476E1" w:rsidP="00E9513F">
      <w:pPr>
        <w:pStyle w:val="FootnoteText"/>
      </w:pPr>
      <w:r w:rsidRPr="00634C48">
        <w:rPr>
          <w:rStyle w:val="FootnoteReference"/>
        </w:rPr>
        <w:footnoteRef/>
      </w:r>
      <w:r w:rsidRPr="00634C48">
        <w:t xml:space="preserve">  Sentencing Children and Young People in Victoria, Sentencing Advisory Council Report, April 2012, 18.</w:t>
      </w:r>
    </w:p>
  </w:footnote>
  <w:footnote w:id="15">
    <w:p w14:paraId="49C7EAD5" w14:textId="5FE86BED" w:rsidR="004476E1" w:rsidRPr="00634C48" w:rsidRDefault="004476E1" w:rsidP="00E9513F">
      <w:pPr>
        <w:pStyle w:val="FootnoteText"/>
      </w:pPr>
      <w:r w:rsidRPr="00634C48">
        <w:rPr>
          <w:rStyle w:val="FootnoteReference"/>
        </w:rPr>
        <w:footnoteRef/>
      </w:r>
      <w:r w:rsidRPr="00634C48">
        <w:t xml:space="preserve">  Sentencing Children and Young People in Victoria, Sentencing Advisory Council Report, April 2012, 18.</w:t>
      </w:r>
    </w:p>
  </w:footnote>
  <w:footnote w:id="16">
    <w:p w14:paraId="4CE3BCE2" w14:textId="541BD0BC" w:rsidR="004476E1" w:rsidRPr="008F194B" w:rsidRDefault="004476E1" w:rsidP="00F94DED">
      <w:pPr>
        <w:pStyle w:val="FootnoteText"/>
        <w:ind w:left="180" w:hanging="180"/>
      </w:pPr>
      <w:r w:rsidRPr="00634C48">
        <w:rPr>
          <w:rStyle w:val="FootnoteReference"/>
        </w:rPr>
        <w:footnoteRef/>
      </w:r>
      <w:r w:rsidRPr="00634C48">
        <w:t xml:space="preserve"> See s 362 of the </w:t>
      </w:r>
      <w:r w:rsidRPr="00634C48">
        <w:rPr>
          <w:i/>
        </w:rPr>
        <w:t>Children, Youth and Families Act</w:t>
      </w:r>
      <w:r w:rsidR="00C12B78" w:rsidRPr="00634C48">
        <w:rPr>
          <w:i/>
        </w:rPr>
        <w:t xml:space="preserve"> </w:t>
      </w:r>
      <w:r w:rsidR="00C12B78" w:rsidRPr="008F194B">
        <w:rPr>
          <w:i/>
        </w:rPr>
        <w:t xml:space="preserve">2005 </w:t>
      </w:r>
      <w:r w:rsidR="00C12B78" w:rsidRPr="008F194B">
        <w:t>(Vic).</w:t>
      </w:r>
      <w:r w:rsidRPr="008F194B">
        <w:rPr>
          <w:i/>
        </w:rPr>
        <w:t>.</w:t>
      </w:r>
    </w:p>
  </w:footnote>
  <w:footnote w:id="17">
    <w:p w14:paraId="4FD0EFE2" w14:textId="7563A76B" w:rsidR="004476E1" w:rsidRPr="008F194B" w:rsidRDefault="004476E1" w:rsidP="00F94DED">
      <w:pPr>
        <w:pStyle w:val="FootnoteText"/>
        <w:ind w:left="180" w:hanging="180"/>
      </w:pPr>
      <w:r w:rsidRPr="008F194B">
        <w:rPr>
          <w:rStyle w:val="FootnoteReference"/>
        </w:rPr>
        <w:footnoteRef/>
      </w:r>
      <w:r w:rsidRPr="008F194B">
        <w:t xml:space="preserve"> </w:t>
      </w:r>
      <w:r w:rsidRPr="008F194B">
        <w:rPr>
          <w:i/>
        </w:rPr>
        <w:t>Webster</w:t>
      </w:r>
      <w:r w:rsidR="00C12B78" w:rsidRPr="008F194B">
        <w:rPr>
          <w:i/>
        </w:rPr>
        <w:t xml:space="preserve"> (a pseudonym) v The Queen</w:t>
      </w:r>
      <w:r w:rsidRPr="008F194B">
        <w:t xml:space="preserve"> [2016] VSCA 66</w:t>
      </w:r>
      <w:r w:rsidR="00C12B78" w:rsidRPr="008F194B">
        <w:t>,</w:t>
      </w:r>
      <w:r w:rsidRPr="008F194B">
        <w:t xml:space="preserve"> [28].</w:t>
      </w:r>
    </w:p>
  </w:footnote>
  <w:footnote w:id="18">
    <w:p w14:paraId="25EDF34C" w14:textId="77777777" w:rsidR="004476E1" w:rsidRPr="008F194B" w:rsidRDefault="004476E1" w:rsidP="00E87D2A">
      <w:pPr>
        <w:pStyle w:val="FootnoteText"/>
      </w:pPr>
      <w:r w:rsidRPr="008F194B">
        <w:rPr>
          <w:rStyle w:val="FootnoteReference"/>
        </w:rPr>
        <w:footnoteRef/>
      </w:r>
      <w:r w:rsidRPr="008F194B">
        <w:t xml:space="preserve"> </w:t>
      </w:r>
      <w:r w:rsidRPr="008F194B">
        <w:rPr>
          <w:rFonts w:cs="Tahoma"/>
        </w:rPr>
        <w:t xml:space="preserve">In the Preamble to the Convention on the Rights of the Child (‘the Convention’), it is reiterated that children because of their ‘physical and mental immaturity, nee[d] special safeguards and care…’.  </w:t>
      </w:r>
      <w:r w:rsidRPr="008F194B">
        <w:rPr>
          <w:rFonts w:cs="Tahoma"/>
          <w:i/>
        </w:rPr>
        <w:t xml:space="preserve">Convention on the Rights of the Child, </w:t>
      </w:r>
      <w:r w:rsidRPr="008F194B">
        <w:rPr>
          <w:rFonts w:cs="Tahoma"/>
        </w:rPr>
        <w:t>opened for signature 20 November 1989, 1577 UNTS 3 (entered into force 2 September 1990), preamble.</w:t>
      </w:r>
    </w:p>
  </w:footnote>
  <w:footnote w:id="19">
    <w:p w14:paraId="07367ACA" w14:textId="23473197" w:rsidR="004476E1" w:rsidRPr="008F194B" w:rsidRDefault="004476E1">
      <w:pPr>
        <w:pStyle w:val="FootnoteText"/>
      </w:pPr>
      <w:r w:rsidRPr="008F194B">
        <w:rPr>
          <w:rStyle w:val="FootnoteReference"/>
        </w:rPr>
        <w:footnoteRef/>
      </w:r>
      <w:r w:rsidRPr="008F194B">
        <w:t xml:space="preserve"> Australian Children’s Commissioners and Guardians, </w:t>
      </w:r>
      <w:r w:rsidRPr="008F194B">
        <w:rPr>
          <w:i/>
        </w:rPr>
        <w:t>Human Rights Standards in Youth Detention Facilities in Australia: The Use of Restraint, Disciplinary Regimes and Other Specified Practices</w:t>
      </w:r>
      <w:r w:rsidRPr="008F194B">
        <w:t xml:space="preserve"> (April 2016) &lt;https://www.ccyp.wa.gov.au/media/2152/report-accg-human-rights-the-use-of-restraint-disciplinary-regimes-and-other-specified-practices.pdf&gt;.</w:t>
      </w:r>
    </w:p>
  </w:footnote>
  <w:footnote w:id="20">
    <w:p w14:paraId="5D9F6767"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The terms of reference are reproduced at Australian Law Reform Commission, </w:t>
      </w:r>
      <w:r w:rsidRPr="008F194B">
        <w:rPr>
          <w:i/>
        </w:rPr>
        <w:t>Seen and Heard: Priority for Children in the Legal Process</w:t>
      </w:r>
      <w:r w:rsidRPr="008F194B">
        <w:t>, Report 84 (1997) 3.</w:t>
      </w:r>
    </w:p>
  </w:footnote>
  <w:footnote w:id="21">
    <w:p w14:paraId="474EB4C8"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10 [1.18].</w:t>
      </w:r>
    </w:p>
  </w:footnote>
  <w:footnote w:id="22">
    <w:p w14:paraId="317A38BF"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10 [1.18].</w:t>
      </w:r>
    </w:p>
  </w:footnote>
  <w:footnote w:id="23">
    <w:p w14:paraId="38DFB3EE"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5.</w:t>
      </w:r>
    </w:p>
  </w:footnote>
  <w:footnote w:id="24">
    <w:p w14:paraId="7906824E"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290 [19.48].</w:t>
      </w:r>
    </w:p>
  </w:footnote>
  <w:footnote w:id="25">
    <w:p w14:paraId="09C1EA2B"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12 [1.30], see further 241 [18.3], 291–2 [19.50]–[19.64].</w:t>
      </w:r>
    </w:p>
  </w:footnote>
  <w:footnote w:id="26">
    <w:p w14:paraId="6F412299"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305 [20.3].</w:t>
      </w:r>
    </w:p>
  </w:footnote>
  <w:footnote w:id="27">
    <w:p w14:paraId="30D94384"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xml:space="preserve">, Report 84 (1997) 315–6 [20.69]–[20.70]; see further 271–2 [18.140]–[18.141], </w:t>
      </w:r>
    </w:p>
  </w:footnote>
  <w:footnote w:id="28">
    <w:p w14:paraId="19FFE337"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12 [1.30], see also at 254 [18.43], 257 [18.64], 261 [18.89].</w:t>
      </w:r>
    </w:p>
  </w:footnote>
  <w:footnote w:id="29">
    <w:p w14:paraId="08BC7AAB"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42 [3.19].</w:t>
      </w:r>
    </w:p>
  </w:footnote>
  <w:footnote w:id="30">
    <w:p w14:paraId="0C88EF32"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292 [19.64].</w:t>
      </w:r>
    </w:p>
  </w:footnote>
  <w:footnote w:id="31">
    <w:p w14:paraId="7C4D1100"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xml:space="preserve">, Report 84 (1997) 291 [19.54]; see </w:t>
      </w:r>
      <w:r w:rsidRPr="008F194B">
        <w:rPr>
          <w:i/>
        </w:rPr>
        <w:t>Juvenile Justice Act 1983</w:t>
      </w:r>
      <w:r w:rsidRPr="008F194B">
        <w:t xml:space="preserve"> (NT) </w:t>
      </w:r>
      <w:proofErr w:type="spellStart"/>
      <w:r w:rsidRPr="008F194B">
        <w:t>ss</w:t>
      </w:r>
      <w:proofErr w:type="spellEnd"/>
      <w:r w:rsidRPr="008F194B">
        <w:t xml:space="preserve"> 53AE-AG.</w:t>
      </w:r>
    </w:p>
  </w:footnote>
  <w:footnote w:id="32">
    <w:p w14:paraId="339223EA"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xml:space="preserve">, Report 84 (1997) 291 [19.54]; </w:t>
      </w:r>
      <w:r w:rsidRPr="008F194B">
        <w:rPr>
          <w:i/>
        </w:rPr>
        <w:t>Criminal Code</w:t>
      </w:r>
      <w:r w:rsidRPr="008F194B">
        <w:t xml:space="preserve"> (WA) s 401(4).</w:t>
      </w:r>
    </w:p>
  </w:footnote>
  <w:footnote w:id="33">
    <w:p w14:paraId="087885AD" w14:textId="3D98042B"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Human Rights (Mandatory Sentencing of Juvenile Offenders) Bill 1999 (</w:t>
      </w:r>
      <w:proofErr w:type="spellStart"/>
      <w:r w:rsidRPr="008F194B">
        <w:t>Cth</w:t>
      </w:r>
      <w:proofErr w:type="spellEnd"/>
      <w:r w:rsidRPr="008F194B">
        <w:t>), s 5 (emphasis added).</w:t>
      </w:r>
    </w:p>
  </w:footnote>
  <w:footnote w:id="34">
    <w:p w14:paraId="12AD0422"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Human Rights (Mandatory Sentencing for Property Offences) Bill 2000 (</w:t>
      </w:r>
      <w:proofErr w:type="spellStart"/>
      <w:r w:rsidRPr="008F194B">
        <w:t>Cth</w:t>
      </w:r>
      <w:proofErr w:type="spellEnd"/>
      <w:r w:rsidRPr="008F194B">
        <w:t>) s 5 (emphasis added).</w:t>
      </w:r>
    </w:p>
  </w:footnote>
  <w:footnote w:id="35">
    <w:p w14:paraId="3E60CC3B"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Note s 401 of Schedule 1: The Criminal Code of the </w:t>
      </w:r>
      <w:r w:rsidRPr="008F194B">
        <w:rPr>
          <w:i/>
        </w:rPr>
        <w:t>Criminal Code Compilation Act</w:t>
      </w:r>
      <w:r w:rsidRPr="008F194B">
        <w:t xml:space="preserve"> </w:t>
      </w:r>
      <w:r w:rsidRPr="008F194B">
        <w:rPr>
          <w:i/>
        </w:rPr>
        <w:t>1913</w:t>
      </w:r>
      <w:r w:rsidRPr="008F194B">
        <w:t xml:space="preserve"> (WA) was amended by s 66 of </w:t>
      </w:r>
      <w:r w:rsidRPr="008F194B">
        <w:rPr>
          <w:i/>
        </w:rPr>
        <w:t>Criminal Code Amendment 2004 (No 4)</w:t>
      </w:r>
      <w:r w:rsidRPr="008F194B">
        <w:t xml:space="preserve"> but this amendment did not affect the mandatory sentencing; s 401 was also amended by s 35(4) of </w:t>
      </w:r>
      <w:r w:rsidRPr="008F194B">
        <w:rPr>
          <w:i/>
        </w:rPr>
        <w:t>Criminal Law Amendment (Simple Offences) Act 2004 (No 70)</w:t>
      </w:r>
      <w:r w:rsidRPr="008F194B">
        <w:t xml:space="preserve"> (WA) but again this did not affect the mandatory sentencing regime.</w:t>
      </w:r>
    </w:p>
  </w:footnote>
  <w:footnote w:id="36">
    <w:p w14:paraId="2287DA03"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r>
      <w:r w:rsidRPr="008F194B">
        <w:rPr>
          <w:i/>
        </w:rPr>
        <w:t>Criminal Code Compilation Act 1913</w:t>
      </w:r>
      <w:r w:rsidRPr="008F194B">
        <w:t xml:space="preserve"> (WA), Schedule 1, s 401A(4); see also the Second Reading Speech for the </w:t>
      </w:r>
      <w:r w:rsidRPr="008F194B">
        <w:rPr>
          <w:i/>
        </w:rPr>
        <w:t xml:space="preserve">Criminal Law Amendment (Home Burglary and Other Offences) Act 2015 </w:t>
      </w:r>
      <w:r w:rsidRPr="008F194B">
        <w:t>(WA), &lt;https://lawlex.com.au/tempstore/WA/Hansard/145182.html&gt;.</w:t>
      </w:r>
    </w:p>
  </w:footnote>
  <w:footnote w:id="37">
    <w:p w14:paraId="50C3721E"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r>
      <w:r w:rsidRPr="008F194B">
        <w:rPr>
          <w:i/>
        </w:rPr>
        <w:t>Criminal Code Compilation Act 1913</w:t>
      </w:r>
      <w:r w:rsidRPr="008F194B">
        <w:t xml:space="preserve"> (WA), Schedule 1, s 401(4); see also the Second Reading Speech for the </w:t>
      </w:r>
      <w:r w:rsidRPr="008F194B">
        <w:rPr>
          <w:i/>
        </w:rPr>
        <w:t xml:space="preserve">Criminal Law Amendment (Home Burglary and Other Offences) Act 2015 </w:t>
      </w:r>
      <w:r w:rsidRPr="008F194B">
        <w:t>(WA), &lt;https://lawlex.com.au/tempstore/WA/Hansard/145182.html&gt;.</w:t>
      </w:r>
    </w:p>
  </w:footnote>
  <w:footnote w:id="38">
    <w:p w14:paraId="375913BA"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xml:space="preserve">, Report 84 (1997) 324 [20.111]; 323 [20.106]; see also </w:t>
      </w:r>
      <w:r w:rsidRPr="008F194B">
        <w:rPr>
          <w:i/>
        </w:rPr>
        <w:t>Juvenile Justice Act 1992</w:t>
      </w:r>
      <w:r w:rsidRPr="008F194B">
        <w:t xml:space="preserve"> (Qld) s 211.</w:t>
      </w:r>
    </w:p>
  </w:footnote>
  <w:footnote w:id="39">
    <w:p w14:paraId="2DEB65A3" w14:textId="77777777" w:rsidR="004476E1" w:rsidRPr="008F194B" w:rsidRDefault="004476E1" w:rsidP="00742832">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324 [20.112].</w:t>
      </w:r>
    </w:p>
  </w:footnote>
  <w:footnote w:id="40">
    <w:p w14:paraId="6F5694A5"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324 [20.112].</w:t>
      </w:r>
    </w:p>
  </w:footnote>
  <w:footnote w:id="41">
    <w:p w14:paraId="7CD4F2FF" w14:textId="4A83B03E"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Ms Anne Warner (Minister for Family Services and Minister</w:t>
      </w:r>
      <w:r w:rsidR="00C12B78" w:rsidRPr="008F194B">
        <w:t xml:space="preserve"> for</w:t>
      </w:r>
      <w:r w:rsidRPr="008F194B">
        <w:t xml:space="preserve"> Aboriginal and Islander Affairs) 5 August 1992, Queensland Legislative Assembly, </w:t>
      </w:r>
      <w:hyperlink r:id="rId5" w:history="1">
        <w:r w:rsidRPr="008F194B">
          <w:rPr>
            <w:rStyle w:val="Hyperlink"/>
          </w:rPr>
          <w:t>https://www.parliament.qld.gov.au/documents/hansard/1992/920805ha.pdf</w:t>
        </w:r>
      </w:hyperlink>
      <w:r w:rsidRPr="008F194B">
        <w:t xml:space="preserve">, p 6130. </w:t>
      </w:r>
    </w:p>
  </w:footnote>
  <w:footnote w:id="42">
    <w:p w14:paraId="13BFA231" w14:textId="1A025415" w:rsidR="004476E1" w:rsidRPr="008F194B" w:rsidRDefault="004476E1" w:rsidP="00742832">
      <w:pPr>
        <w:pStyle w:val="FootnoteText"/>
        <w:ind w:left="180" w:hanging="180"/>
      </w:pPr>
      <w:r w:rsidRPr="008F194B">
        <w:rPr>
          <w:rStyle w:val="FootnoteReference"/>
        </w:rPr>
        <w:footnoteRef/>
      </w:r>
      <w:r w:rsidRPr="008F194B">
        <w:t xml:space="preserve"> </w:t>
      </w:r>
      <w:r w:rsidRPr="008F194B">
        <w:tab/>
      </w:r>
      <w:r w:rsidR="00C12B78" w:rsidRPr="008F194B">
        <w:t xml:space="preserve">See generally </w:t>
      </w:r>
      <w:r w:rsidR="000578D8" w:rsidRPr="008F194B">
        <w:t xml:space="preserve">Australian Institute of Criminology, </w:t>
      </w:r>
      <w:r w:rsidR="000578D8" w:rsidRPr="008F194B">
        <w:rPr>
          <w:i/>
        </w:rPr>
        <w:t xml:space="preserve">Trends in juvenile detention in </w:t>
      </w:r>
      <w:r w:rsidR="000578D8" w:rsidRPr="008F194B">
        <w:t xml:space="preserve">Australia (May 2011), </w:t>
      </w:r>
      <w:hyperlink r:id="rId6" w:history="1">
        <w:r w:rsidR="000578D8" w:rsidRPr="008F194B">
          <w:rPr>
            <w:rStyle w:val="Hyperlink"/>
          </w:rPr>
          <w:t>http://www.aic.gov.au/publications/current%20series/tandi/401-420/tandi416.html</w:t>
        </w:r>
      </w:hyperlink>
      <w:r w:rsidR="000578D8" w:rsidRPr="008F194B">
        <w:t xml:space="preserve">; </w:t>
      </w:r>
      <w:r w:rsidR="00C12B78" w:rsidRPr="008F194B">
        <w:t>the q</w:t>
      </w:r>
      <w:r w:rsidR="007757BE" w:rsidRPr="008F194B">
        <w:t>uot</w:t>
      </w:r>
      <w:r w:rsidR="00C12B78" w:rsidRPr="008F194B">
        <w:t>ation</w:t>
      </w:r>
      <w:r w:rsidR="007757BE" w:rsidRPr="008F194B">
        <w:t xml:space="preserve"> is from </w:t>
      </w:r>
      <w:r w:rsidRPr="008F194B">
        <w:t xml:space="preserve">Youth Affairs Network Queensland, </w:t>
      </w:r>
      <w:r w:rsidRPr="008F194B">
        <w:rPr>
          <w:i/>
        </w:rPr>
        <w:t>Children Don’t Belong in Adult Prisons</w:t>
      </w:r>
      <w:r w:rsidRPr="008F194B">
        <w:t xml:space="preserve"> (Campaign Kit, July 2012) &lt;http://www.childprotectioninquiry.qld.gov.au/__data/assets/pdf_file/0010/171865/YANQ-2.pdf&gt;, slide 7. </w:t>
      </w:r>
    </w:p>
  </w:footnote>
  <w:footnote w:id="43">
    <w:p w14:paraId="107B105C"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Jamie </w:t>
      </w:r>
      <w:proofErr w:type="spellStart"/>
      <w:r w:rsidRPr="008F194B">
        <w:t>McKinnell</w:t>
      </w:r>
      <w:proofErr w:type="spellEnd"/>
      <w:r w:rsidRPr="008F194B">
        <w:t xml:space="preserve">, ‘Queensland to remove 17-year olds from adult jail’, </w:t>
      </w:r>
      <w:r w:rsidRPr="008F194B">
        <w:rPr>
          <w:i/>
        </w:rPr>
        <w:t>The Australian</w:t>
      </w:r>
      <w:r w:rsidRPr="008F194B">
        <w:t xml:space="preserve"> (online) (7 September 2016) &lt;http://www.theaustralian.com.au/national-affairs/state-politics/queensland-to-remove-17yearold-from-adult-prisons/news-story/f71a58cc5d52a44241f7ada12a9f6653&gt;.</w:t>
      </w:r>
    </w:p>
  </w:footnote>
  <w:footnote w:id="44">
    <w:p w14:paraId="5C2F464D"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See, </w:t>
      </w:r>
      <w:proofErr w:type="spellStart"/>
      <w:r w:rsidRPr="008F194B">
        <w:t>eg</w:t>
      </w:r>
      <w:proofErr w:type="spellEnd"/>
      <w:r w:rsidRPr="008F194B">
        <w:t xml:space="preserve">, </w:t>
      </w:r>
      <w:r w:rsidRPr="008F194B">
        <w:rPr>
          <w:i/>
        </w:rPr>
        <w:t>Children, Youth and Families Act 2005</w:t>
      </w:r>
      <w:r w:rsidRPr="008F194B">
        <w:t xml:space="preserve"> (Vic) </w:t>
      </w:r>
      <w:proofErr w:type="spellStart"/>
      <w:r w:rsidRPr="008F194B">
        <w:t>ss</w:t>
      </w:r>
      <w:proofErr w:type="spellEnd"/>
      <w:r w:rsidRPr="008F194B">
        <w:t xml:space="preserve"> 360–2 and Part 5.3 generally; </w:t>
      </w:r>
      <w:r w:rsidRPr="008F194B">
        <w:rPr>
          <w:i/>
        </w:rPr>
        <w:t>Young Offenders Act 1997 (No 54)</w:t>
      </w:r>
      <w:r w:rsidRPr="008F194B">
        <w:t xml:space="preserve"> s 7(a); </w:t>
      </w:r>
      <w:r w:rsidRPr="008F194B">
        <w:rPr>
          <w:i/>
        </w:rPr>
        <w:t>Youth Justice Act 1992</w:t>
      </w:r>
      <w:r w:rsidRPr="008F194B">
        <w:t xml:space="preserve"> (Qld) Schedule 1(5); </w:t>
      </w:r>
      <w:r w:rsidRPr="008F194B">
        <w:rPr>
          <w:i/>
        </w:rPr>
        <w:t>Young Offenders Act 1994</w:t>
      </w:r>
      <w:r w:rsidRPr="008F194B">
        <w:t xml:space="preserve"> (WA) s 7(h); </w:t>
      </w:r>
      <w:r w:rsidRPr="008F194B">
        <w:rPr>
          <w:i/>
        </w:rPr>
        <w:t>Youth Justice Act 1997</w:t>
      </w:r>
      <w:r w:rsidRPr="008F194B">
        <w:t xml:space="preserve"> (</w:t>
      </w:r>
      <w:proofErr w:type="spellStart"/>
      <w:r w:rsidRPr="008F194B">
        <w:t>Tas</w:t>
      </w:r>
      <w:proofErr w:type="spellEnd"/>
      <w:r w:rsidRPr="008F194B">
        <w:t xml:space="preserve">) s 5(1)(g); </w:t>
      </w:r>
      <w:r w:rsidRPr="008F194B">
        <w:rPr>
          <w:i/>
        </w:rPr>
        <w:t>Children and Young People Act 2008</w:t>
      </w:r>
      <w:r w:rsidRPr="008F194B">
        <w:t xml:space="preserve"> (ACT) s 94(1)(f); </w:t>
      </w:r>
      <w:r w:rsidRPr="008F194B">
        <w:rPr>
          <w:i/>
        </w:rPr>
        <w:t>Youth Justice Act 2005 (No 32)</w:t>
      </w:r>
      <w:r w:rsidRPr="008F194B">
        <w:t xml:space="preserve"> (NT) s 4(c).</w:t>
      </w:r>
    </w:p>
  </w:footnote>
  <w:footnote w:id="45">
    <w:p w14:paraId="1CA8F09C"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r>
      <w:r w:rsidRPr="008F194B">
        <w:rPr>
          <w:i/>
        </w:rPr>
        <w:t>Youth Justice Act 1997</w:t>
      </w:r>
      <w:r w:rsidRPr="008F194B">
        <w:t xml:space="preserve"> (</w:t>
      </w:r>
      <w:proofErr w:type="spellStart"/>
      <w:r w:rsidRPr="008F194B">
        <w:t>Tas</w:t>
      </w:r>
      <w:proofErr w:type="spellEnd"/>
      <w:r w:rsidRPr="008F194B">
        <w:t>) s 5(1)(g).</w:t>
      </w:r>
    </w:p>
  </w:footnote>
  <w:footnote w:id="46">
    <w:p w14:paraId="4CDD4B0E" w14:textId="20DCF835" w:rsidR="004476E1" w:rsidRPr="008F194B" w:rsidRDefault="004476E1">
      <w:pPr>
        <w:pStyle w:val="FootnoteText"/>
      </w:pPr>
      <w:r w:rsidRPr="008F194B">
        <w:rPr>
          <w:rStyle w:val="FootnoteReference"/>
        </w:rPr>
        <w:footnoteRef/>
      </w:r>
      <w:r w:rsidRPr="008F194B">
        <w:t xml:space="preserve"> See, </w:t>
      </w:r>
      <w:proofErr w:type="spellStart"/>
      <w:r w:rsidRPr="008F194B">
        <w:t>eg</w:t>
      </w:r>
      <w:proofErr w:type="spellEnd"/>
      <w:r w:rsidRPr="008F194B">
        <w:t xml:space="preserve">, </w:t>
      </w:r>
      <w:r w:rsidRPr="008F194B">
        <w:rPr>
          <w:i/>
        </w:rPr>
        <w:t>Children (Detention Centres) Act 1987</w:t>
      </w:r>
      <w:r w:rsidRPr="008F194B">
        <w:t xml:space="preserve"> (NSW), s 22; </w:t>
      </w:r>
      <w:r w:rsidRPr="008F194B">
        <w:rPr>
          <w:i/>
        </w:rPr>
        <w:t>Youth Justice Act 2005</w:t>
      </w:r>
      <w:r w:rsidRPr="008F194B">
        <w:t xml:space="preserve"> (NT), s 153; </w:t>
      </w:r>
      <w:r w:rsidRPr="008F194B">
        <w:rPr>
          <w:i/>
        </w:rPr>
        <w:t>Children, Youth and Families Act 2005</w:t>
      </w:r>
      <w:r w:rsidRPr="008F194B">
        <w:t xml:space="preserve"> (Vic), s 487.</w:t>
      </w:r>
    </w:p>
  </w:footnote>
  <w:footnote w:id="47">
    <w:p w14:paraId="25C7F745" w14:textId="79C15680" w:rsidR="004476E1" w:rsidRPr="008F194B" w:rsidRDefault="004476E1">
      <w:pPr>
        <w:pStyle w:val="FootnoteText"/>
      </w:pPr>
      <w:r w:rsidRPr="008F194B">
        <w:rPr>
          <w:rStyle w:val="FootnoteReference"/>
        </w:rPr>
        <w:footnoteRef/>
      </w:r>
      <w:r w:rsidRPr="008F194B">
        <w:t xml:space="preserve"> See, </w:t>
      </w:r>
      <w:proofErr w:type="spellStart"/>
      <w:r w:rsidRPr="008F194B">
        <w:t>eg</w:t>
      </w:r>
      <w:proofErr w:type="spellEnd"/>
      <w:r w:rsidRPr="008F194B">
        <w:t xml:space="preserve">, </w:t>
      </w:r>
      <w:r w:rsidRPr="008F194B">
        <w:rPr>
          <w:i/>
        </w:rPr>
        <w:t>Youth Justice Act 2005</w:t>
      </w:r>
      <w:r w:rsidRPr="008F194B">
        <w:t xml:space="preserve"> (NT), s 153(5); </w:t>
      </w:r>
      <w:r w:rsidRPr="008F194B">
        <w:rPr>
          <w:i/>
        </w:rPr>
        <w:t>Children, Youth and Families Act 2005</w:t>
      </w:r>
      <w:r w:rsidRPr="008F194B">
        <w:t xml:space="preserve"> (Vic), s 488(2).</w:t>
      </w:r>
    </w:p>
  </w:footnote>
  <w:footnote w:id="48">
    <w:p w14:paraId="51B2B9DB" w14:textId="68160E05" w:rsidR="004476E1" w:rsidRPr="008F194B" w:rsidRDefault="004476E1">
      <w:pPr>
        <w:pStyle w:val="FootnoteText"/>
      </w:pPr>
      <w:r w:rsidRPr="008F194B">
        <w:rPr>
          <w:rStyle w:val="FootnoteReference"/>
        </w:rPr>
        <w:footnoteRef/>
      </w:r>
      <w:r w:rsidRPr="008F194B">
        <w:t xml:space="preserve"> </w:t>
      </w:r>
      <w:r w:rsidRPr="008F194B">
        <w:rPr>
          <w:i/>
        </w:rPr>
        <w:t>Children, Youth and Families Act 2005</w:t>
      </w:r>
      <w:r w:rsidRPr="008F194B">
        <w:t xml:space="preserve"> (Vic), s 488(5).</w:t>
      </w:r>
    </w:p>
  </w:footnote>
  <w:footnote w:id="49">
    <w:p w14:paraId="05427F65" w14:textId="6D6F2F51" w:rsidR="004476E1" w:rsidRPr="008F194B" w:rsidRDefault="004476E1">
      <w:pPr>
        <w:pStyle w:val="FootnoteText"/>
      </w:pPr>
      <w:r w:rsidRPr="008F194B">
        <w:rPr>
          <w:rStyle w:val="FootnoteReference"/>
        </w:rPr>
        <w:footnoteRef/>
      </w:r>
      <w:r w:rsidRPr="008F194B">
        <w:t xml:space="preserve"> </w:t>
      </w:r>
      <w:r w:rsidRPr="008F194B">
        <w:rPr>
          <w:i/>
        </w:rPr>
        <w:t>Youth Justice Act 2005</w:t>
      </w:r>
      <w:r w:rsidRPr="008F194B">
        <w:t xml:space="preserve"> (NT), s 153(5); Corrective Services Act 2006 (Qld) s 121(2).</w:t>
      </w:r>
    </w:p>
  </w:footnote>
  <w:footnote w:id="50">
    <w:p w14:paraId="65C7A02F" w14:textId="1ED47A20" w:rsidR="004476E1" w:rsidRPr="008F194B" w:rsidRDefault="004476E1">
      <w:pPr>
        <w:pStyle w:val="FootnoteText"/>
      </w:pPr>
      <w:r w:rsidRPr="008F194B">
        <w:rPr>
          <w:rStyle w:val="FootnoteReference"/>
        </w:rPr>
        <w:footnoteRef/>
      </w:r>
      <w:r w:rsidRPr="008F194B">
        <w:t xml:space="preserve"> See, </w:t>
      </w:r>
      <w:proofErr w:type="spellStart"/>
      <w:r w:rsidRPr="008F194B">
        <w:t>eg</w:t>
      </w:r>
      <w:proofErr w:type="spellEnd"/>
      <w:r w:rsidRPr="008F194B">
        <w:t xml:space="preserve">, </w:t>
      </w:r>
      <w:r w:rsidRPr="008F194B">
        <w:rPr>
          <w:i/>
        </w:rPr>
        <w:t>Children, Youth and Families Act 2005</w:t>
      </w:r>
      <w:r w:rsidRPr="008F194B">
        <w:t xml:space="preserve"> (Vic), s 488; see also http://hrlc.org.au/the-legality-of-solitary-confinement-and-the-direction-australian-policy-should-take/.</w:t>
      </w:r>
    </w:p>
  </w:footnote>
  <w:footnote w:id="51">
    <w:p w14:paraId="478040CF" w14:textId="2EB1B857" w:rsidR="004476E1" w:rsidRPr="008F194B" w:rsidRDefault="004476E1">
      <w:pPr>
        <w:pStyle w:val="FootnoteText"/>
      </w:pPr>
      <w:r w:rsidRPr="008F194B">
        <w:rPr>
          <w:rStyle w:val="FootnoteReference"/>
        </w:rPr>
        <w:footnoteRef/>
      </w:r>
      <w:r w:rsidRPr="008F194B">
        <w:t xml:space="preserve"> See the commentary by Professor Russell Hogg on the law and order rhetoric that continues unabated despite reductions or stability in crime rates: Russell Hogg, ‘Mandatory Sentencing Laws and the Symbolic Politics of Law and Order’ (1999) 22(1) </w:t>
      </w:r>
      <w:r w:rsidRPr="008F194B">
        <w:rPr>
          <w:i/>
        </w:rPr>
        <w:t>University of New South Wales Law Journal</w:t>
      </w:r>
      <w:r w:rsidRPr="008F194B">
        <w:t xml:space="preserve"> 262, 265.</w:t>
      </w:r>
    </w:p>
  </w:footnote>
  <w:footnote w:id="52">
    <w:p w14:paraId="65335429" w14:textId="77777777" w:rsidR="004476E1" w:rsidRPr="008F194B" w:rsidRDefault="004476E1" w:rsidP="00246E9D">
      <w:pPr>
        <w:pStyle w:val="FootnoteText"/>
        <w:ind w:left="180" w:hanging="180"/>
      </w:pPr>
      <w:r w:rsidRPr="008F194B">
        <w:rPr>
          <w:rStyle w:val="FootnoteReference"/>
        </w:rPr>
        <w:footnoteRef/>
      </w:r>
      <w:r w:rsidRPr="008F194B">
        <w:t xml:space="preserve"> </w:t>
      </w:r>
      <w:r w:rsidRPr="008F194B">
        <w:tab/>
        <w:t xml:space="preserve">Australian Law Reform Commission, </w:t>
      </w:r>
      <w:r w:rsidRPr="008F194B">
        <w:rPr>
          <w:i/>
        </w:rPr>
        <w:t>Seen and Heard: Priority for Children in the Legal Process</w:t>
      </w:r>
      <w:r w:rsidRPr="008F194B">
        <w:t>, Report 84 (1997) 283 [19.6].</w:t>
      </w:r>
    </w:p>
  </w:footnote>
  <w:footnote w:id="53">
    <w:p w14:paraId="7D309C6E" w14:textId="77777777" w:rsidR="004476E1" w:rsidRPr="008F194B" w:rsidRDefault="004476E1" w:rsidP="00246E9D">
      <w:pPr>
        <w:pStyle w:val="FootnoteText"/>
        <w:ind w:left="180" w:hanging="180"/>
        <w:rPr>
          <w:rFonts w:cs="Tahoma"/>
        </w:rPr>
      </w:pPr>
      <w:r w:rsidRPr="008F194B">
        <w:rPr>
          <w:rStyle w:val="FootnoteReference"/>
        </w:rPr>
        <w:footnoteRef/>
      </w:r>
      <w:r w:rsidRPr="008F194B">
        <w:t xml:space="preserve"> </w:t>
      </w:r>
      <w:r w:rsidRPr="008F194B">
        <w:rPr>
          <w:rFonts w:cs="Tahoma"/>
        </w:rPr>
        <w:t>For example, police cautions or warnings (which could be issued instead of pursuing charges against a child) were given at a far lower proportion for Indigenous children than for non-Indigenous children.</w:t>
      </w:r>
      <w:r w:rsidRPr="008F194B">
        <w:rPr>
          <w:rStyle w:val="FootnoteReference"/>
          <w:rFonts w:cs="Tahoma"/>
        </w:rPr>
        <w:footnoteRef/>
      </w:r>
      <w:r w:rsidRPr="008F194B">
        <w:rPr>
          <w:rFonts w:cs="Tahoma"/>
        </w:rPr>
        <w:t xml:space="preserve">  When formally processed by police, the chance that an Indigenous child would be arrested rather than summonsed was higher than it was for a non-Indigenous child.</w:t>
      </w:r>
    </w:p>
    <w:p w14:paraId="680BDF0E" w14:textId="793C61D8" w:rsidR="004476E1" w:rsidRPr="008F194B" w:rsidRDefault="004476E1" w:rsidP="008F194B">
      <w:pPr>
        <w:pStyle w:val="FootnoteText"/>
        <w:ind w:left="180"/>
      </w:pPr>
      <w:r w:rsidRPr="008F194B">
        <w:rPr>
          <w:rFonts w:cs="Tahoma"/>
        </w:rPr>
        <w:t xml:space="preserve">Australian Law Reform Commission, </w:t>
      </w:r>
      <w:r w:rsidRPr="008F194B">
        <w:rPr>
          <w:rFonts w:cs="Tahoma"/>
          <w:i/>
        </w:rPr>
        <w:t xml:space="preserve">Seen and Heard: Priority for Children in the Legal Process, </w:t>
      </w:r>
      <w:r w:rsidRPr="008F194B">
        <w:rPr>
          <w:rFonts w:cs="Tahoma"/>
        </w:rPr>
        <w:t>Report 84 (1997) 28 [2.82]</w:t>
      </w:r>
      <w:r w:rsidR="00C12B78" w:rsidRPr="008F194B">
        <w:rPr>
          <w:rFonts w:cs="Tahoma"/>
        </w:rPr>
        <w:t xml:space="preserve"> and [2.85]</w:t>
      </w:r>
      <w:r w:rsidRPr="008F194B">
        <w:rPr>
          <w:rFonts w:cs="Tahoma"/>
        </w:rPr>
        <w:t xml:space="preserve">; see also Chris </w:t>
      </w:r>
      <w:proofErr w:type="spellStart"/>
      <w:r w:rsidRPr="008F194B">
        <w:rPr>
          <w:rFonts w:cs="Tahoma"/>
        </w:rPr>
        <w:t>Cunneen</w:t>
      </w:r>
      <w:proofErr w:type="spellEnd"/>
      <w:r w:rsidRPr="008F194B">
        <w:rPr>
          <w:rFonts w:cs="Tahoma"/>
        </w:rPr>
        <w:t xml:space="preserve">, ‘Changing The Neo-Colonial Impacts of Juvenile Justice’ (2008) 20(1) </w:t>
      </w:r>
      <w:r w:rsidRPr="008F194B">
        <w:rPr>
          <w:rFonts w:cs="Tahoma"/>
          <w:i/>
        </w:rPr>
        <w:t xml:space="preserve">Current Issues in Criminal Justice </w:t>
      </w:r>
      <w:r w:rsidRPr="008F194B">
        <w:rPr>
          <w:rFonts w:cs="Tahoma"/>
        </w:rPr>
        <w:t>page no.</w:t>
      </w:r>
    </w:p>
  </w:footnote>
  <w:footnote w:id="54">
    <w:p w14:paraId="2A78FEB1" w14:textId="77777777" w:rsidR="004476E1" w:rsidRPr="008F194B" w:rsidRDefault="004476E1" w:rsidP="00246E9D">
      <w:pPr>
        <w:pStyle w:val="FootnoteText"/>
        <w:ind w:left="180" w:hanging="180"/>
      </w:pPr>
      <w:r w:rsidRPr="008F194B">
        <w:rPr>
          <w:rStyle w:val="FootnoteReference"/>
        </w:rPr>
        <w:footnoteRef/>
      </w:r>
      <w:r w:rsidRPr="008F194B">
        <w:t xml:space="preserve"> </w:t>
      </w:r>
      <w:r w:rsidRPr="008F194B">
        <w:tab/>
        <w:t xml:space="preserve">Marie </w:t>
      </w:r>
      <w:proofErr w:type="spellStart"/>
      <w:r w:rsidRPr="008F194B">
        <w:t>Sansom</w:t>
      </w:r>
      <w:proofErr w:type="spellEnd"/>
      <w:r w:rsidRPr="008F194B">
        <w:t xml:space="preserve">, ‘Detaining Aboriginal Youth: Child Protection to Prison’ </w:t>
      </w:r>
      <w:proofErr w:type="spellStart"/>
      <w:r w:rsidRPr="008F194B">
        <w:rPr>
          <w:i/>
        </w:rPr>
        <w:t>GovernmentNews</w:t>
      </w:r>
      <w:proofErr w:type="spellEnd"/>
      <w:r w:rsidRPr="008F194B">
        <w:t xml:space="preserve"> (online), 10 December 2014, &lt;http://www.governmentnews.com.au/2014/12/detainingaboriginalyouthchildprotectionprison/&gt;.  AIHW gives the figure as 54% at Australian Institute of Health and Welfare, </w:t>
      </w:r>
      <w:r w:rsidRPr="008F194B">
        <w:rPr>
          <w:i/>
        </w:rPr>
        <w:t xml:space="preserve">Youth Detention Population in Australia 2015 </w:t>
      </w:r>
      <w:r w:rsidRPr="008F194B">
        <w:t>(23 November 2015) 9, accessed at &lt;http://www.aihw.gov.au/WorkArea/DownloadAsset.aspx?id=60129553698&gt;.</w:t>
      </w:r>
    </w:p>
  </w:footnote>
  <w:footnote w:id="55">
    <w:p w14:paraId="7ECFA7A3" w14:textId="4BAA221D" w:rsidR="004476E1" w:rsidRPr="008F194B" w:rsidRDefault="004476E1" w:rsidP="00246E9D">
      <w:pPr>
        <w:pStyle w:val="FootnoteText"/>
        <w:ind w:left="180" w:hanging="180"/>
      </w:pPr>
      <w:r w:rsidRPr="008F194B">
        <w:rPr>
          <w:rStyle w:val="FootnoteReference"/>
        </w:rPr>
        <w:footnoteRef/>
      </w:r>
      <w:r w:rsidRPr="008F194B">
        <w:t xml:space="preserve"> Table 26 of the Northern Territory Department of Correctional Services Annual Statistics 2014-5 gives figures showing about 93% of detainees being Indigenous.  Note, widely reported as 97% in the following:</w:t>
      </w:r>
      <w:r w:rsidR="00C12B78" w:rsidRPr="008F194B">
        <w:t xml:space="preserve"> </w:t>
      </w:r>
      <w:r w:rsidRPr="008F194B">
        <w:t xml:space="preserve">Helen Davidson, ‘Pat Dodson: Indigenous Incarceration Rate ‘Shameful’ Due To Failure To Address Poverty’, </w:t>
      </w:r>
      <w:r w:rsidRPr="008F194B">
        <w:rPr>
          <w:i/>
        </w:rPr>
        <w:t>The Guardian</w:t>
      </w:r>
      <w:r w:rsidRPr="008F194B">
        <w:t xml:space="preserve"> (online) 26 May 2016, &lt; </w:t>
      </w:r>
      <w:hyperlink r:id="rId7" w:history="1">
        <w:r w:rsidRPr="008F194B">
          <w:rPr>
            <w:rStyle w:val="Hyperlink"/>
          </w:rPr>
          <w:t>http://www.theguardian.com/australia-news/2016/may/26/patdodsonindigenousincarcerationrateshamefulduetofailuretoaddresspoverty</w:t>
        </w:r>
      </w:hyperlink>
      <w:r w:rsidRPr="008F194B">
        <w:t xml:space="preserve">&gt;.  See also, </w:t>
      </w:r>
      <w:hyperlink r:id="rId8" w:history="1">
        <w:r w:rsidRPr="008F194B">
          <w:rPr>
            <w:rStyle w:val="Hyperlink"/>
          </w:rPr>
          <w:t>https://www.nt.gov.au/__data/assets/pdf_file/0004/238198/Review-of-the-Northern-Territory-Youth-Detention-System-January-2015.pdf</w:t>
        </w:r>
      </w:hyperlink>
      <w:r w:rsidRPr="008F194B">
        <w:t xml:space="preserve"> (page 8); https://theconversation.com/why-are-so-many-indigenous-kids-in-detention-in-the-nt-in-the-first-place-63257</w:t>
      </w:r>
    </w:p>
  </w:footnote>
  <w:footnote w:id="56">
    <w:p w14:paraId="7BFB3403"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Helen Davidson, ‘Pat Dodson: Indigenous Incarceration Rate ‘Shameful’ Due To Failure To Address Poverty’, </w:t>
      </w:r>
      <w:r w:rsidRPr="008F194B">
        <w:rPr>
          <w:i/>
        </w:rPr>
        <w:t>The Guardian</w:t>
      </w:r>
      <w:r w:rsidRPr="008F194B">
        <w:t xml:space="preserve"> (online) 26 May 2016, &lt; http://www.theguardian.com/australia-news/2016/may/26/patdodsonindigenousincarcerationrateshamefulduetofailuretoaddresspoverty&gt;.</w:t>
      </w:r>
    </w:p>
  </w:footnote>
  <w:footnote w:id="57">
    <w:p w14:paraId="6F073FE9" w14:textId="77777777" w:rsidR="004476E1" w:rsidRPr="008F194B" w:rsidRDefault="004476E1" w:rsidP="00F94DED">
      <w:pPr>
        <w:pStyle w:val="FootnoteText"/>
        <w:ind w:left="180" w:hanging="180"/>
      </w:pPr>
      <w:r w:rsidRPr="008F194B">
        <w:rPr>
          <w:rStyle w:val="FootnoteReference"/>
        </w:rPr>
        <w:footnoteRef/>
      </w:r>
      <w:r w:rsidRPr="008F194B">
        <w:t xml:space="preserve"> </w:t>
      </w:r>
      <w:r w:rsidRPr="008F194B">
        <w:tab/>
        <w:t xml:space="preserve">Helen Davidson, ‘Pat Dodson: Indigenous Incarceration Rate ‘Shameful’ Due To Failure To Address Poverty’, </w:t>
      </w:r>
      <w:r w:rsidRPr="008F194B">
        <w:rPr>
          <w:i/>
        </w:rPr>
        <w:t>The Guardian</w:t>
      </w:r>
      <w:r w:rsidRPr="008F194B">
        <w:t xml:space="preserve"> (online) 26 May 2016, &lt; http://www.theguardian.com/australia-news/2016/may/26/patdodsonindigenousincarcerationrateshamefulduetofailuretoaddresspoverty&gt;.</w:t>
      </w:r>
    </w:p>
  </w:footnote>
  <w:footnote w:id="58">
    <w:p w14:paraId="7BB2FF09" w14:textId="1C8294C8" w:rsidR="004476E1" w:rsidRPr="008F194B" w:rsidRDefault="004476E1">
      <w:pPr>
        <w:pStyle w:val="FootnoteText"/>
      </w:pPr>
      <w:r w:rsidRPr="008F194B">
        <w:rPr>
          <w:rStyle w:val="FootnoteReference"/>
        </w:rPr>
        <w:footnoteRef/>
      </w:r>
      <w:r w:rsidRPr="008F194B">
        <w:t xml:space="preserve"> </w:t>
      </w:r>
      <w:r w:rsidR="00591C09" w:rsidRPr="008F194B">
        <w:t>Nigel Scullion (Minister for Indigenous Affairs), ‘NT youth justice system’ (media release) 26 July 2016, &lt;</w:t>
      </w:r>
      <w:r w:rsidRPr="008F194B">
        <w:t>https://ministers.dpmc.gov.au/scullion/2016/nt-youth-justice-system</w:t>
      </w:r>
      <w:r w:rsidR="00591C09" w:rsidRPr="008F194B">
        <w:t>&gt;.</w:t>
      </w:r>
    </w:p>
  </w:footnote>
  <w:footnote w:id="59">
    <w:p w14:paraId="523D3575" w14:textId="58927321" w:rsidR="004476E1" w:rsidRPr="008F194B" w:rsidRDefault="004476E1">
      <w:pPr>
        <w:pStyle w:val="FootnoteText"/>
      </w:pPr>
      <w:r w:rsidRPr="008F194B">
        <w:rPr>
          <w:rStyle w:val="FootnoteReference"/>
        </w:rPr>
        <w:footnoteRef/>
      </w:r>
      <w:r w:rsidRPr="008F194B">
        <w:t xml:space="preserve"> </w:t>
      </w:r>
      <w:r w:rsidR="00591C09" w:rsidRPr="008F194B">
        <w:t xml:space="preserve">Scott Ludlum and Chiara Lawry ‘Closing the Justice Gap for Indigenous Australians’ [2010] </w:t>
      </w:r>
      <w:r w:rsidR="00591C09" w:rsidRPr="008F194B">
        <w:rPr>
          <w:i/>
        </w:rPr>
        <w:t xml:space="preserve">Indigenous Law Bulletin </w:t>
      </w:r>
      <w:r w:rsidR="00591C09" w:rsidRPr="008F194B">
        <w:t>11 &lt;</w:t>
      </w:r>
      <w:hyperlink r:id="rId9" w:history="1">
        <w:r w:rsidRPr="008F194B">
          <w:rPr>
            <w:rStyle w:val="Hyperlink"/>
          </w:rPr>
          <w:t>http://www.austlii.edu.au/au/journals/Indig</w:t>
        </w:r>
        <w:r w:rsidRPr="008F194B">
          <w:rPr>
            <w:rStyle w:val="Hyperlink"/>
          </w:rPr>
          <w:t>L</w:t>
        </w:r>
        <w:r w:rsidRPr="008F194B">
          <w:rPr>
            <w:rStyle w:val="Hyperlink"/>
          </w:rPr>
          <w:t>awB/2010/11.html</w:t>
        </w:r>
      </w:hyperlink>
      <w:r w:rsidR="00591C09" w:rsidRPr="008F194B">
        <w:rPr>
          <w:rStyle w:val="Hyperlink"/>
        </w:rPr>
        <w:t>&gt;</w:t>
      </w:r>
      <w:r w:rsidRPr="008F194B">
        <w:t xml:space="preserve">; </w:t>
      </w:r>
      <w:r w:rsidR="00591C09" w:rsidRPr="008F194B">
        <w:t xml:space="preserve">Chris </w:t>
      </w:r>
      <w:proofErr w:type="spellStart"/>
      <w:r w:rsidR="00591C09" w:rsidRPr="008F194B">
        <w:t>Cunneen</w:t>
      </w:r>
      <w:proofErr w:type="spellEnd"/>
      <w:r w:rsidR="00591C09" w:rsidRPr="008F194B">
        <w:t>, Fiona Allison and Melanie Schwartz, ‘Access to justice for Aboriginal People in the Northern Territory’</w:t>
      </w:r>
      <w:r w:rsidR="00634C48" w:rsidRPr="008F194B">
        <w:t xml:space="preserve"> (2014) 49(2) </w:t>
      </w:r>
      <w:r w:rsidR="00634C48" w:rsidRPr="008F194B">
        <w:rPr>
          <w:i/>
        </w:rPr>
        <w:t xml:space="preserve">Australian Journal of Social Issues </w:t>
      </w:r>
      <w:r w:rsidR="00634C48" w:rsidRPr="008F194B">
        <w:t>219 &lt;</w:t>
      </w:r>
      <w:r w:rsidRPr="008F194B">
        <w:t>https://www.jcu.edu.au/__data/assets/pdf_file/0008/119942/jcu_141209.pdf</w:t>
      </w:r>
      <w:r w:rsidR="00634C48" w:rsidRPr="008F194B">
        <w:t>&gt;.</w:t>
      </w:r>
    </w:p>
  </w:footnote>
  <w:footnote w:id="60">
    <w:p w14:paraId="401B0B26" w14:textId="6264438B" w:rsidR="004476E1" w:rsidRPr="008F194B" w:rsidRDefault="004476E1">
      <w:pPr>
        <w:pStyle w:val="FootnoteText"/>
      </w:pPr>
      <w:r w:rsidRPr="008F194B">
        <w:rPr>
          <w:rStyle w:val="FootnoteReference"/>
        </w:rPr>
        <w:footnoteRef/>
      </w:r>
      <w:r w:rsidRPr="008F194B">
        <w:t xml:space="preserve"> Unpublished paper, Chambers, A., “Children’s Rights in Australia”, Victoria University 2015 Chancellor’s Lecture p 23.</w:t>
      </w:r>
    </w:p>
  </w:footnote>
  <w:footnote w:id="61">
    <w:p w14:paraId="131329F2" w14:textId="72815C1B" w:rsidR="004476E1" w:rsidRPr="008F194B" w:rsidRDefault="004476E1">
      <w:pPr>
        <w:pStyle w:val="FootnoteText"/>
      </w:pPr>
      <w:r w:rsidRPr="008F194B">
        <w:rPr>
          <w:rStyle w:val="FootnoteReference"/>
        </w:rPr>
        <w:footnoteRef/>
      </w:r>
      <w:r w:rsidRPr="008F194B">
        <w:t xml:space="preserve"> Royal Commission into Aboriginal Deaths in Custody (1987–91)</w:t>
      </w:r>
    </w:p>
  </w:footnote>
  <w:footnote w:id="62">
    <w:p w14:paraId="25223204" w14:textId="055794DB" w:rsidR="004476E1" w:rsidRPr="008F194B" w:rsidRDefault="004476E1">
      <w:pPr>
        <w:pStyle w:val="FootnoteText"/>
      </w:pPr>
      <w:r w:rsidRPr="008F194B">
        <w:rPr>
          <w:rStyle w:val="FootnoteReference"/>
        </w:rPr>
        <w:footnoteRef/>
      </w:r>
      <w:r w:rsidRPr="008F194B">
        <w:t xml:space="preserve"> </w:t>
      </w:r>
      <w:r w:rsidR="00634C48" w:rsidRPr="00D3127B">
        <w:t>Unpublished paper, Chambers, A., “Children’s Rights in Australia”, Victoria University 2015 Chancellor’s Lecture p 2</w:t>
      </w:r>
      <w:r w:rsidR="00634C48">
        <w:t>4</w:t>
      </w:r>
      <w:r w:rsidRPr="008F194B">
        <w:t>.</w:t>
      </w:r>
    </w:p>
  </w:footnote>
  <w:footnote w:id="63">
    <w:p w14:paraId="00765741" w14:textId="6223AD3E" w:rsidR="004476E1" w:rsidRPr="008F194B" w:rsidRDefault="004476E1">
      <w:pPr>
        <w:pStyle w:val="FootnoteText"/>
      </w:pPr>
      <w:r w:rsidRPr="008F194B">
        <w:rPr>
          <w:rStyle w:val="FootnoteReference"/>
        </w:rPr>
        <w:footnoteRef/>
      </w:r>
      <w:r w:rsidRPr="008F194B">
        <w:t xml:space="preserve"> Ibid.</w:t>
      </w:r>
    </w:p>
  </w:footnote>
  <w:footnote w:id="64">
    <w:p w14:paraId="119C7D5A" w14:textId="63896160" w:rsidR="004476E1" w:rsidRPr="008F194B" w:rsidRDefault="004476E1">
      <w:pPr>
        <w:pStyle w:val="FootnoteText"/>
      </w:pPr>
      <w:r w:rsidRPr="008F194B">
        <w:rPr>
          <w:rStyle w:val="FootnoteReference"/>
        </w:rPr>
        <w:footnoteRef/>
      </w:r>
      <w:r w:rsidRPr="008F194B">
        <w:t xml:space="preserve"> </w:t>
      </w:r>
      <w:r w:rsidR="00634C48" w:rsidRPr="008F194B">
        <w:t>Queensland Parliamentary Library ‘Murri Courts’ (Research Brief No 2006/14) &lt;</w:t>
      </w:r>
      <w:r w:rsidRPr="008F194B">
        <w:t>http://www.parliament.qld.gov.au/documents/explore/ResearchPublications/ResearchBriefs/2006/RBR200614.pdf</w:t>
      </w:r>
      <w:r w:rsidR="00634C48" w:rsidRPr="008F194B">
        <w:t>&gt;.</w:t>
      </w:r>
    </w:p>
  </w:footnote>
  <w:footnote w:id="65">
    <w:p w14:paraId="116EAA51" w14:textId="1498C141" w:rsidR="004476E1" w:rsidRPr="008F194B" w:rsidRDefault="004476E1">
      <w:pPr>
        <w:pStyle w:val="FootnoteText"/>
      </w:pPr>
      <w:r w:rsidRPr="008F194B">
        <w:rPr>
          <w:rStyle w:val="FootnoteReference"/>
        </w:rPr>
        <w:footnoteRef/>
      </w:r>
      <w:r w:rsidRPr="008F194B">
        <w:t xml:space="preserve"> </w:t>
      </w:r>
      <w:r w:rsidR="00634C48">
        <w:t xml:space="preserve">Indigenous Justice </w:t>
      </w:r>
      <w:proofErr w:type="spellStart"/>
      <w:r w:rsidR="00634C48">
        <w:t>ClearingHouse</w:t>
      </w:r>
      <w:proofErr w:type="spellEnd"/>
      <w:r w:rsidR="00634C48">
        <w:t xml:space="preserve"> ‘Programs &amp; Projects — Circle Sentencing’ &lt;</w:t>
      </w:r>
      <w:r w:rsidRPr="008F194B">
        <w:t>http://www.indigenousjustice.gov.au/db/projects/272400.html</w:t>
      </w:r>
      <w:r w:rsidR="00634C48">
        <w:t>&gt;.</w:t>
      </w:r>
    </w:p>
  </w:footnote>
  <w:footnote w:id="66">
    <w:p w14:paraId="117A98FC" w14:textId="0DBA1F45" w:rsidR="004476E1" w:rsidRPr="008F194B" w:rsidRDefault="004476E1">
      <w:pPr>
        <w:pStyle w:val="FootnoteText"/>
      </w:pPr>
      <w:r w:rsidRPr="008F194B">
        <w:rPr>
          <w:rStyle w:val="FootnoteReference"/>
        </w:rPr>
        <w:footnoteRef/>
      </w:r>
      <w:r w:rsidRPr="008F194B">
        <w:t xml:space="preserve"> </w:t>
      </w:r>
      <w:r w:rsidR="00634C48" w:rsidRPr="00D3127B">
        <w:t>Unpublished paper, Chambers, A., “Children’s Rights in Australia”, Victoria University 2015 Chancellor’s Lecture p 2</w:t>
      </w:r>
      <w:r w:rsidR="00634C48">
        <w:t>7</w:t>
      </w:r>
      <w:r w:rsidRPr="008F194B">
        <w:t>.</w:t>
      </w:r>
    </w:p>
  </w:footnote>
  <w:footnote w:id="67">
    <w:p w14:paraId="67C6CE70" w14:textId="77777777" w:rsidR="00634C48" w:rsidRDefault="004476E1">
      <w:pPr>
        <w:pStyle w:val="FootnoteText"/>
      </w:pPr>
      <w:r w:rsidRPr="008F194B">
        <w:rPr>
          <w:rStyle w:val="FootnoteReference"/>
        </w:rPr>
        <w:footnoteRef/>
      </w:r>
      <w:r w:rsidRPr="008F194B">
        <w:t xml:space="preserve"> </w:t>
      </w:r>
      <w:r w:rsidR="00634C48">
        <w:t xml:space="preserve">UN Resources for Speakers on Global Issues, </w:t>
      </w:r>
    </w:p>
    <w:p w14:paraId="04099782" w14:textId="384E5FE6" w:rsidR="004476E1" w:rsidRPr="008F194B" w:rsidRDefault="00634C48">
      <w:pPr>
        <w:pStyle w:val="FootnoteText"/>
      </w:pPr>
      <w:r>
        <w:t>Education for All’ &lt;</w:t>
      </w:r>
      <w:hyperlink r:id="rId10" w:history="1">
        <w:r w:rsidR="004476E1" w:rsidRPr="008F194B">
          <w:rPr>
            <w:rStyle w:val="Hyperlink"/>
          </w:rPr>
          <w:t>http://www.un.org/en/globalissues/briefingpapers/efa/quotes.shtml</w:t>
        </w:r>
      </w:hyperlink>
      <w:r>
        <w:t>&gt;.</w:t>
      </w:r>
    </w:p>
  </w:footnote>
  <w:footnote w:id="68">
    <w:p w14:paraId="6D912251" w14:textId="31C1DF7C" w:rsidR="004476E1" w:rsidRPr="008F194B" w:rsidRDefault="004476E1">
      <w:pPr>
        <w:pStyle w:val="FootnoteText"/>
      </w:pPr>
      <w:r w:rsidRPr="008F194B">
        <w:rPr>
          <w:rStyle w:val="FootnoteReference"/>
        </w:rPr>
        <w:footnoteRef/>
      </w:r>
      <w:r w:rsidRPr="008F194B">
        <w:t xml:space="preserve"> </w:t>
      </w:r>
      <w:r w:rsidR="00634C48">
        <w:t>Commissioner for Children Tasmania, ‘Alternatives to Secure Youth Detention in Tasmania’ (26 July 2013) &lt;</w:t>
      </w:r>
      <w:hyperlink r:id="rId11" w:history="1">
        <w:r w:rsidRPr="008F194B">
          <w:rPr>
            <w:rStyle w:val="Hyperlink"/>
          </w:rPr>
          <w:t>http://www.childcomm.tas.gov.au/wp-content/uploads/2015/07/Alternatives-to-Secure-Youth-Detention-FINAL-2013.pdf</w:t>
        </w:r>
      </w:hyperlink>
      <w:r w:rsidR="00634C48">
        <w:rPr>
          <w:rStyle w:val="Hyperlink"/>
        </w:rPr>
        <w:t>&gt;.</w:t>
      </w:r>
    </w:p>
  </w:footnote>
  <w:footnote w:id="69">
    <w:p w14:paraId="4F8C6343" w14:textId="75A76538" w:rsidR="004476E1" w:rsidRPr="008F194B" w:rsidRDefault="004476E1">
      <w:pPr>
        <w:pStyle w:val="FootnoteText"/>
      </w:pPr>
      <w:r w:rsidRPr="008F194B">
        <w:rPr>
          <w:rStyle w:val="FootnoteReference"/>
        </w:rPr>
        <w:footnoteRef/>
      </w:r>
      <w:r w:rsidRPr="008F194B">
        <w:t xml:space="preserve"> </w:t>
      </w:r>
      <w:r w:rsidR="00294F48">
        <w:t>The Victoria Institute, ‘Education at the Heart of the Children’s Court’ (Final Report) &lt;</w:t>
      </w:r>
      <w:r w:rsidRPr="008F194B">
        <w:t>https://www.vu.edu.au/sites/default/files/victoria-institute/pdfs/Education-at-the-Heart-of-the-Children's-Court-Final-Report-web.pdf</w:t>
      </w:r>
      <w:r w:rsidR="00294F48">
        <w:t>&gt;</w:t>
      </w:r>
    </w:p>
  </w:footnote>
  <w:footnote w:id="70">
    <w:p w14:paraId="13A12E9E" w14:textId="31E318FE" w:rsidR="004476E1" w:rsidRPr="008F194B" w:rsidRDefault="004476E1">
      <w:pPr>
        <w:pStyle w:val="FootnoteText"/>
      </w:pPr>
      <w:r w:rsidRPr="008F194B">
        <w:rPr>
          <w:rStyle w:val="FootnoteReference"/>
        </w:rPr>
        <w:footnoteRef/>
      </w:r>
      <w:r w:rsidRPr="008F194B">
        <w:t xml:space="preserve"> </w:t>
      </w:r>
      <w:r w:rsidR="00634C48" w:rsidRPr="00D3127B">
        <w:t>Unpublished paper, Chambers, A., “Children’s Rights in Australia”, Victoria University 2015 Chancellor’s Lecture p 2</w:t>
      </w:r>
      <w:r w:rsidR="00634C48">
        <w:t>9</w:t>
      </w:r>
      <w:r w:rsidRPr="008F194B">
        <w:t>.</w:t>
      </w:r>
    </w:p>
  </w:footnote>
  <w:footnote w:id="71">
    <w:p w14:paraId="74A57641" w14:textId="3069C479" w:rsidR="004476E1" w:rsidRPr="008F194B" w:rsidRDefault="004476E1">
      <w:pPr>
        <w:pStyle w:val="FootnoteText"/>
      </w:pPr>
      <w:r w:rsidRPr="008F194B">
        <w:rPr>
          <w:rStyle w:val="FootnoteReference"/>
        </w:rPr>
        <w:footnoteRef/>
      </w:r>
      <w:r w:rsidRPr="008F194B">
        <w:t xml:space="preserve"> Ibid pp 29-30.</w:t>
      </w:r>
    </w:p>
  </w:footnote>
  <w:footnote w:id="72">
    <w:p w14:paraId="5602E8D9" w14:textId="179781CE" w:rsidR="004476E1" w:rsidRPr="008F194B" w:rsidRDefault="004476E1">
      <w:pPr>
        <w:pStyle w:val="FootnoteText"/>
      </w:pPr>
      <w:r w:rsidRPr="008F194B">
        <w:rPr>
          <w:rStyle w:val="FootnoteReference"/>
        </w:rPr>
        <w:footnoteRef/>
      </w:r>
      <w:r w:rsidRPr="008F194B">
        <w:t xml:space="preserve"> Ibid p 30.</w:t>
      </w:r>
    </w:p>
  </w:footnote>
  <w:footnote w:id="73">
    <w:p w14:paraId="64F76FEF" w14:textId="25ED7F2A" w:rsidR="004476E1" w:rsidRPr="008F194B" w:rsidRDefault="004476E1">
      <w:pPr>
        <w:pStyle w:val="FootnoteText"/>
      </w:pPr>
      <w:r w:rsidRPr="008F194B">
        <w:rPr>
          <w:rStyle w:val="FootnoteReference"/>
        </w:rPr>
        <w:footnoteRef/>
      </w:r>
      <w:r w:rsidRPr="008F194B">
        <w:t xml:space="preserve"> Ibid p 30.</w:t>
      </w:r>
    </w:p>
  </w:footnote>
  <w:footnote w:id="74">
    <w:p w14:paraId="5B6133BE" w14:textId="4E3A6E4C" w:rsidR="004476E1" w:rsidRPr="008F194B" w:rsidRDefault="004476E1">
      <w:pPr>
        <w:pStyle w:val="FootnoteText"/>
      </w:pPr>
      <w:r w:rsidRPr="008F194B">
        <w:rPr>
          <w:rStyle w:val="FootnoteReference"/>
        </w:rPr>
        <w:footnoteRef/>
      </w:r>
      <w:r w:rsidRPr="008F194B">
        <w:t xml:space="preserve"> Ibid pp 30-31.</w:t>
      </w:r>
    </w:p>
  </w:footnote>
  <w:footnote w:id="75">
    <w:p w14:paraId="5EF194FC" w14:textId="001F2384" w:rsidR="004476E1" w:rsidRPr="008F194B" w:rsidRDefault="004476E1" w:rsidP="002C1267">
      <w:pPr>
        <w:rPr>
          <w:sz w:val="20"/>
          <w:szCs w:val="20"/>
        </w:rPr>
      </w:pPr>
      <w:r w:rsidRPr="008F194B">
        <w:rPr>
          <w:rStyle w:val="FootnoteReference"/>
          <w:sz w:val="20"/>
          <w:szCs w:val="20"/>
        </w:rPr>
        <w:footnoteRef/>
      </w:r>
      <w:r w:rsidRPr="008F194B">
        <w:rPr>
          <w:sz w:val="20"/>
          <w:szCs w:val="20"/>
        </w:rPr>
        <w:t xml:space="preserve"> </w:t>
      </w:r>
      <w:proofErr w:type="spellStart"/>
      <w:r w:rsidR="00294F48">
        <w:rPr>
          <w:sz w:val="20"/>
          <w:szCs w:val="20"/>
        </w:rPr>
        <w:t>Gundjeihmi</w:t>
      </w:r>
      <w:proofErr w:type="spellEnd"/>
      <w:r w:rsidR="00294F48">
        <w:rPr>
          <w:sz w:val="20"/>
          <w:szCs w:val="20"/>
        </w:rPr>
        <w:t xml:space="preserve"> Aboriginal Corporation, ‘</w:t>
      </w:r>
      <w:proofErr w:type="spellStart"/>
      <w:r w:rsidR="00294F48">
        <w:rPr>
          <w:sz w:val="20"/>
          <w:szCs w:val="20"/>
        </w:rPr>
        <w:t>Djidbidjidbi</w:t>
      </w:r>
      <w:proofErr w:type="spellEnd"/>
      <w:r w:rsidR="00294F48">
        <w:rPr>
          <w:sz w:val="20"/>
          <w:szCs w:val="20"/>
        </w:rPr>
        <w:t xml:space="preserve"> Residential College’ &lt;</w:t>
      </w:r>
      <w:hyperlink r:id="rId12" w:history="1">
        <w:r w:rsidRPr="008F194B">
          <w:rPr>
            <w:rStyle w:val="Hyperlink"/>
            <w:sz w:val="20"/>
            <w:szCs w:val="20"/>
          </w:rPr>
          <w:t>http://www.mirarr.net/djidbidjidbi-residential-college</w:t>
        </w:r>
      </w:hyperlink>
      <w:r w:rsidR="00294F48">
        <w:rPr>
          <w:rStyle w:val="Hyperlink"/>
          <w:sz w:val="20"/>
          <w:szCs w:val="20"/>
        </w:rPr>
        <w:t>&gt;.</w:t>
      </w:r>
    </w:p>
  </w:footnote>
  <w:footnote w:id="76">
    <w:p w14:paraId="22629053" w14:textId="2F7C48A1" w:rsidR="004476E1" w:rsidRPr="008F194B" w:rsidRDefault="004476E1" w:rsidP="002C1267">
      <w:pPr>
        <w:rPr>
          <w:sz w:val="20"/>
          <w:szCs w:val="20"/>
        </w:rPr>
      </w:pPr>
      <w:r w:rsidRPr="008F194B">
        <w:rPr>
          <w:rStyle w:val="FootnoteReference"/>
          <w:sz w:val="20"/>
          <w:szCs w:val="20"/>
        </w:rPr>
        <w:footnoteRef/>
      </w:r>
      <w:r w:rsidRPr="008F194B">
        <w:rPr>
          <w:sz w:val="20"/>
          <w:szCs w:val="20"/>
        </w:rPr>
        <w:t xml:space="preserve"> </w:t>
      </w:r>
      <w:r w:rsidR="00294F48">
        <w:rPr>
          <w:sz w:val="20"/>
          <w:szCs w:val="20"/>
        </w:rPr>
        <w:t>Office of the Registrar of Indigenous Corporations ‘Driving Community Initiatives’ &lt;</w:t>
      </w:r>
      <w:hyperlink r:id="rId13" w:history="1">
        <w:r w:rsidRPr="008F194B">
          <w:rPr>
            <w:rStyle w:val="Hyperlink"/>
            <w:sz w:val="20"/>
            <w:szCs w:val="20"/>
          </w:rPr>
          <w:t>http://www.oric.gov.au/publications/spotlight/driving-community-initiatives</w:t>
        </w:r>
      </w:hyperlink>
      <w:r w:rsidR="00294F48">
        <w:rPr>
          <w:rStyle w:val="Hyperlink"/>
          <w:sz w:val="20"/>
          <w:szCs w:val="20"/>
        </w:rPr>
        <w:t>&gt;.</w:t>
      </w:r>
    </w:p>
  </w:footnote>
  <w:footnote w:id="77">
    <w:p w14:paraId="79848927" w14:textId="5F81F9D3" w:rsidR="004476E1" w:rsidRPr="008F194B" w:rsidRDefault="004476E1" w:rsidP="002C1267">
      <w:pPr>
        <w:rPr>
          <w:sz w:val="20"/>
          <w:szCs w:val="20"/>
        </w:rPr>
      </w:pPr>
      <w:r w:rsidRPr="008F194B">
        <w:rPr>
          <w:rStyle w:val="FootnoteReference"/>
          <w:sz w:val="20"/>
          <w:szCs w:val="20"/>
        </w:rPr>
        <w:footnoteRef/>
      </w:r>
      <w:r w:rsidRPr="008F194B">
        <w:rPr>
          <w:sz w:val="20"/>
          <w:szCs w:val="20"/>
        </w:rPr>
        <w:t xml:space="preserve"> </w:t>
      </w:r>
      <w:proofErr w:type="spellStart"/>
      <w:r w:rsidR="00294F48">
        <w:rPr>
          <w:sz w:val="20"/>
          <w:szCs w:val="20"/>
        </w:rPr>
        <w:t>Gundjeihmi</w:t>
      </w:r>
      <w:proofErr w:type="spellEnd"/>
      <w:r w:rsidR="00294F48">
        <w:rPr>
          <w:sz w:val="20"/>
          <w:szCs w:val="20"/>
        </w:rPr>
        <w:t xml:space="preserve"> Aboriginal Corporation, ‘</w:t>
      </w:r>
      <w:r w:rsidR="00294F48">
        <w:rPr>
          <w:sz w:val="20"/>
          <w:szCs w:val="20"/>
        </w:rPr>
        <w:t>Master Apprentice Language Workshop’ &lt;</w:t>
      </w:r>
      <w:r w:rsidRPr="008F194B">
        <w:rPr>
          <w:sz w:val="20"/>
          <w:szCs w:val="20"/>
        </w:rPr>
        <w:t>http://www.mirarr.net/master-apprentice-language-workshop-18-21-november-2013/</w:t>
      </w:r>
      <w:r w:rsidR="00294F48">
        <w:rPr>
          <w:sz w:val="20"/>
          <w:szCs w:val="20"/>
        </w:rPr>
        <w:t>&gt;.</w:t>
      </w:r>
    </w:p>
  </w:footnote>
  <w:footnote w:id="78">
    <w:p w14:paraId="3E2B0CBD" w14:textId="441AB639" w:rsidR="004476E1" w:rsidRPr="008F194B" w:rsidRDefault="004476E1">
      <w:pPr>
        <w:pStyle w:val="FootnoteText"/>
      </w:pPr>
      <w:r w:rsidRPr="008F194B">
        <w:rPr>
          <w:rStyle w:val="FootnoteReference"/>
        </w:rPr>
        <w:footnoteRef/>
      </w:r>
      <w:r w:rsidRPr="008F194B">
        <w:t xml:space="preserve"> Sarah Childress, ‘Why States Are Changing Course on Juvenile Crime’ </w:t>
      </w:r>
      <w:r w:rsidRPr="008F194B">
        <w:rPr>
          <w:i/>
        </w:rPr>
        <w:t>PBS</w:t>
      </w:r>
      <w:r w:rsidRPr="008F194B">
        <w:t xml:space="preserve"> (</w:t>
      </w:r>
      <w:r w:rsidRPr="008F194B">
        <w:rPr>
          <w:i/>
        </w:rPr>
        <w:t>Online)</w:t>
      </w:r>
      <w:r w:rsidRPr="008F194B">
        <w:t xml:space="preserve"> 17 December 2014 &lt;http://www.pbs.org/wgbh/frontline/article/why-states-are-changing-course-on-juvenile-crime/&gt;.</w:t>
      </w:r>
    </w:p>
  </w:footnote>
  <w:footnote w:id="79">
    <w:p w14:paraId="2927A139" w14:textId="77777777" w:rsidR="004476E1" w:rsidRPr="008F194B" w:rsidRDefault="004476E1" w:rsidP="00145C61">
      <w:pPr>
        <w:pStyle w:val="FootnoteText"/>
        <w:ind w:left="180" w:hanging="180"/>
      </w:pPr>
      <w:r w:rsidRPr="008F194B">
        <w:rPr>
          <w:rStyle w:val="FootnoteReference"/>
        </w:rPr>
        <w:footnoteRef/>
      </w:r>
      <w:r w:rsidRPr="008F194B">
        <w:t xml:space="preserve"> </w:t>
      </w:r>
      <w:r w:rsidRPr="008F194B">
        <w:tab/>
        <w:t xml:space="preserve">Youth Justice Advisory Committee, </w:t>
      </w:r>
      <w:r w:rsidRPr="008F194B">
        <w:rPr>
          <w:i/>
        </w:rPr>
        <w:t>YJAC Annual Report 2014/15</w:t>
      </w:r>
      <w:r w:rsidRPr="008F194B">
        <w:t xml:space="preserve"> (30 September 2014) &lt;https://cmsexternal.nt.gov.au/__data/assets/pdf_file/0008/238715/YJAC-Annual-Report-2014-15-web.pdf&gt; 19.</w:t>
      </w:r>
    </w:p>
  </w:footnote>
  <w:footnote w:id="80">
    <w:p w14:paraId="62402857" w14:textId="77777777" w:rsidR="004476E1" w:rsidRPr="008F194B" w:rsidRDefault="004476E1" w:rsidP="00145C61">
      <w:pPr>
        <w:pStyle w:val="FootnoteText"/>
        <w:ind w:left="180" w:hanging="180"/>
      </w:pPr>
      <w:r w:rsidRPr="008F194B">
        <w:rPr>
          <w:rStyle w:val="FootnoteReference"/>
        </w:rPr>
        <w:footnoteRef/>
      </w:r>
      <w:r w:rsidRPr="008F194B">
        <w:t xml:space="preserve"> </w:t>
      </w:r>
      <w:r w:rsidRPr="008F194B">
        <w:tab/>
        <w:t xml:space="preserve">Youth Justice Advisory Committee, </w:t>
      </w:r>
      <w:r w:rsidRPr="008F194B">
        <w:rPr>
          <w:i/>
        </w:rPr>
        <w:t>YJAC Annual Report 2014/15</w:t>
      </w:r>
      <w:r w:rsidRPr="008F194B">
        <w:t xml:space="preserve"> (30 September 2014) &lt;https://cmsexternal.nt.gov.au/__data/assets/pdf_file/0008/238715/YJAC-Annual-Report-2014-15-web.pdf&gt; 19.</w:t>
      </w:r>
    </w:p>
  </w:footnote>
  <w:footnote w:id="81">
    <w:p w14:paraId="765A0B60" w14:textId="77777777" w:rsidR="004476E1" w:rsidRPr="008F194B" w:rsidRDefault="004476E1" w:rsidP="0078024B">
      <w:pPr>
        <w:pStyle w:val="FootnoteText"/>
        <w:ind w:left="180" w:hanging="180"/>
      </w:pPr>
      <w:r w:rsidRPr="008F194B">
        <w:rPr>
          <w:rStyle w:val="FootnoteReference"/>
        </w:rPr>
        <w:footnoteRef/>
      </w:r>
      <w:r w:rsidRPr="008F194B">
        <w:t xml:space="preserve"> </w:t>
      </w:r>
      <w:r w:rsidRPr="008F194B">
        <w:tab/>
        <w:t xml:space="preserve">Youth Justice Advisory Committee, </w:t>
      </w:r>
      <w:r w:rsidRPr="008F194B">
        <w:rPr>
          <w:i/>
        </w:rPr>
        <w:t>YJAC Annual Report 2014/15</w:t>
      </w:r>
      <w:r w:rsidRPr="008F194B">
        <w:t xml:space="preserve"> (30 September 2014) &lt;https://cmsexternal.nt.gov.au/__data/assets/pdf_file/0008/238715/YJAC-Annual-Report-2014-15-web.pdf&gt; 17–8; Kathy Laster and Ryan </w:t>
      </w:r>
      <w:proofErr w:type="spellStart"/>
      <w:r w:rsidRPr="008F194B">
        <w:t>Kornhauser</w:t>
      </w:r>
      <w:proofErr w:type="spellEnd"/>
      <w:r w:rsidRPr="008F194B">
        <w:t xml:space="preserve">, ‘Electronic Innovation Can Help Fix An Archaic, Crowded Prison System’ </w:t>
      </w:r>
      <w:r w:rsidRPr="008F194B">
        <w:rPr>
          <w:i/>
        </w:rPr>
        <w:t>The Conversation</w:t>
      </w:r>
      <w:r w:rsidRPr="008F194B">
        <w:t xml:space="preserve"> (18 June 2015) &lt;https://theconversation.com/electronicinnovationcanhelpfixanarchaiccrowdedprisonsystem39044&gt;.</w:t>
      </w:r>
    </w:p>
  </w:footnote>
  <w:footnote w:id="82">
    <w:p w14:paraId="77734B72" w14:textId="77777777" w:rsidR="004476E1" w:rsidRPr="008F194B" w:rsidRDefault="004476E1" w:rsidP="0078024B">
      <w:pPr>
        <w:pStyle w:val="FootnoteText"/>
        <w:ind w:left="180" w:hanging="180"/>
      </w:pPr>
      <w:r w:rsidRPr="008F194B">
        <w:rPr>
          <w:rStyle w:val="FootnoteReference"/>
        </w:rPr>
        <w:footnoteRef/>
      </w:r>
      <w:r w:rsidRPr="008F194B">
        <w:t xml:space="preserve"> </w:t>
      </w:r>
      <w:r w:rsidRPr="008F194B">
        <w:tab/>
        <w:t xml:space="preserve">Youth Justice Advisory Committee, </w:t>
      </w:r>
      <w:r w:rsidRPr="008F194B">
        <w:rPr>
          <w:i/>
        </w:rPr>
        <w:t>YJAC Annual Report 2014/15</w:t>
      </w:r>
      <w:r w:rsidRPr="008F194B">
        <w:t xml:space="preserve"> (30 September 2014) &lt;https://cmsexternal.nt.gov.au/__data/assets/pdf_file/0008/238715/YJAC-Annual-Report-2014-15-web.pdf&gt; 17–8; Sarah Childress, ‘Why States Are Changing Course on Juvenile Crime’ </w:t>
      </w:r>
      <w:r w:rsidRPr="008F194B">
        <w:rPr>
          <w:i/>
        </w:rPr>
        <w:t>PBS</w:t>
      </w:r>
      <w:r w:rsidRPr="008F194B">
        <w:t xml:space="preserve"> (</w:t>
      </w:r>
      <w:r w:rsidRPr="008F194B">
        <w:rPr>
          <w:i/>
        </w:rPr>
        <w:t>Online)</w:t>
      </w:r>
      <w:r w:rsidRPr="008F194B">
        <w:t xml:space="preserve"> 17 December 2014 &lt;http://www.pbs.org/wgbh/frontline/article/why-states-are-changing-course-on-juvenile-crime/&gt;.</w:t>
      </w:r>
    </w:p>
  </w:footnote>
  <w:footnote w:id="83">
    <w:p w14:paraId="22D98FFE" w14:textId="57629F96" w:rsidR="004476E1" w:rsidRPr="008F194B" w:rsidRDefault="004476E1">
      <w:pPr>
        <w:pStyle w:val="FootnoteText"/>
      </w:pPr>
      <w:r w:rsidRPr="008F194B">
        <w:rPr>
          <w:rStyle w:val="FootnoteReference"/>
        </w:rPr>
        <w:footnoteRef/>
      </w:r>
      <w:r w:rsidRPr="008F194B">
        <w:t xml:space="preserve"> </w:t>
      </w:r>
      <w:r w:rsidRPr="008F194B">
        <w:rPr>
          <w:rFonts w:eastAsia="Book Antiqua" w:cs="Book Antiqua"/>
          <w:spacing w:val="-1"/>
          <w:position w:val="1"/>
          <w:lang w:val="en-US"/>
        </w:rPr>
        <w:t>R</w:t>
      </w:r>
      <w:r w:rsidRPr="008F194B">
        <w:rPr>
          <w:rFonts w:eastAsia="Book Antiqua" w:cs="Book Antiqua"/>
          <w:position w:val="1"/>
          <w:lang w:val="en-US"/>
        </w:rPr>
        <w:t>CFV</w:t>
      </w:r>
      <w:r w:rsidRPr="008F194B">
        <w:rPr>
          <w:rFonts w:eastAsia="Book Antiqua" w:cs="Book Antiqua"/>
          <w:spacing w:val="-2"/>
          <w:position w:val="1"/>
          <w:lang w:val="en-US"/>
        </w:rPr>
        <w:t xml:space="preserve"> </w:t>
      </w:r>
      <w:r w:rsidRPr="008F194B">
        <w:rPr>
          <w:rFonts w:eastAsia="Book Antiqua" w:cs="Book Antiqua"/>
          <w:spacing w:val="-1"/>
          <w:position w:val="1"/>
          <w:lang w:val="en-US"/>
        </w:rPr>
        <w:t>R</w:t>
      </w:r>
      <w:r w:rsidRPr="008F194B">
        <w:rPr>
          <w:rFonts w:eastAsia="Book Antiqua" w:cs="Book Antiqua"/>
          <w:position w:val="1"/>
          <w:lang w:val="en-US"/>
        </w:rPr>
        <w:t>e</w:t>
      </w:r>
      <w:r w:rsidRPr="008F194B">
        <w:rPr>
          <w:rFonts w:eastAsia="Book Antiqua" w:cs="Book Antiqua"/>
          <w:spacing w:val="1"/>
          <w:position w:val="1"/>
          <w:lang w:val="en-US"/>
        </w:rPr>
        <w:t>p</w:t>
      </w:r>
      <w:r w:rsidRPr="008F194B">
        <w:rPr>
          <w:rFonts w:eastAsia="Book Antiqua" w:cs="Book Antiqua"/>
          <w:spacing w:val="-1"/>
          <w:position w:val="1"/>
          <w:lang w:val="en-US"/>
        </w:rPr>
        <w:t>o</w:t>
      </w:r>
      <w:r w:rsidRPr="008F194B">
        <w:rPr>
          <w:rFonts w:eastAsia="Book Antiqua" w:cs="Book Antiqua"/>
          <w:position w:val="1"/>
          <w:lang w:val="en-US"/>
        </w:rPr>
        <w:t>r</w:t>
      </w:r>
      <w:r w:rsidRPr="008F194B">
        <w:rPr>
          <w:rFonts w:eastAsia="Book Antiqua" w:cs="Book Antiqua"/>
          <w:spacing w:val="1"/>
          <w:position w:val="1"/>
          <w:lang w:val="en-US"/>
        </w:rPr>
        <w:t>t</w:t>
      </w:r>
      <w:r w:rsidRPr="008F194B">
        <w:rPr>
          <w:rFonts w:eastAsia="Book Antiqua" w:cs="Book Antiqua"/>
          <w:position w:val="1"/>
          <w:lang w:val="en-US"/>
        </w:rPr>
        <w:t>,</w:t>
      </w:r>
      <w:r w:rsidRPr="008F194B">
        <w:rPr>
          <w:rFonts w:eastAsia="Book Antiqua" w:cs="Book Antiqua"/>
          <w:spacing w:val="-6"/>
          <w:position w:val="1"/>
          <w:lang w:val="en-US"/>
        </w:rPr>
        <w:t xml:space="preserve"> </w:t>
      </w:r>
      <w:r w:rsidRPr="008F194B">
        <w:rPr>
          <w:rFonts w:eastAsia="Book Antiqua" w:cs="Book Antiqua"/>
          <w:spacing w:val="1"/>
          <w:position w:val="1"/>
          <w:lang w:val="en-US"/>
        </w:rPr>
        <w:t>2</w:t>
      </w:r>
      <w:r w:rsidRPr="008F194B">
        <w:rPr>
          <w:rFonts w:eastAsia="Book Antiqua" w:cs="Book Antiqua"/>
          <w:position w:val="1"/>
          <w:lang w:val="en-US"/>
        </w:rPr>
        <w:t>.</w:t>
      </w:r>
    </w:p>
  </w:footnote>
  <w:footnote w:id="84">
    <w:p w14:paraId="54E2B5B7" w14:textId="7415D0FC" w:rsidR="004476E1" w:rsidRPr="008F194B" w:rsidRDefault="004476E1">
      <w:pPr>
        <w:pStyle w:val="FootnoteText"/>
      </w:pPr>
      <w:r w:rsidRPr="008F194B">
        <w:rPr>
          <w:rStyle w:val="FootnoteReference"/>
        </w:rPr>
        <w:footnoteRef/>
      </w:r>
      <w:r w:rsidRPr="008F194B">
        <w:t xml:space="preserve"> </w:t>
      </w:r>
      <w:r w:rsidRPr="008F194B">
        <w:rPr>
          <w:rFonts w:eastAsia="Book Antiqua" w:cs="Book Antiqua"/>
          <w:lang w:val="en-US"/>
        </w:rPr>
        <w:t>Ibid.</w:t>
      </w:r>
    </w:p>
  </w:footnote>
  <w:footnote w:id="85">
    <w:p w14:paraId="092AC0AE" w14:textId="77777777" w:rsidR="004476E1" w:rsidRPr="008F194B" w:rsidRDefault="004476E1" w:rsidP="00192D6D">
      <w:pPr>
        <w:widowControl w:val="0"/>
        <w:tabs>
          <w:tab w:val="left" w:pos="800"/>
        </w:tabs>
        <w:spacing w:after="0" w:line="247" w:lineRule="exact"/>
        <w:ind w:right="-20"/>
        <w:rPr>
          <w:rFonts w:eastAsia="Book Antiqua" w:cs="Book Antiqua"/>
          <w:sz w:val="20"/>
          <w:szCs w:val="20"/>
          <w:lang w:val="en-US"/>
        </w:rPr>
      </w:pPr>
      <w:r w:rsidRPr="008F194B">
        <w:rPr>
          <w:rStyle w:val="FootnoteReference"/>
          <w:sz w:val="20"/>
          <w:szCs w:val="20"/>
        </w:rPr>
        <w:footnoteRef/>
      </w:r>
      <w:r w:rsidRPr="008F194B">
        <w:rPr>
          <w:sz w:val="20"/>
          <w:szCs w:val="20"/>
        </w:rPr>
        <w:t xml:space="preserve"> </w:t>
      </w:r>
      <w:r w:rsidRPr="008F194B">
        <w:rPr>
          <w:rFonts w:eastAsia="Book Antiqua" w:cs="Book Antiqua"/>
          <w:spacing w:val="-1"/>
          <w:position w:val="1"/>
          <w:sz w:val="20"/>
          <w:szCs w:val="20"/>
          <w:lang w:val="en-US"/>
        </w:rPr>
        <w:t>R</w:t>
      </w:r>
      <w:r w:rsidRPr="008F194B">
        <w:rPr>
          <w:rFonts w:eastAsia="Book Antiqua" w:cs="Book Antiqua"/>
          <w:spacing w:val="1"/>
          <w:position w:val="1"/>
          <w:sz w:val="20"/>
          <w:szCs w:val="20"/>
          <w:lang w:val="en-US"/>
        </w:rPr>
        <w:t>o</w:t>
      </w:r>
      <w:r w:rsidRPr="008F194B">
        <w:rPr>
          <w:rFonts w:eastAsia="Book Antiqua" w:cs="Book Antiqua"/>
          <w:position w:val="1"/>
          <w:sz w:val="20"/>
          <w:szCs w:val="20"/>
          <w:lang w:val="en-US"/>
        </w:rPr>
        <w:t>y</w:t>
      </w:r>
      <w:r w:rsidRPr="008F194B">
        <w:rPr>
          <w:rFonts w:eastAsia="Book Antiqua" w:cs="Book Antiqua"/>
          <w:spacing w:val="1"/>
          <w:position w:val="1"/>
          <w:sz w:val="20"/>
          <w:szCs w:val="20"/>
          <w:lang w:val="en-US"/>
        </w:rPr>
        <w:t>a</w:t>
      </w:r>
      <w:r w:rsidRPr="008F194B">
        <w:rPr>
          <w:rFonts w:eastAsia="Book Antiqua" w:cs="Book Antiqua"/>
          <w:position w:val="1"/>
          <w:sz w:val="20"/>
          <w:szCs w:val="20"/>
          <w:lang w:val="en-US"/>
        </w:rPr>
        <w:t>l</w:t>
      </w:r>
      <w:r w:rsidRPr="008F194B">
        <w:rPr>
          <w:rFonts w:eastAsia="Book Antiqua" w:cs="Book Antiqua"/>
          <w:spacing w:val="-5"/>
          <w:position w:val="1"/>
          <w:sz w:val="20"/>
          <w:szCs w:val="20"/>
          <w:lang w:val="en-US"/>
        </w:rPr>
        <w:t xml:space="preserve"> </w:t>
      </w:r>
      <w:r w:rsidRPr="008F194B">
        <w:rPr>
          <w:rFonts w:eastAsia="Book Antiqua" w:cs="Book Antiqua"/>
          <w:position w:val="1"/>
          <w:sz w:val="20"/>
          <w:szCs w:val="20"/>
          <w:lang w:val="en-US"/>
        </w:rPr>
        <w:t>C</w:t>
      </w:r>
      <w:r w:rsidRPr="008F194B">
        <w:rPr>
          <w:rFonts w:eastAsia="Book Antiqua" w:cs="Book Antiqua"/>
          <w:spacing w:val="-1"/>
          <w:position w:val="1"/>
          <w:sz w:val="20"/>
          <w:szCs w:val="20"/>
          <w:lang w:val="en-US"/>
        </w:rPr>
        <w:t>o</w:t>
      </w:r>
      <w:r w:rsidRPr="008F194B">
        <w:rPr>
          <w:rFonts w:eastAsia="Book Antiqua" w:cs="Book Antiqua"/>
          <w:spacing w:val="2"/>
          <w:position w:val="1"/>
          <w:sz w:val="20"/>
          <w:szCs w:val="20"/>
          <w:lang w:val="en-US"/>
        </w:rPr>
        <w:t>m</w:t>
      </w:r>
      <w:r w:rsidRPr="008F194B">
        <w:rPr>
          <w:rFonts w:eastAsia="Book Antiqua" w:cs="Book Antiqua"/>
          <w:spacing w:val="-1"/>
          <w:position w:val="1"/>
          <w:sz w:val="20"/>
          <w:szCs w:val="20"/>
          <w:lang w:val="en-US"/>
        </w:rPr>
        <w:t>m</w:t>
      </w:r>
      <w:r w:rsidRPr="008F194B">
        <w:rPr>
          <w:rFonts w:eastAsia="Book Antiqua" w:cs="Book Antiqua"/>
          <w:spacing w:val="2"/>
          <w:position w:val="1"/>
          <w:sz w:val="20"/>
          <w:szCs w:val="20"/>
          <w:lang w:val="en-US"/>
        </w:rPr>
        <w:t>i</w:t>
      </w:r>
      <w:r w:rsidRPr="008F194B">
        <w:rPr>
          <w:rFonts w:eastAsia="Book Antiqua" w:cs="Book Antiqua"/>
          <w:position w:val="1"/>
          <w:sz w:val="20"/>
          <w:szCs w:val="20"/>
          <w:lang w:val="en-US"/>
        </w:rPr>
        <w:t>s</w:t>
      </w:r>
      <w:r w:rsidRPr="008F194B">
        <w:rPr>
          <w:rFonts w:eastAsia="Book Antiqua" w:cs="Book Antiqua"/>
          <w:spacing w:val="-1"/>
          <w:position w:val="1"/>
          <w:sz w:val="20"/>
          <w:szCs w:val="20"/>
          <w:lang w:val="en-US"/>
        </w:rPr>
        <w:t>s</w:t>
      </w:r>
      <w:r w:rsidRPr="008F194B">
        <w:rPr>
          <w:rFonts w:eastAsia="Book Antiqua" w:cs="Book Antiqua"/>
          <w:spacing w:val="2"/>
          <w:position w:val="1"/>
          <w:sz w:val="20"/>
          <w:szCs w:val="20"/>
          <w:lang w:val="en-US"/>
        </w:rPr>
        <w:t>i</w:t>
      </w:r>
      <w:r w:rsidRPr="008F194B">
        <w:rPr>
          <w:rFonts w:eastAsia="Book Antiqua" w:cs="Book Antiqua"/>
          <w:spacing w:val="-1"/>
          <w:position w:val="1"/>
          <w:sz w:val="20"/>
          <w:szCs w:val="20"/>
          <w:lang w:val="en-US"/>
        </w:rPr>
        <w:t>o</w:t>
      </w:r>
      <w:r w:rsidRPr="008F194B">
        <w:rPr>
          <w:rFonts w:eastAsia="Book Antiqua" w:cs="Book Antiqua"/>
          <w:position w:val="1"/>
          <w:sz w:val="20"/>
          <w:szCs w:val="20"/>
          <w:lang w:val="en-US"/>
        </w:rPr>
        <w:t>n</w:t>
      </w:r>
      <w:r w:rsidRPr="008F194B">
        <w:rPr>
          <w:rFonts w:eastAsia="Book Antiqua" w:cs="Book Antiqua"/>
          <w:spacing w:val="-12"/>
          <w:position w:val="1"/>
          <w:sz w:val="20"/>
          <w:szCs w:val="20"/>
          <w:lang w:val="en-US"/>
        </w:rPr>
        <w:t xml:space="preserve"> </w:t>
      </w:r>
      <w:r w:rsidRPr="008F194B">
        <w:rPr>
          <w:rFonts w:eastAsia="Book Antiqua" w:cs="Book Antiqua"/>
          <w:spacing w:val="2"/>
          <w:position w:val="1"/>
          <w:sz w:val="20"/>
          <w:szCs w:val="20"/>
          <w:lang w:val="en-US"/>
        </w:rPr>
        <w:t>i</w:t>
      </w:r>
      <w:r w:rsidRPr="008F194B">
        <w:rPr>
          <w:rFonts w:eastAsia="Book Antiqua" w:cs="Book Antiqua"/>
          <w:spacing w:val="-1"/>
          <w:position w:val="1"/>
          <w:sz w:val="20"/>
          <w:szCs w:val="20"/>
          <w:lang w:val="en-US"/>
        </w:rPr>
        <w:t>n</w:t>
      </w:r>
      <w:r w:rsidRPr="008F194B">
        <w:rPr>
          <w:rFonts w:eastAsia="Book Antiqua" w:cs="Book Antiqua"/>
          <w:position w:val="1"/>
          <w:sz w:val="20"/>
          <w:szCs w:val="20"/>
          <w:lang w:val="en-US"/>
        </w:rPr>
        <w:t>to</w:t>
      </w:r>
      <w:r w:rsidRPr="008F194B">
        <w:rPr>
          <w:rFonts w:eastAsia="Book Antiqua" w:cs="Book Antiqua"/>
          <w:spacing w:val="-1"/>
          <w:position w:val="1"/>
          <w:sz w:val="20"/>
          <w:szCs w:val="20"/>
          <w:lang w:val="en-US"/>
        </w:rPr>
        <w:t xml:space="preserve"> </w:t>
      </w:r>
      <w:r w:rsidRPr="008F194B">
        <w:rPr>
          <w:rFonts w:eastAsia="Book Antiqua" w:cs="Book Antiqua"/>
          <w:position w:val="1"/>
          <w:sz w:val="20"/>
          <w:szCs w:val="20"/>
          <w:lang w:val="en-US"/>
        </w:rPr>
        <w:t>F</w:t>
      </w:r>
      <w:r w:rsidRPr="008F194B">
        <w:rPr>
          <w:rFonts w:eastAsia="Book Antiqua" w:cs="Book Antiqua"/>
          <w:spacing w:val="1"/>
          <w:position w:val="1"/>
          <w:sz w:val="20"/>
          <w:szCs w:val="20"/>
          <w:lang w:val="en-US"/>
        </w:rPr>
        <w:t>a</w:t>
      </w:r>
      <w:r w:rsidRPr="008F194B">
        <w:rPr>
          <w:rFonts w:eastAsia="Book Antiqua" w:cs="Book Antiqua"/>
          <w:spacing w:val="-1"/>
          <w:position w:val="1"/>
          <w:sz w:val="20"/>
          <w:szCs w:val="20"/>
          <w:lang w:val="en-US"/>
        </w:rPr>
        <w:t>m</w:t>
      </w:r>
      <w:r w:rsidRPr="008F194B">
        <w:rPr>
          <w:rFonts w:eastAsia="Book Antiqua" w:cs="Book Antiqua"/>
          <w:position w:val="1"/>
          <w:sz w:val="20"/>
          <w:szCs w:val="20"/>
          <w:lang w:val="en-US"/>
        </w:rPr>
        <w:t>i</w:t>
      </w:r>
      <w:r w:rsidRPr="008F194B">
        <w:rPr>
          <w:rFonts w:eastAsia="Book Antiqua" w:cs="Book Antiqua"/>
          <w:spacing w:val="-1"/>
          <w:position w:val="1"/>
          <w:sz w:val="20"/>
          <w:szCs w:val="20"/>
          <w:lang w:val="en-US"/>
        </w:rPr>
        <w:t>l</w:t>
      </w:r>
      <w:r w:rsidRPr="008F194B">
        <w:rPr>
          <w:rFonts w:eastAsia="Book Antiqua" w:cs="Book Antiqua"/>
          <w:position w:val="1"/>
          <w:sz w:val="20"/>
          <w:szCs w:val="20"/>
          <w:lang w:val="en-US"/>
        </w:rPr>
        <w:t>y</w:t>
      </w:r>
      <w:r w:rsidRPr="008F194B">
        <w:rPr>
          <w:rFonts w:eastAsia="Book Antiqua" w:cs="Book Antiqua"/>
          <w:spacing w:val="-6"/>
          <w:position w:val="1"/>
          <w:sz w:val="20"/>
          <w:szCs w:val="20"/>
          <w:lang w:val="en-US"/>
        </w:rPr>
        <w:t xml:space="preserve"> </w:t>
      </w:r>
      <w:r w:rsidRPr="008F194B">
        <w:rPr>
          <w:rFonts w:eastAsia="Book Antiqua" w:cs="Book Antiqua"/>
          <w:spacing w:val="3"/>
          <w:position w:val="1"/>
          <w:sz w:val="20"/>
          <w:szCs w:val="20"/>
          <w:lang w:val="en-US"/>
        </w:rPr>
        <w:t>V</w:t>
      </w:r>
      <w:r w:rsidRPr="008F194B">
        <w:rPr>
          <w:rFonts w:eastAsia="Book Antiqua" w:cs="Book Antiqua"/>
          <w:position w:val="1"/>
          <w:sz w:val="20"/>
          <w:szCs w:val="20"/>
          <w:lang w:val="en-US"/>
        </w:rPr>
        <w:t>i</w:t>
      </w:r>
      <w:r w:rsidRPr="008F194B">
        <w:rPr>
          <w:rFonts w:eastAsia="Book Antiqua" w:cs="Book Antiqua"/>
          <w:spacing w:val="-1"/>
          <w:position w:val="1"/>
          <w:sz w:val="20"/>
          <w:szCs w:val="20"/>
          <w:lang w:val="en-US"/>
        </w:rPr>
        <w:t>o</w:t>
      </w:r>
      <w:r w:rsidRPr="008F194B">
        <w:rPr>
          <w:rFonts w:eastAsia="Book Antiqua" w:cs="Book Antiqua"/>
          <w:position w:val="1"/>
          <w:sz w:val="20"/>
          <w:szCs w:val="20"/>
          <w:lang w:val="en-US"/>
        </w:rPr>
        <w:t>l</w:t>
      </w:r>
      <w:r w:rsidRPr="008F194B">
        <w:rPr>
          <w:rFonts w:eastAsia="Book Antiqua" w:cs="Book Antiqua"/>
          <w:spacing w:val="2"/>
          <w:position w:val="1"/>
          <w:sz w:val="20"/>
          <w:szCs w:val="20"/>
          <w:lang w:val="en-US"/>
        </w:rPr>
        <w:t>e</w:t>
      </w:r>
      <w:r w:rsidRPr="008F194B">
        <w:rPr>
          <w:rFonts w:eastAsia="Book Antiqua" w:cs="Book Antiqua"/>
          <w:spacing w:val="-1"/>
          <w:position w:val="1"/>
          <w:sz w:val="20"/>
          <w:szCs w:val="20"/>
          <w:lang w:val="en-US"/>
        </w:rPr>
        <w:t>n</w:t>
      </w:r>
      <w:r w:rsidRPr="008F194B">
        <w:rPr>
          <w:rFonts w:eastAsia="Book Antiqua" w:cs="Book Antiqua"/>
          <w:position w:val="1"/>
          <w:sz w:val="20"/>
          <w:szCs w:val="20"/>
          <w:lang w:val="en-US"/>
        </w:rPr>
        <w:t>c</w:t>
      </w:r>
      <w:r w:rsidRPr="008F194B">
        <w:rPr>
          <w:rFonts w:eastAsia="Book Antiqua" w:cs="Book Antiqua"/>
          <w:spacing w:val="1"/>
          <w:position w:val="1"/>
          <w:sz w:val="20"/>
          <w:szCs w:val="20"/>
          <w:lang w:val="en-US"/>
        </w:rPr>
        <w:t>e</w:t>
      </w:r>
      <w:r w:rsidRPr="008F194B">
        <w:rPr>
          <w:rFonts w:eastAsia="Book Antiqua" w:cs="Book Antiqua"/>
          <w:position w:val="1"/>
          <w:sz w:val="20"/>
          <w:szCs w:val="20"/>
          <w:lang w:val="en-US"/>
        </w:rPr>
        <w:t>,</w:t>
      </w:r>
      <w:r w:rsidRPr="008F194B">
        <w:rPr>
          <w:rFonts w:eastAsia="Book Antiqua" w:cs="Book Antiqua"/>
          <w:spacing w:val="-3"/>
          <w:position w:val="1"/>
          <w:sz w:val="20"/>
          <w:szCs w:val="20"/>
          <w:lang w:val="en-US"/>
        </w:rPr>
        <w:t xml:space="preserve"> </w:t>
      </w:r>
      <w:r w:rsidRPr="008F194B">
        <w:rPr>
          <w:rFonts w:eastAsia="Book Antiqua" w:cs="Book Antiqua"/>
          <w:spacing w:val="-1"/>
          <w:position w:val="1"/>
          <w:sz w:val="20"/>
          <w:szCs w:val="20"/>
          <w:lang w:val="en-US"/>
        </w:rPr>
        <w:t>&lt;</w:t>
      </w:r>
      <w:hyperlink r:id="rId14">
        <w:r w:rsidRPr="008F194B">
          <w:rPr>
            <w:rFonts w:eastAsia="Book Antiqua" w:cs="Book Antiqua"/>
            <w:spacing w:val="1"/>
            <w:position w:val="1"/>
            <w:sz w:val="20"/>
            <w:szCs w:val="20"/>
            <w:lang w:val="en-US"/>
          </w:rPr>
          <w:t>h</w:t>
        </w:r>
        <w:r w:rsidRPr="008F194B">
          <w:rPr>
            <w:rFonts w:eastAsia="Book Antiqua" w:cs="Book Antiqua"/>
            <w:position w:val="1"/>
            <w:sz w:val="20"/>
            <w:szCs w:val="20"/>
            <w:lang w:val="en-US"/>
          </w:rPr>
          <w:t>ttp:</w:t>
        </w:r>
        <w:r w:rsidRPr="008F194B">
          <w:rPr>
            <w:rFonts w:eastAsia="Book Antiqua" w:cs="Book Antiqua"/>
            <w:spacing w:val="1"/>
            <w:position w:val="1"/>
            <w:sz w:val="20"/>
            <w:szCs w:val="20"/>
            <w:lang w:val="en-US"/>
          </w:rPr>
          <w:t>/</w:t>
        </w:r>
        <w:r w:rsidRPr="008F194B">
          <w:rPr>
            <w:rFonts w:eastAsia="Book Antiqua" w:cs="Book Antiqua"/>
            <w:spacing w:val="-1"/>
            <w:position w:val="1"/>
            <w:sz w:val="20"/>
            <w:szCs w:val="20"/>
            <w:lang w:val="en-US"/>
          </w:rPr>
          <w:t>/</w:t>
        </w:r>
        <w:r w:rsidRPr="008F194B">
          <w:rPr>
            <w:rFonts w:eastAsia="Book Antiqua" w:cs="Book Antiqua"/>
            <w:spacing w:val="2"/>
            <w:position w:val="1"/>
            <w:sz w:val="20"/>
            <w:szCs w:val="20"/>
            <w:lang w:val="en-US"/>
          </w:rPr>
          <w:t>ww</w:t>
        </w:r>
        <w:r w:rsidRPr="008F194B">
          <w:rPr>
            <w:rFonts w:eastAsia="Book Antiqua" w:cs="Book Antiqua"/>
            <w:position w:val="1"/>
            <w:sz w:val="20"/>
            <w:szCs w:val="20"/>
            <w:lang w:val="en-US"/>
          </w:rPr>
          <w:t>w.r</w:t>
        </w:r>
        <w:r w:rsidRPr="008F194B">
          <w:rPr>
            <w:rFonts w:eastAsia="Book Antiqua" w:cs="Book Antiqua"/>
            <w:spacing w:val="1"/>
            <w:position w:val="1"/>
            <w:sz w:val="20"/>
            <w:szCs w:val="20"/>
            <w:lang w:val="en-US"/>
          </w:rPr>
          <w:t>cf</w:t>
        </w:r>
        <w:r w:rsidRPr="008F194B">
          <w:rPr>
            <w:rFonts w:eastAsia="Book Antiqua" w:cs="Book Antiqua"/>
            <w:position w:val="1"/>
            <w:sz w:val="20"/>
            <w:szCs w:val="20"/>
            <w:lang w:val="en-US"/>
          </w:rPr>
          <w:t>v</w:t>
        </w:r>
        <w:r w:rsidRPr="008F194B">
          <w:rPr>
            <w:rFonts w:eastAsia="Book Antiqua" w:cs="Book Antiqua"/>
            <w:spacing w:val="1"/>
            <w:position w:val="1"/>
            <w:sz w:val="20"/>
            <w:szCs w:val="20"/>
            <w:lang w:val="en-US"/>
          </w:rPr>
          <w:t>.</w:t>
        </w:r>
        <w:r w:rsidRPr="008F194B">
          <w:rPr>
            <w:rFonts w:eastAsia="Book Antiqua" w:cs="Book Antiqua"/>
            <w:position w:val="1"/>
            <w:sz w:val="20"/>
            <w:szCs w:val="20"/>
            <w:lang w:val="en-US"/>
          </w:rPr>
          <w:t>co</w:t>
        </w:r>
        <w:r w:rsidRPr="008F194B">
          <w:rPr>
            <w:rFonts w:eastAsia="Book Antiqua" w:cs="Book Antiqua"/>
            <w:spacing w:val="-1"/>
            <w:position w:val="1"/>
            <w:sz w:val="20"/>
            <w:szCs w:val="20"/>
            <w:lang w:val="en-US"/>
          </w:rPr>
          <w:t>m</w:t>
        </w:r>
        <w:r w:rsidRPr="008F194B">
          <w:rPr>
            <w:rFonts w:eastAsia="Book Antiqua" w:cs="Book Antiqua"/>
            <w:position w:val="1"/>
            <w:sz w:val="20"/>
            <w:szCs w:val="20"/>
            <w:lang w:val="en-US"/>
          </w:rPr>
          <w:t>.</w:t>
        </w:r>
        <w:r w:rsidRPr="008F194B">
          <w:rPr>
            <w:rFonts w:eastAsia="Book Antiqua" w:cs="Book Antiqua"/>
            <w:spacing w:val="1"/>
            <w:position w:val="1"/>
            <w:sz w:val="20"/>
            <w:szCs w:val="20"/>
            <w:lang w:val="en-US"/>
          </w:rPr>
          <w:t>a</w:t>
        </w:r>
        <w:r w:rsidRPr="008F194B">
          <w:rPr>
            <w:rFonts w:eastAsia="Book Antiqua" w:cs="Book Antiqua"/>
            <w:position w:val="1"/>
            <w:sz w:val="20"/>
            <w:szCs w:val="20"/>
            <w:lang w:val="en-US"/>
          </w:rPr>
          <w:t>u</w:t>
        </w:r>
        <w:r w:rsidRPr="008F194B">
          <w:rPr>
            <w:rFonts w:eastAsia="Book Antiqua" w:cs="Book Antiqua"/>
            <w:spacing w:val="-1"/>
            <w:position w:val="1"/>
            <w:sz w:val="20"/>
            <w:szCs w:val="20"/>
            <w:lang w:val="en-US"/>
          </w:rPr>
          <w:t>/</w:t>
        </w:r>
        <w:r w:rsidRPr="008F194B">
          <w:rPr>
            <w:rFonts w:eastAsia="Book Antiqua" w:cs="Book Antiqua"/>
            <w:spacing w:val="1"/>
            <w:position w:val="1"/>
            <w:sz w:val="20"/>
            <w:szCs w:val="20"/>
            <w:lang w:val="en-US"/>
          </w:rPr>
          <w:t>M</w:t>
        </w:r>
        <w:r w:rsidRPr="008F194B">
          <w:rPr>
            <w:rFonts w:eastAsia="Book Antiqua" w:cs="Book Antiqua"/>
            <w:position w:val="1"/>
            <w:sz w:val="20"/>
            <w:szCs w:val="20"/>
            <w:lang w:val="en-US"/>
          </w:rPr>
          <w:t>e</w:t>
        </w:r>
        <w:r w:rsidRPr="008F194B">
          <w:rPr>
            <w:rFonts w:eastAsia="Book Antiqua" w:cs="Book Antiqua"/>
            <w:spacing w:val="1"/>
            <w:position w:val="1"/>
            <w:sz w:val="20"/>
            <w:szCs w:val="20"/>
            <w:lang w:val="en-US"/>
          </w:rPr>
          <w:t>d</w:t>
        </w:r>
        <w:r w:rsidRPr="008F194B">
          <w:rPr>
            <w:rFonts w:eastAsia="Book Antiqua" w:cs="Book Antiqua"/>
            <w:position w:val="1"/>
            <w:sz w:val="20"/>
            <w:szCs w:val="20"/>
            <w:lang w:val="en-US"/>
          </w:rPr>
          <w:t>i</w:t>
        </w:r>
        <w:r w:rsidRPr="008F194B">
          <w:rPr>
            <w:rFonts w:eastAsia="Book Antiqua" w:cs="Book Antiqua"/>
            <w:spacing w:val="1"/>
            <w:position w:val="1"/>
            <w:sz w:val="20"/>
            <w:szCs w:val="20"/>
            <w:lang w:val="en-US"/>
          </w:rPr>
          <w:t>a/</w:t>
        </w:r>
        <w:r w:rsidRPr="008F194B">
          <w:rPr>
            <w:rFonts w:eastAsia="Book Antiqua" w:cs="Book Antiqua"/>
            <w:spacing w:val="-1"/>
            <w:position w:val="1"/>
            <w:sz w:val="20"/>
            <w:szCs w:val="20"/>
            <w:lang w:val="en-US"/>
          </w:rPr>
          <w:t>R</w:t>
        </w:r>
        <w:r w:rsidRPr="008F194B">
          <w:rPr>
            <w:rFonts w:eastAsia="Book Antiqua" w:cs="Book Antiqua"/>
            <w:spacing w:val="1"/>
            <w:position w:val="1"/>
            <w:sz w:val="20"/>
            <w:szCs w:val="20"/>
            <w:lang w:val="en-US"/>
          </w:rPr>
          <w:t>o</w:t>
        </w:r>
        <w:r w:rsidRPr="008F194B">
          <w:rPr>
            <w:rFonts w:eastAsia="Book Antiqua" w:cs="Book Antiqua"/>
            <w:spacing w:val="2"/>
            <w:position w:val="1"/>
            <w:sz w:val="20"/>
            <w:szCs w:val="20"/>
            <w:lang w:val="en-US"/>
          </w:rPr>
          <w:t>y</w:t>
        </w:r>
        <w:r w:rsidRPr="008F194B">
          <w:rPr>
            <w:rFonts w:eastAsia="Book Antiqua" w:cs="Book Antiqua"/>
            <w:spacing w:val="1"/>
            <w:position w:val="1"/>
            <w:sz w:val="20"/>
            <w:szCs w:val="20"/>
            <w:lang w:val="en-US"/>
          </w:rPr>
          <w:t>a</w:t>
        </w:r>
        <w:r w:rsidRPr="008F194B">
          <w:rPr>
            <w:rFonts w:eastAsia="Book Antiqua" w:cs="Book Antiqua"/>
            <w:spacing w:val="5"/>
            <w:position w:val="1"/>
            <w:sz w:val="20"/>
            <w:szCs w:val="20"/>
            <w:lang w:val="en-US"/>
          </w:rPr>
          <w:t>l</w:t>
        </w:r>
        <w:r w:rsidRPr="008F194B">
          <w:rPr>
            <w:rFonts w:eastAsia="Book Antiqua" w:cs="Book Antiqua"/>
            <w:position w:val="1"/>
            <w:sz w:val="20"/>
            <w:szCs w:val="20"/>
            <w:lang w:val="en-US"/>
          </w:rPr>
          <w:t>-</w:t>
        </w:r>
      </w:hyperlink>
    </w:p>
    <w:p w14:paraId="73017242" w14:textId="3AF0E22F" w:rsidR="004476E1" w:rsidRPr="008F194B" w:rsidRDefault="004476E1" w:rsidP="00192D6D">
      <w:pPr>
        <w:pStyle w:val="FootnoteText"/>
      </w:pPr>
      <w:r w:rsidRPr="008F194B">
        <w:rPr>
          <w:rFonts w:eastAsia="Book Antiqua" w:cs="Book Antiqua"/>
          <w:w w:val="99"/>
          <w:lang w:val="en-US"/>
        </w:rPr>
        <w:t>Co</w:t>
      </w:r>
      <w:r w:rsidRPr="008F194B">
        <w:rPr>
          <w:rFonts w:eastAsia="Book Antiqua" w:cs="Book Antiqua"/>
          <w:spacing w:val="1"/>
          <w:w w:val="99"/>
          <w:lang w:val="en-US"/>
        </w:rPr>
        <w:t>m</w:t>
      </w:r>
      <w:r w:rsidRPr="008F194B">
        <w:rPr>
          <w:rFonts w:eastAsia="Book Antiqua" w:cs="Book Antiqua"/>
          <w:spacing w:val="-1"/>
          <w:w w:val="99"/>
          <w:lang w:val="en-US"/>
        </w:rPr>
        <w:t>m</w:t>
      </w:r>
      <w:r w:rsidRPr="008F194B">
        <w:rPr>
          <w:rFonts w:eastAsia="Book Antiqua" w:cs="Book Antiqua"/>
          <w:w w:val="99"/>
          <w:lang w:val="en-US"/>
        </w:rPr>
        <w:t>i</w:t>
      </w:r>
      <w:r w:rsidRPr="008F194B">
        <w:rPr>
          <w:rFonts w:eastAsia="Book Antiqua" w:cs="Book Antiqua"/>
          <w:spacing w:val="1"/>
          <w:w w:val="99"/>
          <w:lang w:val="en-US"/>
        </w:rPr>
        <w:t>s</w:t>
      </w:r>
      <w:r w:rsidRPr="008F194B">
        <w:rPr>
          <w:rFonts w:eastAsia="Book Antiqua" w:cs="Book Antiqua"/>
          <w:w w:val="99"/>
          <w:lang w:val="en-US"/>
        </w:rPr>
        <w:t>s</w:t>
      </w:r>
      <w:r w:rsidRPr="008F194B">
        <w:rPr>
          <w:rFonts w:eastAsia="Book Antiqua" w:cs="Book Antiqua"/>
          <w:spacing w:val="-1"/>
          <w:w w:val="99"/>
          <w:lang w:val="en-US"/>
        </w:rPr>
        <w:t>i</w:t>
      </w:r>
      <w:r w:rsidRPr="008F194B">
        <w:rPr>
          <w:rFonts w:eastAsia="Book Antiqua" w:cs="Book Antiqua"/>
          <w:spacing w:val="1"/>
          <w:w w:val="99"/>
          <w:lang w:val="en-US"/>
        </w:rPr>
        <w:t>o</w:t>
      </w:r>
      <w:r w:rsidRPr="008F194B">
        <w:rPr>
          <w:rFonts w:eastAsia="Book Antiqua" w:cs="Book Antiqua"/>
          <w:w w:val="99"/>
          <w:lang w:val="en-US"/>
        </w:rPr>
        <w:t>n</w:t>
      </w:r>
      <w:r w:rsidRPr="008F194B">
        <w:rPr>
          <w:rFonts w:eastAsia="Book Antiqua" w:cs="Book Antiqua"/>
          <w:spacing w:val="1"/>
          <w:w w:val="99"/>
          <w:lang w:val="en-US"/>
        </w:rPr>
        <w:t>-</w:t>
      </w:r>
      <w:r w:rsidRPr="008F194B">
        <w:rPr>
          <w:rFonts w:eastAsia="Book Antiqua" w:cs="Book Antiqua"/>
          <w:w w:val="99"/>
          <w:lang w:val="en-US"/>
        </w:rPr>
        <w:t>i</w:t>
      </w:r>
      <w:r w:rsidRPr="008F194B">
        <w:rPr>
          <w:rFonts w:eastAsia="Book Antiqua" w:cs="Book Antiqua"/>
          <w:spacing w:val="1"/>
          <w:w w:val="99"/>
          <w:lang w:val="en-US"/>
        </w:rPr>
        <w:t>n</w:t>
      </w:r>
      <w:r w:rsidRPr="008F194B">
        <w:rPr>
          <w:rFonts w:eastAsia="Book Antiqua" w:cs="Book Antiqua"/>
          <w:w w:val="99"/>
          <w:lang w:val="en-US"/>
        </w:rPr>
        <w:t>t</w:t>
      </w:r>
      <w:r w:rsidRPr="008F194B">
        <w:rPr>
          <w:rFonts w:eastAsia="Book Antiqua" w:cs="Book Antiqua"/>
          <w:spacing w:val="-1"/>
          <w:w w:val="99"/>
          <w:lang w:val="en-US"/>
        </w:rPr>
        <w:t>o</w:t>
      </w:r>
      <w:r w:rsidRPr="008F194B">
        <w:rPr>
          <w:rFonts w:eastAsia="Book Antiqua" w:cs="Book Antiqua"/>
          <w:spacing w:val="1"/>
          <w:w w:val="99"/>
          <w:lang w:val="en-US"/>
        </w:rPr>
        <w:t>-</w:t>
      </w:r>
      <w:r w:rsidRPr="008F194B">
        <w:rPr>
          <w:rFonts w:eastAsia="Book Antiqua" w:cs="Book Antiqua"/>
          <w:w w:val="99"/>
          <w:lang w:val="en-US"/>
        </w:rPr>
        <w:t>F</w:t>
      </w:r>
      <w:r w:rsidRPr="008F194B">
        <w:rPr>
          <w:rFonts w:eastAsia="Book Antiqua" w:cs="Book Antiqua"/>
          <w:spacing w:val="1"/>
          <w:w w:val="99"/>
          <w:lang w:val="en-US"/>
        </w:rPr>
        <w:t>a</w:t>
      </w:r>
      <w:r w:rsidRPr="008F194B">
        <w:rPr>
          <w:rFonts w:eastAsia="Book Antiqua" w:cs="Book Antiqua"/>
          <w:spacing w:val="2"/>
          <w:w w:val="99"/>
          <w:lang w:val="en-US"/>
        </w:rPr>
        <w:t>m</w:t>
      </w:r>
      <w:r w:rsidRPr="008F194B">
        <w:rPr>
          <w:rFonts w:eastAsia="Book Antiqua" w:cs="Book Antiqua"/>
          <w:w w:val="99"/>
          <w:lang w:val="en-US"/>
        </w:rPr>
        <w:t>i</w:t>
      </w:r>
      <w:r w:rsidRPr="008F194B">
        <w:rPr>
          <w:rFonts w:eastAsia="Book Antiqua" w:cs="Book Antiqua"/>
          <w:spacing w:val="-1"/>
          <w:w w:val="99"/>
          <w:lang w:val="en-US"/>
        </w:rPr>
        <w:t>l</w:t>
      </w:r>
      <w:r w:rsidRPr="008F194B">
        <w:rPr>
          <w:rFonts w:eastAsia="Book Antiqua" w:cs="Book Antiqua"/>
          <w:spacing w:val="1"/>
          <w:w w:val="99"/>
          <w:lang w:val="en-US"/>
        </w:rPr>
        <w:t>y-</w:t>
      </w:r>
      <w:r w:rsidRPr="008F194B">
        <w:rPr>
          <w:rFonts w:eastAsia="Book Antiqua" w:cs="Book Antiqua"/>
          <w:spacing w:val="2"/>
          <w:w w:val="99"/>
          <w:lang w:val="en-US"/>
        </w:rPr>
        <w:t>V</w:t>
      </w:r>
      <w:r w:rsidRPr="008F194B">
        <w:rPr>
          <w:rFonts w:eastAsia="Book Antiqua" w:cs="Book Antiqua"/>
          <w:w w:val="99"/>
          <w:lang w:val="en-US"/>
        </w:rPr>
        <w:t>i</w:t>
      </w:r>
      <w:r w:rsidRPr="008F194B">
        <w:rPr>
          <w:rFonts w:eastAsia="Book Antiqua" w:cs="Book Antiqua"/>
          <w:spacing w:val="-1"/>
          <w:w w:val="99"/>
          <w:lang w:val="en-US"/>
        </w:rPr>
        <w:t>o</w:t>
      </w:r>
      <w:r w:rsidRPr="008F194B">
        <w:rPr>
          <w:rFonts w:eastAsia="Book Antiqua" w:cs="Book Antiqua"/>
          <w:w w:val="99"/>
          <w:lang w:val="en-US"/>
        </w:rPr>
        <w:t>lenc</w:t>
      </w:r>
      <w:r w:rsidRPr="008F194B">
        <w:rPr>
          <w:rFonts w:eastAsia="Book Antiqua" w:cs="Book Antiqua"/>
          <w:spacing w:val="1"/>
          <w:w w:val="99"/>
          <w:lang w:val="en-US"/>
        </w:rPr>
        <w:t>e-</w:t>
      </w:r>
      <w:r w:rsidRPr="008F194B">
        <w:rPr>
          <w:rFonts w:eastAsia="Book Antiqua" w:cs="Book Antiqua"/>
          <w:w w:val="99"/>
          <w:lang w:val="en-US"/>
        </w:rPr>
        <w:t>b</w:t>
      </w:r>
      <w:r w:rsidRPr="008F194B">
        <w:rPr>
          <w:rFonts w:eastAsia="Book Antiqua" w:cs="Book Antiqua"/>
          <w:spacing w:val="1"/>
          <w:w w:val="99"/>
          <w:lang w:val="en-US"/>
        </w:rPr>
        <w:t>e</w:t>
      </w:r>
      <w:r w:rsidRPr="008F194B">
        <w:rPr>
          <w:rFonts w:eastAsia="Book Antiqua" w:cs="Book Antiqua"/>
          <w:spacing w:val="2"/>
          <w:w w:val="99"/>
          <w:lang w:val="en-US"/>
        </w:rPr>
        <w:t>g</w:t>
      </w:r>
      <w:r w:rsidRPr="008F194B">
        <w:rPr>
          <w:rFonts w:eastAsia="Book Antiqua" w:cs="Book Antiqua"/>
          <w:w w:val="99"/>
          <w:lang w:val="en-US"/>
        </w:rPr>
        <w:t>i</w:t>
      </w:r>
      <w:r w:rsidRPr="008F194B">
        <w:rPr>
          <w:rFonts w:eastAsia="Book Antiqua" w:cs="Book Antiqua"/>
          <w:spacing w:val="1"/>
          <w:w w:val="99"/>
          <w:lang w:val="en-US"/>
        </w:rPr>
        <w:t>n</w:t>
      </w:r>
      <w:r w:rsidRPr="008F194B">
        <w:rPr>
          <w:rFonts w:eastAsia="Book Antiqua" w:cs="Book Antiqua"/>
          <w:w w:val="99"/>
          <w:lang w:val="en-US"/>
        </w:rPr>
        <w:t>s</w:t>
      </w:r>
      <w:r w:rsidR="00634C48">
        <w:rPr>
          <w:rFonts w:eastAsia="Book Antiqua" w:cs="Book Antiqua"/>
          <w:w w:val="99"/>
          <w:lang w:val="en-US"/>
        </w:rPr>
        <w:t>&gt;.</w:t>
      </w:r>
    </w:p>
  </w:footnote>
  <w:footnote w:id="86">
    <w:p w14:paraId="33002A09" w14:textId="54065646" w:rsidR="004476E1" w:rsidRPr="008F194B" w:rsidRDefault="004476E1">
      <w:pPr>
        <w:pStyle w:val="FootnoteText"/>
      </w:pPr>
      <w:r w:rsidRPr="008F194B">
        <w:rPr>
          <w:rStyle w:val="FootnoteReference"/>
        </w:rPr>
        <w:footnoteRef/>
      </w:r>
      <w:r w:rsidRPr="008F194B">
        <w:t xml:space="preserve"> </w:t>
      </w:r>
      <w:r w:rsidRPr="008F194B">
        <w:rPr>
          <w:rFonts w:eastAsia="Book Antiqua" w:cs="Book Antiqua"/>
          <w:spacing w:val="-1"/>
          <w:position w:val="1"/>
          <w:lang w:val="en-US"/>
        </w:rPr>
        <w:t>R</w:t>
      </w:r>
      <w:r w:rsidRPr="008F194B">
        <w:rPr>
          <w:rFonts w:eastAsia="Book Antiqua" w:cs="Book Antiqua"/>
          <w:position w:val="1"/>
          <w:lang w:val="en-US"/>
        </w:rPr>
        <w:t>CFV</w:t>
      </w:r>
      <w:r w:rsidRPr="008F194B">
        <w:rPr>
          <w:rFonts w:eastAsia="Book Antiqua" w:cs="Book Antiqua"/>
          <w:spacing w:val="-2"/>
          <w:position w:val="1"/>
          <w:lang w:val="en-US"/>
        </w:rPr>
        <w:t xml:space="preserve"> </w:t>
      </w:r>
      <w:r w:rsidRPr="008F194B">
        <w:rPr>
          <w:rFonts w:eastAsia="Book Antiqua" w:cs="Book Antiqua"/>
          <w:spacing w:val="-1"/>
          <w:position w:val="1"/>
          <w:lang w:val="en-US"/>
        </w:rPr>
        <w:t>R</w:t>
      </w:r>
      <w:r w:rsidRPr="008F194B">
        <w:rPr>
          <w:rFonts w:eastAsia="Book Antiqua" w:cs="Book Antiqua"/>
          <w:position w:val="1"/>
          <w:lang w:val="en-US"/>
        </w:rPr>
        <w:t>e</w:t>
      </w:r>
      <w:r w:rsidRPr="008F194B">
        <w:rPr>
          <w:rFonts w:eastAsia="Book Antiqua" w:cs="Book Antiqua"/>
          <w:spacing w:val="1"/>
          <w:position w:val="1"/>
          <w:lang w:val="en-US"/>
        </w:rPr>
        <w:t>p</w:t>
      </w:r>
      <w:r w:rsidRPr="008F194B">
        <w:rPr>
          <w:rFonts w:eastAsia="Book Antiqua" w:cs="Book Antiqua"/>
          <w:spacing w:val="-1"/>
          <w:position w:val="1"/>
          <w:lang w:val="en-US"/>
        </w:rPr>
        <w:t>o</w:t>
      </w:r>
      <w:r w:rsidRPr="008F194B">
        <w:rPr>
          <w:rFonts w:eastAsia="Book Antiqua" w:cs="Book Antiqua"/>
          <w:position w:val="1"/>
          <w:lang w:val="en-US"/>
        </w:rPr>
        <w:t>rt</w:t>
      </w:r>
      <w:r w:rsidRPr="008F194B">
        <w:rPr>
          <w:rFonts w:eastAsia="Book Antiqua" w:cs="Book Antiqua"/>
          <w:spacing w:val="-5"/>
          <w:position w:val="1"/>
          <w:lang w:val="en-US"/>
        </w:rPr>
        <w:t xml:space="preserve"> </w:t>
      </w:r>
      <w:r w:rsidRPr="008F194B">
        <w:rPr>
          <w:rFonts w:eastAsia="Book Antiqua" w:cs="Book Antiqua"/>
          <w:spacing w:val="1"/>
          <w:position w:val="1"/>
          <w:lang w:val="en-US"/>
        </w:rPr>
        <w:t>2</w:t>
      </w:r>
    </w:p>
  </w:footnote>
  <w:footnote w:id="87">
    <w:p w14:paraId="65B53DA1" w14:textId="5518AC08" w:rsidR="004476E1" w:rsidRPr="008F194B" w:rsidRDefault="004476E1">
      <w:pPr>
        <w:pStyle w:val="FootnoteText"/>
      </w:pPr>
      <w:r w:rsidRPr="008F194B">
        <w:rPr>
          <w:rStyle w:val="FootnoteReference"/>
        </w:rPr>
        <w:footnoteRef/>
      </w:r>
      <w:r w:rsidRPr="008F194B">
        <w:t xml:space="preserve"> </w:t>
      </w:r>
      <w:r w:rsidRPr="008F194B">
        <w:rPr>
          <w:rFonts w:eastAsia="Book Antiqua" w:cs="Book Antiqua"/>
          <w:spacing w:val="-1"/>
          <w:lang w:val="en-US"/>
        </w:rPr>
        <w:t>R</w:t>
      </w:r>
      <w:r w:rsidRPr="008F194B">
        <w:rPr>
          <w:rFonts w:eastAsia="Book Antiqua" w:cs="Book Antiqua"/>
          <w:lang w:val="en-US"/>
        </w:rPr>
        <w:t>CFV</w:t>
      </w:r>
      <w:r w:rsidRPr="008F194B">
        <w:rPr>
          <w:rFonts w:eastAsia="Book Antiqua" w:cs="Book Antiqua"/>
          <w:spacing w:val="-2"/>
          <w:lang w:val="en-US"/>
        </w:rPr>
        <w:t xml:space="preserve"> </w:t>
      </w:r>
      <w:r w:rsidRPr="008F194B">
        <w:rPr>
          <w:rFonts w:eastAsia="Book Antiqua" w:cs="Book Antiqua"/>
          <w:spacing w:val="-1"/>
          <w:lang w:val="en-US"/>
        </w:rPr>
        <w:t>R</w:t>
      </w:r>
      <w:r w:rsidRPr="008F194B">
        <w:rPr>
          <w:rFonts w:eastAsia="Book Antiqua" w:cs="Book Antiqua"/>
          <w:lang w:val="en-US"/>
        </w:rPr>
        <w:t>e</w:t>
      </w:r>
      <w:r w:rsidRPr="008F194B">
        <w:rPr>
          <w:rFonts w:eastAsia="Book Antiqua" w:cs="Book Antiqua"/>
          <w:spacing w:val="1"/>
          <w:lang w:val="en-US"/>
        </w:rPr>
        <w:t>p</w:t>
      </w:r>
      <w:r w:rsidRPr="008F194B">
        <w:rPr>
          <w:rFonts w:eastAsia="Book Antiqua" w:cs="Book Antiqua"/>
          <w:spacing w:val="-1"/>
          <w:lang w:val="en-US"/>
        </w:rPr>
        <w:t>o</w:t>
      </w:r>
      <w:r w:rsidRPr="008F194B">
        <w:rPr>
          <w:rFonts w:eastAsia="Book Antiqua" w:cs="Book Antiqua"/>
          <w:lang w:val="en-US"/>
        </w:rPr>
        <w:t>r</w:t>
      </w:r>
      <w:r w:rsidRPr="008F194B">
        <w:rPr>
          <w:rFonts w:eastAsia="Book Antiqua" w:cs="Book Antiqua"/>
          <w:spacing w:val="1"/>
          <w:lang w:val="en-US"/>
        </w:rPr>
        <w:t>t</w:t>
      </w:r>
      <w:r w:rsidRPr="008F194B">
        <w:rPr>
          <w:rFonts w:eastAsia="Book Antiqua" w:cs="Book Antiqua"/>
          <w:lang w:val="en-US"/>
        </w:rPr>
        <w:t>,</w:t>
      </w:r>
      <w:r w:rsidRPr="008F194B">
        <w:rPr>
          <w:rFonts w:eastAsia="Book Antiqua" w:cs="Book Antiqua"/>
          <w:spacing w:val="-6"/>
          <w:lang w:val="en-US"/>
        </w:rPr>
        <w:t xml:space="preserve"> </w:t>
      </w:r>
      <w:r w:rsidRPr="008F194B">
        <w:rPr>
          <w:rFonts w:eastAsia="Book Antiqua" w:cs="Book Antiqua"/>
          <w:spacing w:val="1"/>
          <w:lang w:val="en-US"/>
        </w:rPr>
        <w:t>2</w:t>
      </w:r>
    </w:p>
  </w:footnote>
  <w:footnote w:id="88">
    <w:p w14:paraId="55564F60" w14:textId="461FF211" w:rsidR="004476E1" w:rsidRPr="008F194B" w:rsidRDefault="004476E1">
      <w:pPr>
        <w:pStyle w:val="FootnoteText"/>
      </w:pPr>
      <w:r w:rsidRPr="008F194B">
        <w:rPr>
          <w:rStyle w:val="FootnoteReference"/>
        </w:rPr>
        <w:footnoteRef/>
      </w:r>
      <w:r w:rsidRPr="008F194B">
        <w:t xml:space="preserve"> </w:t>
      </w:r>
      <w:r w:rsidRPr="008F194B">
        <w:rPr>
          <w:rFonts w:eastAsia="Book Antiqua" w:cs="Book Antiqua"/>
          <w:lang w:val="en-US"/>
        </w:rPr>
        <w:t>Ibid,</w:t>
      </w:r>
      <w:r w:rsidRPr="008F194B">
        <w:rPr>
          <w:rFonts w:eastAsia="Book Antiqua" w:cs="Book Antiqua"/>
          <w:spacing w:val="-3"/>
          <w:lang w:val="en-US"/>
        </w:rPr>
        <w:t xml:space="preserve"> </w:t>
      </w:r>
      <w:r w:rsidRPr="008F194B">
        <w:rPr>
          <w:rFonts w:eastAsia="Book Antiqua" w:cs="Book Antiqua"/>
          <w:spacing w:val="1"/>
          <w:lang w:val="en-US"/>
        </w:rPr>
        <w:t>6</w:t>
      </w:r>
    </w:p>
  </w:footnote>
  <w:footnote w:id="89">
    <w:p w14:paraId="6CB8E56A" w14:textId="72DA0FE6" w:rsidR="004476E1" w:rsidRPr="008F194B" w:rsidRDefault="004476E1">
      <w:pPr>
        <w:pStyle w:val="FootnoteText"/>
      </w:pPr>
      <w:r w:rsidRPr="008F194B">
        <w:rPr>
          <w:rStyle w:val="FootnoteReference"/>
        </w:rPr>
        <w:footnoteRef/>
      </w:r>
      <w:r w:rsidRPr="008F194B">
        <w:t xml:space="preserve"> Ibid, 7.</w:t>
      </w:r>
    </w:p>
  </w:footnote>
  <w:footnote w:id="90">
    <w:p w14:paraId="35C548A7" w14:textId="66E133E6" w:rsidR="004476E1" w:rsidRPr="008F194B" w:rsidRDefault="004476E1">
      <w:pPr>
        <w:pStyle w:val="FootnoteText"/>
      </w:pPr>
      <w:r w:rsidRPr="008F194B">
        <w:rPr>
          <w:rStyle w:val="FootnoteReference"/>
        </w:rPr>
        <w:footnoteRef/>
      </w:r>
      <w:r w:rsidRPr="008F194B">
        <w:t xml:space="preserve"> Ibid, 15.</w:t>
      </w:r>
    </w:p>
  </w:footnote>
  <w:footnote w:id="91">
    <w:p w14:paraId="6CDA3CA9" w14:textId="189B01D4" w:rsidR="004476E1" w:rsidRPr="008F194B" w:rsidRDefault="004476E1">
      <w:pPr>
        <w:pStyle w:val="FootnoteText"/>
      </w:pPr>
      <w:r w:rsidRPr="008F194B">
        <w:rPr>
          <w:rStyle w:val="FootnoteReference"/>
        </w:rPr>
        <w:footnoteRef/>
      </w:r>
      <w:r w:rsidRPr="008F194B">
        <w:t xml:space="preserve"> Ibid, 7.</w:t>
      </w:r>
    </w:p>
  </w:footnote>
  <w:footnote w:id="92">
    <w:p w14:paraId="4000AF04" w14:textId="539BA9AB" w:rsidR="004476E1" w:rsidRPr="008F194B" w:rsidRDefault="004476E1">
      <w:pPr>
        <w:pStyle w:val="FootnoteText"/>
      </w:pPr>
      <w:r w:rsidRPr="008F194B">
        <w:rPr>
          <w:rStyle w:val="FootnoteReference"/>
        </w:rPr>
        <w:footnoteRef/>
      </w:r>
      <w:r w:rsidRPr="008F194B">
        <w:t xml:space="preserve"> Ibid, 16.</w:t>
      </w:r>
    </w:p>
  </w:footnote>
  <w:footnote w:id="93">
    <w:p w14:paraId="0B3DDCD2" w14:textId="54A20112" w:rsidR="004476E1" w:rsidRPr="008F194B" w:rsidRDefault="004476E1">
      <w:pPr>
        <w:pStyle w:val="FootnoteText"/>
      </w:pPr>
      <w:r w:rsidRPr="008F194B">
        <w:rPr>
          <w:rStyle w:val="FootnoteReference"/>
        </w:rPr>
        <w:footnoteRef/>
      </w:r>
      <w:r w:rsidRPr="008F194B">
        <w:t xml:space="preserve"> Ibid, 13.</w:t>
      </w:r>
    </w:p>
  </w:footnote>
  <w:footnote w:id="94">
    <w:p w14:paraId="13ECB67C" w14:textId="0ECF253B" w:rsidR="004476E1" w:rsidRPr="008F194B" w:rsidRDefault="004476E1">
      <w:pPr>
        <w:pStyle w:val="FootnoteText"/>
      </w:pPr>
      <w:r w:rsidRPr="008F194B">
        <w:rPr>
          <w:rStyle w:val="FootnoteReference"/>
        </w:rPr>
        <w:footnoteRef/>
      </w:r>
      <w:r w:rsidR="00724727" w:rsidRPr="008F194B">
        <w:t xml:space="preserve"> </w:t>
      </w:r>
      <w:r w:rsidR="00E745E7" w:rsidRPr="008F194B">
        <w:t xml:space="preserve"> </w:t>
      </w:r>
      <w:hyperlink r:id="rId15" w:history="1">
        <w:r w:rsidR="00E745E7" w:rsidRPr="008F194B">
          <w:rPr>
            <w:rStyle w:val="Hyperlink"/>
          </w:rPr>
          <w:t>http://www.premier.vic.gov.au/its-time-to-fix-our-broken-family-violence-system/</w:t>
        </w:r>
      </w:hyperlink>
      <w:r w:rsidR="00E745E7" w:rsidRPr="008F194B">
        <w:t xml:space="preserve"> - 30 March 2016</w:t>
      </w:r>
      <w:r w:rsidR="00724727" w:rsidRPr="008F194B">
        <w:t>.</w:t>
      </w:r>
    </w:p>
  </w:footnote>
  <w:footnote w:id="95">
    <w:p w14:paraId="6FBD4579" w14:textId="0EF5DCEF" w:rsidR="004476E1" w:rsidRPr="008F194B" w:rsidRDefault="004476E1">
      <w:pPr>
        <w:pStyle w:val="FootnoteText"/>
      </w:pPr>
      <w:r w:rsidRPr="008F194B">
        <w:rPr>
          <w:rStyle w:val="FootnoteReference"/>
        </w:rPr>
        <w:footnoteRef/>
      </w:r>
      <w:r w:rsidRPr="008F194B">
        <w:t xml:space="preserve"> </w:t>
      </w:r>
      <w:proofErr w:type="spellStart"/>
      <w:r w:rsidRPr="008F194B">
        <w:t>Asche</w:t>
      </w:r>
      <w:proofErr w:type="spellEnd"/>
      <w:r w:rsidRPr="008F194B">
        <w:t>, the Hon A, ‘The Rights of the Child’, an unpublished paper delivered as the Vernon Collins Memorial Lecture, Melbourne, 14 October 1981.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C37B" w14:textId="77777777" w:rsidR="00250128" w:rsidRDefault="00250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C9BD" w14:textId="77777777" w:rsidR="00250128" w:rsidRDefault="00250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7CAC" w14:textId="77777777" w:rsidR="00250128" w:rsidRDefault="00250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A5DB6"/>
    <w:multiLevelType w:val="hybridMultilevel"/>
    <w:tmpl w:val="7D9C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671F86"/>
    <w:multiLevelType w:val="hybridMultilevel"/>
    <w:tmpl w:val="11A0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3104E7"/>
    <w:multiLevelType w:val="hybridMultilevel"/>
    <w:tmpl w:val="65D4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832ACF"/>
    <w:multiLevelType w:val="hybridMultilevel"/>
    <w:tmpl w:val="98384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9980412"/>
    <w:multiLevelType w:val="hybridMultilevel"/>
    <w:tmpl w:val="A1BE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BC"/>
    <w:rsid w:val="000439F5"/>
    <w:rsid w:val="00047CF5"/>
    <w:rsid w:val="000578D8"/>
    <w:rsid w:val="00067FA2"/>
    <w:rsid w:val="00075856"/>
    <w:rsid w:val="00077AED"/>
    <w:rsid w:val="000809D8"/>
    <w:rsid w:val="000913F9"/>
    <w:rsid w:val="00092913"/>
    <w:rsid w:val="0009625A"/>
    <w:rsid w:val="000B7218"/>
    <w:rsid w:val="000B76C9"/>
    <w:rsid w:val="000C660D"/>
    <w:rsid w:val="000C69AF"/>
    <w:rsid w:val="000E6106"/>
    <w:rsid w:val="000F358F"/>
    <w:rsid w:val="001036EB"/>
    <w:rsid w:val="001261A9"/>
    <w:rsid w:val="00145C61"/>
    <w:rsid w:val="0016782C"/>
    <w:rsid w:val="00192D6D"/>
    <w:rsid w:val="001969D6"/>
    <w:rsid w:val="001A5799"/>
    <w:rsid w:val="001A742D"/>
    <w:rsid w:val="001B2520"/>
    <w:rsid w:val="001C22F5"/>
    <w:rsid w:val="001D6E2C"/>
    <w:rsid w:val="001D7B4D"/>
    <w:rsid w:val="001E592F"/>
    <w:rsid w:val="002277AA"/>
    <w:rsid w:val="00246E9D"/>
    <w:rsid w:val="00250128"/>
    <w:rsid w:val="00250DEF"/>
    <w:rsid w:val="0028575A"/>
    <w:rsid w:val="00294F48"/>
    <w:rsid w:val="002A298D"/>
    <w:rsid w:val="002B6581"/>
    <w:rsid w:val="002C1267"/>
    <w:rsid w:val="002C4903"/>
    <w:rsid w:val="002D0BC3"/>
    <w:rsid w:val="002E158C"/>
    <w:rsid w:val="002E252C"/>
    <w:rsid w:val="00300390"/>
    <w:rsid w:val="003133E4"/>
    <w:rsid w:val="0035310B"/>
    <w:rsid w:val="00357A8B"/>
    <w:rsid w:val="003603C4"/>
    <w:rsid w:val="00394C79"/>
    <w:rsid w:val="003A22F8"/>
    <w:rsid w:val="003A2C55"/>
    <w:rsid w:val="003B0B86"/>
    <w:rsid w:val="003B60EC"/>
    <w:rsid w:val="003C2B94"/>
    <w:rsid w:val="003C4999"/>
    <w:rsid w:val="003C66DE"/>
    <w:rsid w:val="003D4C4F"/>
    <w:rsid w:val="003E40B1"/>
    <w:rsid w:val="003E56D5"/>
    <w:rsid w:val="003F0E85"/>
    <w:rsid w:val="003F2558"/>
    <w:rsid w:val="003F5A1D"/>
    <w:rsid w:val="004060CE"/>
    <w:rsid w:val="004331F7"/>
    <w:rsid w:val="00446C9D"/>
    <w:rsid w:val="004476E1"/>
    <w:rsid w:val="00451DE3"/>
    <w:rsid w:val="0045319D"/>
    <w:rsid w:val="00456446"/>
    <w:rsid w:val="004573A9"/>
    <w:rsid w:val="00464ED7"/>
    <w:rsid w:val="004778EC"/>
    <w:rsid w:val="004818A2"/>
    <w:rsid w:val="0048312F"/>
    <w:rsid w:val="004B0578"/>
    <w:rsid w:val="004B2FE3"/>
    <w:rsid w:val="004C4B54"/>
    <w:rsid w:val="004D461E"/>
    <w:rsid w:val="004D499E"/>
    <w:rsid w:val="004F1F13"/>
    <w:rsid w:val="004F508E"/>
    <w:rsid w:val="004F6C01"/>
    <w:rsid w:val="00513A66"/>
    <w:rsid w:val="00514FEC"/>
    <w:rsid w:val="00520BC1"/>
    <w:rsid w:val="00533FF8"/>
    <w:rsid w:val="0055161B"/>
    <w:rsid w:val="005719EA"/>
    <w:rsid w:val="005837CA"/>
    <w:rsid w:val="00585028"/>
    <w:rsid w:val="00591C09"/>
    <w:rsid w:val="005941EE"/>
    <w:rsid w:val="005C6D48"/>
    <w:rsid w:val="005E027C"/>
    <w:rsid w:val="005F0966"/>
    <w:rsid w:val="005F2B86"/>
    <w:rsid w:val="00603DBE"/>
    <w:rsid w:val="006202B2"/>
    <w:rsid w:val="006220AC"/>
    <w:rsid w:val="00634C48"/>
    <w:rsid w:val="0064416D"/>
    <w:rsid w:val="006532BE"/>
    <w:rsid w:val="00655837"/>
    <w:rsid w:val="00655B1A"/>
    <w:rsid w:val="00655B31"/>
    <w:rsid w:val="00670A5E"/>
    <w:rsid w:val="00682EEF"/>
    <w:rsid w:val="00697BDC"/>
    <w:rsid w:val="006A18C3"/>
    <w:rsid w:val="006A6873"/>
    <w:rsid w:val="006D1234"/>
    <w:rsid w:val="006F06AF"/>
    <w:rsid w:val="006F7493"/>
    <w:rsid w:val="0070778F"/>
    <w:rsid w:val="00724727"/>
    <w:rsid w:val="0073437C"/>
    <w:rsid w:val="00740F08"/>
    <w:rsid w:val="00742832"/>
    <w:rsid w:val="00746E45"/>
    <w:rsid w:val="00761E0E"/>
    <w:rsid w:val="007757BE"/>
    <w:rsid w:val="00777A62"/>
    <w:rsid w:val="0078024B"/>
    <w:rsid w:val="00791851"/>
    <w:rsid w:val="00794C24"/>
    <w:rsid w:val="007B0E79"/>
    <w:rsid w:val="007B15D3"/>
    <w:rsid w:val="007C5E73"/>
    <w:rsid w:val="007C5F42"/>
    <w:rsid w:val="007D277D"/>
    <w:rsid w:val="007D70AC"/>
    <w:rsid w:val="007E2E0F"/>
    <w:rsid w:val="007F1267"/>
    <w:rsid w:val="00831D44"/>
    <w:rsid w:val="00841D3F"/>
    <w:rsid w:val="00860CC1"/>
    <w:rsid w:val="008676F8"/>
    <w:rsid w:val="00871AB0"/>
    <w:rsid w:val="00872D08"/>
    <w:rsid w:val="00880A9C"/>
    <w:rsid w:val="008878BB"/>
    <w:rsid w:val="008A1671"/>
    <w:rsid w:val="008A3D81"/>
    <w:rsid w:val="008A62C6"/>
    <w:rsid w:val="008D259D"/>
    <w:rsid w:val="008D68BB"/>
    <w:rsid w:val="008E36F1"/>
    <w:rsid w:val="008F194B"/>
    <w:rsid w:val="00901055"/>
    <w:rsid w:val="0091132D"/>
    <w:rsid w:val="0091570D"/>
    <w:rsid w:val="00923A25"/>
    <w:rsid w:val="00943C00"/>
    <w:rsid w:val="00950B25"/>
    <w:rsid w:val="009541D6"/>
    <w:rsid w:val="00955E44"/>
    <w:rsid w:val="00963591"/>
    <w:rsid w:val="00971593"/>
    <w:rsid w:val="00985EC1"/>
    <w:rsid w:val="00992AAC"/>
    <w:rsid w:val="009A4705"/>
    <w:rsid w:val="009C081C"/>
    <w:rsid w:val="009C7FAB"/>
    <w:rsid w:val="009E1C39"/>
    <w:rsid w:val="009E60BC"/>
    <w:rsid w:val="009E6789"/>
    <w:rsid w:val="009F0A5B"/>
    <w:rsid w:val="00A14611"/>
    <w:rsid w:val="00A226AD"/>
    <w:rsid w:val="00A229A6"/>
    <w:rsid w:val="00A26022"/>
    <w:rsid w:val="00A30A2D"/>
    <w:rsid w:val="00A31C35"/>
    <w:rsid w:val="00A3368A"/>
    <w:rsid w:val="00A53EF9"/>
    <w:rsid w:val="00A637A2"/>
    <w:rsid w:val="00A71ADD"/>
    <w:rsid w:val="00A72F62"/>
    <w:rsid w:val="00A967BB"/>
    <w:rsid w:val="00AA4C08"/>
    <w:rsid w:val="00AA7085"/>
    <w:rsid w:val="00AB1967"/>
    <w:rsid w:val="00AC2736"/>
    <w:rsid w:val="00AD5C90"/>
    <w:rsid w:val="00AE1FF9"/>
    <w:rsid w:val="00B204B2"/>
    <w:rsid w:val="00B36BC8"/>
    <w:rsid w:val="00B37F4F"/>
    <w:rsid w:val="00B458A2"/>
    <w:rsid w:val="00B72758"/>
    <w:rsid w:val="00BA211E"/>
    <w:rsid w:val="00BB40BB"/>
    <w:rsid w:val="00BE18E3"/>
    <w:rsid w:val="00BE3965"/>
    <w:rsid w:val="00BE6967"/>
    <w:rsid w:val="00BF43D6"/>
    <w:rsid w:val="00BF7C98"/>
    <w:rsid w:val="00C0224A"/>
    <w:rsid w:val="00C12B78"/>
    <w:rsid w:val="00C24B18"/>
    <w:rsid w:val="00C25BE7"/>
    <w:rsid w:val="00C6207B"/>
    <w:rsid w:val="00C7021B"/>
    <w:rsid w:val="00C85201"/>
    <w:rsid w:val="00C915FB"/>
    <w:rsid w:val="00C91C11"/>
    <w:rsid w:val="00C93422"/>
    <w:rsid w:val="00C93F0F"/>
    <w:rsid w:val="00CB723A"/>
    <w:rsid w:val="00CC2FB4"/>
    <w:rsid w:val="00CE11C1"/>
    <w:rsid w:val="00CE74B8"/>
    <w:rsid w:val="00D02A27"/>
    <w:rsid w:val="00D07C96"/>
    <w:rsid w:val="00D2404F"/>
    <w:rsid w:val="00D24716"/>
    <w:rsid w:val="00D24F0F"/>
    <w:rsid w:val="00D45609"/>
    <w:rsid w:val="00D54F44"/>
    <w:rsid w:val="00D81856"/>
    <w:rsid w:val="00DA035B"/>
    <w:rsid w:val="00DA122A"/>
    <w:rsid w:val="00DA177F"/>
    <w:rsid w:val="00DA3A7E"/>
    <w:rsid w:val="00DB6564"/>
    <w:rsid w:val="00DB6654"/>
    <w:rsid w:val="00DB7822"/>
    <w:rsid w:val="00DC2921"/>
    <w:rsid w:val="00DC2D02"/>
    <w:rsid w:val="00DC53F1"/>
    <w:rsid w:val="00DD0A57"/>
    <w:rsid w:val="00DD46F3"/>
    <w:rsid w:val="00DE38C7"/>
    <w:rsid w:val="00DE68E2"/>
    <w:rsid w:val="00E005D9"/>
    <w:rsid w:val="00E1080C"/>
    <w:rsid w:val="00E1110A"/>
    <w:rsid w:val="00E149A5"/>
    <w:rsid w:val="00E20B71"/>
    <w:rsid w:val="00E302EC"/>
    <w:rsid w:val="00E443F4"/>
    <w:rsid w:val="00E566DB"/>
    <w:rsid w:val="00E745E7"/>
    <w:rsid w:val="00E772E4"/>
    <w:rsid w:val="00E85541"/>
    <w:rsid w:val="00E87D2A"/>
    <w:rsid w:val="00E90F63"/>
    <w:rsid w:val="00E9121D"/>
    <w:rsid w:val="00E9301E"/>
    <w:rsid w:val="00E9513F"/>
    <w:rsid w:val="00EA311E"/>
    <w:rsid w:val="00EC3B20"/>
    <w:rsid w:val="00ED020B"/>
    <w:rsid w:val="00ED6298"/>
    <w:rsid w:val="00EE609E"/>
    <w:rsid w:val="00EF4D6E"/>
    <w:rsid w:val="00F06125"/>
    <w:rsid w:val="00F10A06"/>
    <w:rsid w:val="00F1222A"/>
    <w:rsid w:val="00F16D1A"/>
    <w:rsid w:val="00F20F3D"/>
    <w:rsid w:val="00F26614"/>
    <w:rsid w:val="00F35BBA"/>
    <w:rsid w:val="00F57974"/>
    <w:rsid w:val="00F60A06"/>
    <w:rsid w:val="00F75ACD"/>
    <w:rsid w:val="00F77E89"/>
    <w:rsid w:val="00F91C55"/>
    <w:rsid w:val="00F93726"/>
    <w:rsid w:val="00F94DED"/>
    <w:rsid w:val="00FA5206"/>
    <w:rsid w:val="00FB42B5"/>
    <w:rsid w:val="00FC1013"/>
    <w:rsid w:val="00FD12EE"/>
    <w:rsid w:val="00FF22AD"/>
    <w:rsid w:val="00FF49DE"/>
    <w:rsid w:val="00FF7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C60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F9"/>
    <w:pPr>
      <w:ind w:left="720"/>
      <w:contextualSpacing/>
    </w:pPr>
  </w:style>
  <w:style w:type="paragraph" w:styleId="FootnoteText">
    <w:name w:val="footnote text"/>
    <w:basedOn w:val="Normal"/>
    <w:link w:val="FootnoteTextChar"/>
    <w:uiPriority w:val="99"/>
    <w:semiHidden/>
    <w:unhideWhenUsed/>
    <w:rsid w:val="004D4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61E"/>
    <w:rPr>
      <w:sz w:val="20"/>
      <w:szCs w:val="20"/>
    </w:rPr>
  </w:style>
  <w:style w:type="character" w:styleId="FootnoteReference">
    <w:name w:val="footnote reference"/>
    <w:basedOn w:val="DefaultParagraphFont"/>
    <w:uiPriority w:val="99"/>
    <w:semiHidden/>
    <w:unhideWhenUsed/>
    <w:rsid w:val="004D461E"/>
    <w:rPr>
      <w:vertAlign w:val="superscript"/>
    </w:rPr>
  </w:style>
  <w:style w:type="paragraph" w:styleId="Header">
    <w:name w:val="header"/>
    <w:basedOn w:val="Normal"/>
    <w:link w:val="HeaderChar"/>
    <w:uiPriority w:val="99"/>
    <w:unhideWhenUsed/>
    <w:rsid w:val="001D7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B4D"/>
  </w:style>
  <w:style w:type="paragraph" w:styleId="Footer">
    <w:name w:val="footer"/>
    <w:basedOn w:val="Normal"/>
    <w:link w:val="FooterChar"/>
    <w:uiPriority w:val="99"/>
    <w:unhideWhenUsed/>
    <w:rsid w:val="001D7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B4D"/>
  </w:style>
  <w:style w:type="paragraph" w:styleId="BalloonText">
    <w:name w:val="Balloon Text"/>
    <w:basedOn w:val="Normal"/>
    <w:link w:val="BalloonTextChar"/>
    <w:uiPriority w:val="99"/>
    <w:semiHidden/>
    <w:unhideWhenUsed/>
    <w:rsid w:val="00BE6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967"/>
    <w:rPr>
      <w:rFonts w:ascii="Segoe UI" w:hAnsi="Segoe UI" w:cs="Segoe UI"/>
      <w:sz w:val="18"/>
      <w:szCs w:val="18"/>
    </w:rPr>
  </w:style>
  <w:style w:type="character" w:styleId="Hyperlink">
    <w:name w:val="Hyperlink"/>
    <w:basedOn w:val="DefaultParagraphFont"/>
    <w:uiPriority w:val="99"/>
    <w:unhideWhenUsed/>
    <w:rsid w:val="00FA5206"/>
    <w:rPr>
      <w:color w:val="0563C1" w:themeColor="hyperlink"/>
      <w:u w:val="single"/>
    </w:rPr>
  </w:style>
  <w:style w:type="character" w:styleId="CommentReference">
    <w:name w:val="annotation reference"/>
    <w:basedOn w:val="DefaultParagraphFont"/>
    <w:uiPriority w:val="99"/>
    <w:semiHidden/>
    <w:unhideWhenUsed/>
    <w:rsid w:val="001969D6"/>
    <w:rPr>
      <w:sz w:val="16"/>
      <w:szCs w:val="16"/>
    </w:rPr>
  </w:style>
  <w:style w:type="paragraph" w:styleId="CommentText">
    <w:name w:val="annotation text"/>
    <w:basedOn w:val="Normal"/>
    <w:link w:val="CommentTextChar"/>
    <w:uiPriority w:val="99"/>
    <w:semiHidden/>
    <w:unhideWhenUsed/>
    <w:rsid w:val="001969D6"/>
    <w:pPr>
      <w:spacing w:line="240" w:lineRule="auto"/>
    </w:pPr>
    <w:rPr>
      <w:sz w:val="20"/>
      <w:szCs w:val="20"/>
    </w:rPr>
  </w:style>
  <w:style w:type="character" w:customStyle="1" w:styleId="CommentTextChar">
    <w:name w:val="Comment Text Char"/>
    <w:basedOn w:val="DefaultParagraphFont"/>
    <w:link w:val="CommentText"/>
    <w:uiPriority w:val="99"/>
    <w:semiHidden/>
    <w:rsid w:val="001969D6"/>
    <w:rPr>
      <w:sz w:val="20"/>
      <w:szCs w:val="20"/>
    </w:rPr>
  </w:style>
  <w:style w:type="paragraph" w:styleId="CommentSubject">
    <w:name w:val="annotation subject"/>
    <w:basedOn w:val="CommentText"/>
    <w:next w:val="CommentText"/>
    <w:link w:val="CommentSubjectChar"/>
    <w:uiPriority w:val="99"/>
    <w:semiHidden/>
    <w:unhideWhenUsed/>
    <w:rsid w:val="001969D6"/>
    <w:rPr>
      <w:b/>
      <w:bCs/>
    </w:rPr>
  </w:style>
  <w:style w:type="character" w:customStyle="1" w:styleId="CommentSubjectChar">
    <w:name w:val="Comment Subject Char"/>
    <w:basedOn w:val="CommentTextChar"/>
    <w:link w:val="CommentSubject"/>
    <w:uiPriority w:val="99"/>
    <w:semiHidden/>
    <w:rsid w:val="001969D6"/>
    <w:rPr>
      <w:b/>
      <w:bCs/>
      <w:sz w:val="20"/>
      <w:szCs w:val="20"/>
    </w:rPr>
  </w:style>
  <w:style w:type="paragraph" w:styleId="Revision">
    <w:name w:val="Revision"/>
    <w:hidden/>
    <w:uiPriority w:val="99"/>
    <w:semiHidden/>
    <w:rsid w:val="001969D6"/>
    <w:pPr>
      <w:spacing w:after="0" w:line="240" w:lineRule="auto"/>
    </w:pPr>
  </w:style>
  <w:style w:type="character" w:styleId="FollowedHyperlink">
    <w:name w:val="FollowedHyperlink"/>
    <w:basedOn w:val="DefaultParagraphFont"/>
    <w:uiPriority w:val="99"/>
    <w:semiHidden/>
    <w:unhideWhenUsed/>
    <w:rsid w:val="00591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t.gov.au/__data/assets/pdf_file/0004/238198/Review-of-the-Northern-Territory-Youth-Detention-System-January-2015.pdf" TargetMode="External"/><Relationship Id="rId13" Type="http://schemas.openxmlformats.org/officeDocument/2006/relationships/hyperlink" Target="http://www.oric.gov.au/publications/spotlight/driving-community-initiatives" TargetMode="External"/><Relationship Id="rId3" Type="http://schemas.openxmlformats.org/officeDocument/2006/relationships/hyperlink" Target="http://www.abs.gov.au/ausstats/abs@.nsf/Products/42EC7840CD683146CA257840000F319D?opendocument" TargetMode="External"/><Relationship Id="rId7" Type="http://schemas.openxmlformats.org/officeDocument/2006/relationships/hyperlink" Target="http://www.theguardian.com/australia-news/2016/may/26/patdodsonindigenousincarcerationrateshamefulduetofailuretoaddresspoverty" TargetMode="External"/><Relationship Id="rId12" Type="http://schemas.openxmlformats.org/officeDocument/2006/relationships/hyperlink" Target="http://www.mirarr.net/djidbidjidbi-residential-college" TargetMode="External"/><Relationship Id="rId2" Type="http://schemas.openxmlformats.org/officeDocument/2006/relationships/hyperlink" Target="http://www.abs.gov.au/ausstats/abs@.nsf/Products/9458935BB998B2EBCA257840000F31C9?opendocument" TargetMode="External"/><Relationship Id="rId1" Type="http://schemas.openxmlformats.org/officeDocument/2006/relationships/hyperlink" Target="http://www.couriermail.com.au/news/national/former-australian-of-the-year-patrick-mcgorry-calls-on-politicians-to-free-asylum-seeker-children-from-detention/story-e6freooo-1226051825641" TargetMode="External"/><Relationship Id="rId6" Type="http://schemas.openxmlformats.org/officeDocument/2006/relationships/hyperlink" Target="http://www.aic.gov.au/publications/current%20series/tandi/401-420/tandi416.html" TargetMode="External"/><Relationship Id="rId11" Type="http://schemas.openxmlformats.org/officeDocument/2006/relationships/hyperlink" Target="http://www.childcomm.tas.gov.au/wp-content/uploads/2015/07/Alternatives-to-Secure-Youth-Detention-FINAL-2013.pdf" TargetMode="External"/><Relationship Id="rId5" Type="http://schemas.openxmlformats.org/officeDocument/2006/relationships/hyperlink" Target="https://www.parliament.qld.gov.au/documents/hansard/1992/920805ha.pdf" TargetMode="External"/><Relationship Id="rId15" Type="http://schemas.openxmlformats.org/officeDocument/2006/relationships/hyperlink" Target="http://www.premier.vic.gov.au/its-time-to-fix-our-broken-family-violence-system/" TargetMode="External"/><Relationship Id="rId10" Type="http://schemas.openxmlformats.org/officeDocument/2006/relationships/hyperlink" Target="http://www.un.org/en/globalissues/briefingpapers/efa/quotes.shtml" TargetMode="External"/><Relationship Id="rId4" Type="http://schemas.openxmlformats.org/officeDocument/2006/relationships/hyperlink" Target="http://www.abs.gov.au/ausstats/abs@.nsf/Lookup/by%20Subject/4519.0~2014-15~Main%20Features~Youth%20Offenders~4" TargetMode="External"/><Relationship Id="rId9" Type="http://schemas.openxmlformats.org/officeDocument/2006/relationships/hyperlink" Target="http://www.austlii.edu.au/au/journals/IndigLawB/2010/11.html" TargetMode="External"/><Relationship Id="rId14" Type="http://schemas.openxmlformats.org/officeDocument/2006/relationships/hyperlink" Target="http://www.rcfv.com.au/Media/Roy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BF980-4C78-4D57-A038-7CD28BF54BEF}">
  <ds:schemaRefs>
    <ds:schemaRef ds:uri="http://schemas.openxmlformats.org/officeDocument/2006/bibliography"/>
  </ds:schemaRefs>
</ds:datastoreItem>
</file>

<file path=customXml/itemProps2.xml><?xml version="1.0" encoding="utf-8"?>
<ds:datastoreItem xmlns:ds="http://schemas.openxmlformats.org/officeDocument/2006/customXml" ds:itemID="{B0552CFB-707D-41F3-9E10-1BCA1E854838}"/>
</file>

<file path=customXml/itemProps3.xml><?xml version="1.0" encoding="utf-8"?>
<ds:datastoreItem xmlns:ds="http://schemas.openxmlformats.org/officeDocument/2006/customXml" ds:itemID="{3B910C57-48F7-4439-A4C5-690C49A5A21D}"/>
</file>

<file path=customXml/itemProps4.xml><?xml version="1.0" encoding="utf-8"?>
<ds:datastoreItem xmlns:ds="http://schemas.openxmlformats.org/officeDocument/2006/customXml" ds:itemID="{EE2E9A49-8F11-4CCD-865E-FFEA6B2BA996}"/>
</file>

<file path=docProps/app.xml><?xml version="1.0" encoding="utf-8"?>
<Properties xmlns="http://schemas.openxmlformats.org/officeDocument/2006/extended-properties" xmlns:vt="http://schemas.openxmlformats.org/officeDocument/2006/docPropsVTypes">
  <Template>Normal</Template>
  <TotalTime>0</TotalTime>
  <Pages>38</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2016-10-11T05:11:00Z</dcterms:created>
  <dcterms:modified xsi:type="dcterms:W3CDTF">2016-10-11T05:17:00Z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