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305B" w14:textId="77777777" w:rsidR="00AA6289" w:rsidRPr="009F46D4" w:rsidRDefault="00AA6289" w:rsidP="00AA6289">
      <w:pPr>
        <w:spacing w:line="240" w:lineRule="auto"/>
        <w:jc w:val="center"/>
        <w:rPr>
          <w:rFonts w:ascii="Times New Roman" w:hAnsi="Times New Roman"/>
          <w:b/>
          <w:sz w:val="60"/>
          <w:szCs w:val="60"/>
        </w:rPr>
      </w:pPr>
    </w:p>
    <w:p w14:paraId="147CC93C" w14:textId="77777777" w:rsidR="000929C0" w:rsidRPr="009F46D4" w:rsidRDefault="000929C0" w:rsidP="00AA6289">
      <w:pPr>
        <w:spacing w:line="240" w:lineRule="auto"/>
        <w:jc w:val="center"/>
        <w:rPr>
          <w:rFonts w:ascii="Times New Roman" w:hAnsi="Times New Roman"/>
          <w:b/>
          <w:sz w:val="60"/>
          <w:szCs w:val="60"/>
        </w:rPr>
      </w:pPr>
    </w:p>
    <w:p w14:paraId="1240C2CA" w14:textId="77777777" w:rsidR="00AA6289" w:rsidRPr="009F46D4" w:rsidRDefault="00AA6289" w:rsidP="00AA6289">
      <w:pPr>
        <w:spacing w:line="240" w:lineRule="auto"/>
        <w:jc w:val="center"/>
        <w:rPr>
          <w:rFonts w:ascii="Times New Roman" w:hAnsi="Times New Roman"/>
          <w:b/>
          <w:sz w:val="60"/>
          <w:szCs w:val="60"/>
        </w:rPr>
      </w:pPr>
    </w:p>
    <w:p w14:paraId="597D7781" w14:textId="0D75DCB7" w:rsidR="00AA6289" w:rsidRPr="009F46D4" w:rsidRDefault="00DD018B" w:rsidP="00AA6289">
      <w:pPr>
        <w:spacing w:line="240" w:lineRule="auto"/>
        <w:jc w:val="center"/>
        <w:rPr>
          <w:rFonts w:ascii="Times New Roman" w:hAnsi="Times New Roman"/>
          <w:b/>
          <w:sz w:val="60"/>
          <w:szCs w:val="60"/>
        </w:rPr>
      </w:pPr>
      <w:r w:rsidRPr="009F46D4">
        <w:rPr>
          <w:rFonts w:ascii="Times New Roman" w:hAnsi="Times New Roman"/>
          <w:b/>
          <w:sz w:val="60"/>
          <w:szCs w:val="60"/>
        </w:rPr>
        <w:t>T</w:t>
      </w:r>
      <w:r w:rsidR="00BB6F25" w:rsidRPr="009F46D4">
        <w:rPr>
          <w:rFonts w:ascii="Times New Roman" w:hAnsi="Times New Roman"/>
          <w:b/>
          <w:sz w:val="60"/>
          <w:szCs w:val="60"/>
        </w:rPr>
        <w:t>he Temptation of Domesticity—</w:t>
      </w:r>
      <w:r w:rsidR="00287E7E" w:rsidRPr="009F46D4">
        <w:rPr>
          <w:rFonts w:ascii="Times New Roman" w:hAnsi="Times New Roman"/>
          <w:b/>
          <w:sz w:val="60"/>
          <w:szCs w:val="60"/>
        </w:rPr>
        <w:t>an Evolving Challenge</w:t>
      </w:r>
      <w:r w:rsidRPr="009F46D4">
        <w:rPr>
          <w:rFonts w:ascii="Times New Roman" w:hAnsi="Times New Roman"/>
          <w:b/>
          <w:sz w:val="60"/>
          <w:szCs w:val="60"/>
        </w:rPr>
        <w:t xml:space="preserve"> in Arbitration</w:t>
      </w:r>
    </w:p>
    <w:p w14:paraId="3D5E6B93" w14:textId="77777777" w:rsidR="00AA6289" w:rsidRPr="009F46D4" w:rsidRDefault="00AA6289" w:rsidP="00AA6289">
      <w:pPr>
        <w:jc w:val="center"/>
        <w:rPr>
          <w:rFonts w:ascii="Times New Roman" w:hAnsi="Times New Roman"/>
          <w:b/>
          <w:sz w:val="28"/>
          <w:szCs w:val="28"/>
        </w:rPr>
      </w:pPr>
    </w:p>
    <w:p w14:paraId="6A51CCD4" w14:textId="77777777" w:rsidR="00AA6289" w:rsidRPr="009F46D4" w:rsidRDefault="00AA6289" w:rsidP="00AA6289">
      <w:pPr>
        <w:rPr>
          <w:rFonts w:ascii="Times New Roman" w:hAnsi="Times New Roman"/>
          <w:b/>
          <w:sz w:val="28"/>
          <w:szCs w:val="28"/>
        </w:rPr>
      </w:pPr>
    </w:p>
    <w:p w14:paraId="5F2BC678" w14:textId="77777777" w:rsidR="00AA6289" w:rsidRPr="009F46D4" w:rsidRDefault="00AA6289" w:rsidP="00AA6289">
      <w:pPr>
        <w:jc w:val="center"/>
        <w:rPr>
          <w:rFonts w:ascii="Times New Roman" w:hAnsi="Times New Roman"/>
          <w:b/>
          <w:sz w:val="28"/>
          <w:szCs w:val="28"/>
        </w:rPr>
      </w:pPr>
    </w:p>
    <w:p w14:paraId="2D69C130" w14:textId="77777777" w:rsidR="00AA6289" w:rsidRPr="009F46D4" w:rsidRDefault="00AA6289" w:rsidP="00AA6289">
      <w:pPr>
        <w:spacing w:line="240" w:lineRule="auto"/>
        <w:jc w:val="center"/>
        <w:rPr>
          <w:rFonts w:ascii="Times New Roman" w:hAnsi="Times New Roman"/>
          <w:b/>
          <w:sz w:val="28"/>
          <w:szCs w:val="28"/>
        </w:rPr>
      </w:pPr>
      <w:r w:rsidRPr="009F46D4">
        <w:rPr>
          <w:rFonts w:ascii="Times New Roman" w:hAnsi="Times New Roman"/>
          <w:b/>
          <w:sz w:val="36"/>
          <w:szCs w:val="36"/>
        </w:rPr>
        <w:t>The Hon. Justice Clyde Croft</w:t>
      </w:r>
      <w:r w:rsidR="00BC0D4D" w:rsidRPr="009F46D4">
        <w:rPr>
          <w:rFonts w:ascii="Times New Roman" w:hAnsi="Times New Roman"/>
          <w:sz w:val="28"/>
          <w:szCs w:val="28"/>
          <w:vertAlign w:val="superscript"/>
        </w:rPr>
        <w:t>*^</w:t>
      </w:r>
    </w:p>
    <w:p w14:paraId="4D250EE0" w14:textId="77777777" w:rsidR="00AA6289" w:rsidRPr="009F46D4" w:rsidRDefault="00AA6289" w:rsidP="00AA6289">
      <w:pPr>
        <w:spacing w:line="240" w:lineRule="auto"/>
        <w:jc w:val="center"/>
        <w:rPr>
          <w:rFonts w:ascii="Times New Roman" w:hAnsi="Times New Roman"/>
          <w:b/>
          <w:sz w:val="36"/>
          <w:szCs w:val="36"/>
        </w:rPr>
      </w:pPr>
      <w:r w:rsidRPr="009F46D4">
        <w:rPr>
          <w:rFonts w:ascii="Times New Roman" w:hAnsi="Times New Roman"/>
          <w:b/>
          <w:sz w:val="36"/>
          <w:szCs w:val="36"/>
        </w:rPr>
        <w:t xml:space="preserve">Supreme Court of </w:t>
      </w:r>
      <w:smartTag w:uri="urn:schemas-microsoft-com:office:smarttags" w:element="place">
        <w:smartTag w:uri="urn:schemas-microsoft-com:office:smarttags" w:element="State">
          <w:r w:rsidRPr="009F46D4">
            <w:rPr>
              <w:rFonts w:ascii="Times New Roman" w:hAnsi="Times New Roman"/>
              <w:b/>
              <w:sz w:val="36"/>
              <w:szCs w:val="36"/>
            </w:rPr>
            <w:t>Victoria</w:t>
          </w:r>
        </w:smartTag>
      </w:smartTag>
    </w:p>
    <w:p w14:paraId="21B8894F" w14:textId="77777777" w:rsidR="00AA6289" w:rsidRPr="009F46D4" w:rsidRDefault="00AA6289" w:rsidP="00AA6289">
      <w:pPr>
        <w:rPr>
          <w:rFonts w:ascii="Times New Roman" w:hAnsi="Times New Roman"/>
          <w:b/>
          <w:sz w:val="28"/>
          <w:szCs w:val="28"/>
        </w:rPr>
        <w:sectPr w:rsidR="00AA6289" w:rsidRPr="009F46D4" w:rsidSect="00BC0D4D">
          <w:footerReference w:type="default" r:id="rId11"/>
          <w:footerReference w:type="first" r:id="rId12"/>
          <w:type w:val="continuous"/>
          <w:pgSz w:w="11906" w:h="16838"/>
          <w:pgMar w:top="1440" w:right="1440" w:bottom="1440" w:left="1440" w:header="708" w:footer="708" w:gutter="0"/>
          <w:cols w:space="708"/>
          <w:titlePg/>
          <w:docGrid w:linePitch="360"/>
        </w:sectPr>
      </w:pPr>
    </w:p>
    <w:p w14:paraId="3F785EAF" w14:textId="77777777" w:rsidR="00463BE3" w:rsidRPr="009F46D4" w:rsidRDefault="00463BE3" w:rsidP="00AA6289">
      <w:pPr>
        <w:rPr>
          <w:rFonts w:ascii="Times New Roman" w:hAnsi="Times New Roman"/>
          <w:sz w:val="28"/>
          <w:szCs w:val="28"/>
        </w:rPr>
      </w:pPr>
    </w:p>
    <w:p w14:paraId="07D54841" w14:textId="77777777" w:rsidR="00463BE3" w:rsidRPr="009F46D4" w:rsidRDefault="00463BE3" w:rsidP="00463BE3">
      <w:pPr>
        <w:pStyle w:val="Heading1"/>
        <w:numPr>
          <w:ilvl w:val="0"/>
          <w:numId w:val="0"/>
        </w:numPr>
        <w:tabs>
          <w:tab w:val="clear" w:pos="8280"/>
        </w:tabs>
        <w:ind w:left="360" w:hanging="360"/>
        <w:rPr>
          <w:sz w:val="28"/>
          <w:szCs w:val="28"/>
        </w:rPr>
      </w:pPr>
    </w:p>
    <w:p w14:paraId="1C418F93" w14:textId="77777777" w:rsidR="00CE1025" w:rsidRPr="009F46D4" w:rsidRDefault="00CE1025" w:rsidP="00CE1025">
      <w:pPr>
        <w:spacing w:line="360" w:lineRule="auto"/>
        <w:jc w:val="both"/>
        <w:rPr>
          <w:rFonts w:ascii="Times New Roman" w:hAnsi="Times New Roman"/>
          <w:b/>
          <w:sz w:val="28"/>
          <w:szCs w:val="28"/>
        </w:rPr>
      </w:pPr>
    </w:p>
    <w:p w14:paraId="699632D1" w14:textId="3C2204C4" w:rsidR="00AA7E2B" w:rsidRPr="009F46D4" w:rsidRDefault="0028176D" w:rsidP="00BC6A6A">
      <w:pPr>
        <w:spacing w:line="360" w:lineRule="auto"/>
        <w:jc w:val="both"/>
        <w:rPr>
          <w:rFonts w:ascii="Times New Roman" w:hAnsi="Times New Roman"/>
          <w:b/>
          <w:i/>
          <w:sz w:val="24"/>
          <w:szCs w:val="24"/>
        </w:rPr>
        <w:sectPr w:rsidR="00AA7E2B" w:rsidRPr="009F46D4" w:rsidSect="00AA7E2B">
          <w:headerReference w:type="default" r:id="rId13"/>
          <w:type w:val="continuous"/>
          <w:pgSz w:w="11906" w:h="16838"/>
          <w:pgMar w:top="1440" w:right="1440" w:bottom="1440" w:left="1440" w:header="708" w:footer="0" w:gutter="0"/>
          <w:pgNumType w:start="1"/>
          <w:cols w:space="708"/>
          <w:docGrid w:linePitch="360"/>
        </w:sectPr>
      </w:pPr>
      <w:r w:rsidRPr="009F46D4">
        <w:rPr>
          <w:rFonts w:ascii="Times New Roman" w:hAnsi="Times New Roman"/>
          <w:b/>
          <w:i/>
          <w:sz w:val="24"/>
          <w:szCs w:val="24"/>
        </w:rPr>
        <w:t xml:space="preserve"> </w:t>
      </w:r>
    </w:p>
    <w:p w14:paraId="2EC6A5B0" w14:textId="77777777" w:rsidR="00BB6F25" w:rsidRPr="009F46D4" w:rsidRDefault="00BB6F25" w:rsidP="00BB6F25">
      <w:pPr>
        <w:pStyle w:val="Heading1"/>
        <w:numPr>
          <w:ilvl w:val="0"/>
          <w:numId w:val="12"/>
        </w:numPr>
        <w:tabs>
          <w:tab w:val="clear" w:pos="8280"/>
        </w:tabs>
        <w:ind w:hanging="720"/>
        <w:rPr>
          <w:sz w:val="28"/>
          <w:szCs w:val="28"/>
        </w:rPr>
      </w:pPr>
      <w:r w:rsidRPr="009F46D4">
        <w:rPr>
          <w:sz w:val="28"/>
          <w:szCs w:val="28"/>
        </w:rPr>
        <w:lastRenderedPageBreak/>
        <w:t>Introduction</w:t>
      </w:r>
    </w:p>
    <w:p w14:paraId="0A09840D" w14:textId="01A0FA28" w:rsidR="00284617" w:rsidRPr="009F46D4" w:rsidRDefault="00287E7E" w:rsidP="00284617">
      <w:pPr>
        <w:spacing w:line="360" w:lineRule="auto"/>
        <w:jc w:val="both"/>
        <w:rPr>
          <w:rFonts w:ascii="Times New Roman" w:hAnsi="Times New Roman"/>
          <w:sz w:val="24"/>
          <w:szCs w:val="24"/>
        </w:rPr>
      </w:pPr>
      <w:r w:rsidRPr="009F46D4">
        <w:rPr>
          <w:rFonts w:ascii="Times New Roman" w:hAnsi="Times New Roman"/>
          <w:sz w:val="24"/>
          <w:szCs w:val="24"/>
        </w:rPr>
        <w:t xml:space="preserve">It is a pleasure to be with you here in beautiful Queenstown, and I am once again grateful for the invitation extended to me by the Arbitrators’ and Mediators’ Institute of New Zealand.  </w:t>
      </w:r>
      <w:r w:rsidR="00E672AC" w:rsidRPr="009F46D4">
        <w:rPr>
          <w:rFonts w:ascii="Times New Roman" w:hAnsi="Times New Roman"/>
          <w:sz w:val="24"/>
          <w:szCs w:val="24"/>
        </w:rPr>
        <w:t xml:space="preserve">Over a number of years now, I have presented at this excellent conference about the role of the courts in the reinvigoration of </w:t>
      </w:r>
      <w:r w:rsidR="009F174F" w:rsidRPr="009F46D4">
        <w:rPr>
          <w:rFonts w:ascii="Times New Roman" w:hAnsi="Times New Roman"/>
          <w:sz w:val="24"/>
          <w:szCs w:val="24"/>
        </w:rPr>
        <w:t>arbitration practice in Austral</w:t>
      </w:r>
      <w:r w:rsidR="00E672AC" w:rsidRPr="009F46D4">
        <w:rPr>
          <w:rFonts w:ascii="Times New Roman" w:hAnsi="Times New Roman"/>
          <w:sz w:val="24"/>
          <w:szCs w:val="24"/>
        </w:rPr>
        <w:t>a</w:t>
      </w:r>
      <w:r w:rsidR="009F174F" w:rsidRPr="009F46D4">
        <w:rPr>
          <w:rFonts w:ascii="Times New Roman" w:hAnsi="Times New Roman"/>
          <w:sz w:val="24"/>
          <w:szCs w:val="24"/>
        </w:rPr>
        <w:t>sia</w:t>
      </w:r>
      <w:r w:rsidR="00E672AC" w:rsidRPr="009F46D4">
        <w:rPr>
          <w:rFonts w:ascii="Times New Roman" w:hAnsi="Times New Roman"/>
          <w:sz w:val="24"/>
          <w:szCs w:val="24"/>
        </w:rPr>
        <w:t>.</w:t>
      </w:r>
      <w:r w:rsidR="00593C13" w:rsidRPr="009F46D4">
        <w:rPr>
          <w:rStyle w:val="FootnoteReference"/>
          <w:rFonts w:ascii="Times New Roman" w:hAnsi="Times New Roman"/>
          <w:sz w:val="24"/>
          <w:szCs w:val="24"/>
        </w:rPr>
        <w:footnoteReference w:id="1"/>
      </w:r>
      <w:r w:rsidR="00E672AC" w:rsidRPr="009F46D4">
        <w:rPr>
          <w:rFonts w:ascii="Times New Roman" w:hAnsi="Times New Roman"/>
          <w:sz w:val="24"/>
          <w:szCs w:val="24"/>
        </w:rPr>
        <w:t xml:space="preserve">  Last year, I sp</w:t>
      </w:r>
      <w:r w:rsidR="008545BE" w:rsidRPr="009F46D4">
        <w:rPr>
          <w:rFonts w:ascii="Times New Roman" w:hAnsi="Times New Roman"/>
          <w:sz w:val="24"/>
          <w:szCs w:val="24"/>
        </w:rPr>
        <w:t>oke about the establishment of the</w:t>
      </w:r>
      <w:r w:rsidR="00E672AC" w:rsidRPr="009F46D4">
        <w:rPr>
          <w:rFonts w:ascii="Times New Roman" w:hAnsi="Times New Roman"/>
          <w:sz w:val="24"/>
          <w:szCs w:val="24"/>
        </w:rPr>
        <w:t xml:space="preserve"> specialist Arbitration List in the Commercial Court of the Supreme Court of Victoria</w:t>
      </w:r>
      <w:r w:rsidRPr="009F46D4">
        <w:rPr>
          <w:rFonts w:ascii="Times New Roman" w:hAnsi="Times New Roman"/>
          <w:sz w:val="24"/>
          <w:szCs w:val="24"/>
        </w:rPr>
        <w:t>,</w:t>
      </w:r>
      <w:r w:rsidR="00E672AC" w:rsidRPr="009F46D4">
        <w:rPr>
          <w:rFonts w:ascii="Times New Roman" w:hAnsi="Times New Roman"/>
          <w:sz w:val="24"/>
          <w:szCs w:val="24"/>
        </w:rPr>
        <w:t xml:space="preserve"> and I introduced our then brand new Arbitration Rules and Practice Note.  I am very pleased to say that since the commencement of the new Rules, the Arbitration List has flourished</w:t>
      </w:r>
      <w:r w:rsidR="00EE07BB" w:rsidRPr="009F46D4">
        <w:rPr>
          <w:rFonts w:ascii="Times New Roman" w:hAnsi="Times New Roman"/>
          <w:sz w:val="24"/>
          <w:szCs w:val="24"/>
        </w:rPr>
        <w:t xml:space="preserve"> and I have heard a number of important, high-profile </w:t>
      </w:r>
      <w:r w:rsidR="00FD325E" w:rsidRPr="009F46D4">
        <w:rPr>
          <w:rFonts w:ascii="Times New Roman" w:hAnsi="Times New Roman"/>
          <w:sz w:val="24"/>
          <w:szCs w:val="24"/>
        </w:rPr>
        <w:t>applications.  For instance, i</w:t>
      </w:r>
      <w:r w:rsidRPr="009F46D4">
        <w:rPr>
          <w:rFonts w:ascii="Times New Roman" w:hAnsi="Times New Roman"/>
          <w:sz w:val="24"/>
          <w:szCs w:val="24"/>
        </w:rPr>
        <w:t>n late 2014</w:t>
      </w:r>
      <w:r w:rsidR="00EE07BB" w:rsidRPr="009F46D4">
        <w:rPr>
          <w:rFonts w:ascii="Times New Roman" w:hAnsi="Times New Roman"/>
          <w:sz w:val="24"/>
          <w:szCs w:val="24"/>
        </w:rPr>
        <w:t xml:space="preserve"> I </w:t>
      </w:r>
      <w:r w:rsidR="008545BE" w:rsidRPr="009F46D4">
        <w:rPr>
          <w:rFonts w:ascii="Times New Roman" w:hAnsi="Times New Roman"/>
          <w:sz w:val="24"/>
          <w:szCs w:val="24"/>
        </w:rPr>
        <w:t>heard a</w:t>
      </w:r>
      <w:r w:rsidR="00EE07BB" w:rsidRPr="009F46D4">
        <w:rPr>
          <w:rFonts w:ascii="Times New Roman" w:hAnsi="Times New Roman"/>
          <w:sz w:val="24"/>
          <w:szCs w:val="24"/>
        </w:rPr>
        <w:t>n application for the issue of subpoenas to attend before the AFL Anti-Doping Tribunal in the Essendon supplements case,</w:t>
      </w:r>
      <w:r w:rsidR="008545BE" w:rsidRPr="009F46D4">
        <w:rPr>
          <w:rStyle w:val="FootnoteReference"/>
          <w:rFonts w:ascii="Times New Roman" w:hAnsi="Times New Roman"/>
          <w:sz w:val="24"/>
          <w:szCs w:val="24"/>
        </w:rPr>
        <w:footnoteReference w:id="2"/>
      </w:r>
      <w:r w:rsidR="009F174F" w:rsidRPr="009F46D4">
        <w:rPr>
          <w:rFonts w:ascii="Times New Roman" w:hAnsi="Times New Roman"/>
          <w:sz w:val="24"/>
          <w:szCs w:val="24"/>
        </w:rPr>
        <w:t xml:space="preserve"> while last year bega</w:t>
      </w:r>
      <w:r w:rsidR="00EE07BB" w:rsidRPr="009F46D4">
        <w:rPr>
          <w:rFonts w:ascii="Times New Roman" w:hAnsi="Times New Roman"/>
          <w:sz w:val="24"/>
          <w:szCs w:val="24"/>
        </w:rPr>
        <w:t>n with the</w:t>
      </w:r>
      <w:r w:rsidR="0004518A" w:rsidRPr="009F46D4">
        <w:rPr>
          <w:rFonts w:ascii="Times New Roman" w:hAnsi="Times New Roman"/>
          <w:sz w:val="24"/>
          <w:szCs w:val="24"/>
        </w:rPr>
        <w:t xml:space="preserve"> urgent</w:t>
      </w:r>
      <w:r w:rsidR="00EE07BB" w:rsidRPr="009F46D4">
        <w:rPr>
          <w:rFonts w:ascii="Times New Roman" w:hAnsi="Times New Roman"/>
          <w:sz w:val="24"/>
          <w:szCs w:val="24"/>
        </w:rPr>
        <w:t xml:space="preserve"> Formula 1 enforcement proceedings</w:t>
      </w:r>
      <w:r w:rsidR="00FD325E" w:rsidRPr="009F46D4">
        <w:rPr>
          <w:rFonts w:ascii="Times New Roman" w:hAnsi="Times New Roman"/>
          <w:sz w:val="24"/>
          <w:szCs w:val="24"/>
        </w:rPr>
        <w:t>,</w:t>
      </w:r>
      <w:r w:rsidR="008545BE" w:rsidRPr="009F46D4">
        <w:rPr>
          <w:rStyle w:val="FootnoteReference"/>
          <w:rFonts w:ascii="Times New Roman" w:hAnsi="Times New Roman"/>
          <w:sz w:val="24"/>
          <w:szCs w:val="24"/>
        </w:rPr>
        <w:footnoteReference w:id="3"/>
      </w:r>
      <w:r w:rsidR="00EE07BB" w:rsidRPr="009F46D4">
        <w:rPr>
          <w:rFonts w:ascii="Times New Roman" w:hAnsi="Times New Roman"/>
          <w:sz w:val="24"/>
          <w:szCs w:val="24"/>
        </w:rPr>
        <w:t xml:space="preserve"> and ended with the enforcement of a SIAC award in the </w:t>
      </w:r>
      <w:proofErr w:type="spellStart"/>
      <w:r w:rsidR="00EE07BB" w:rsidRPr="009F46D4">
        <w:rPr>
          <w:rFonts w:ascii="Times New Roman" w:hAnsi="Times New Roman"/>
          <w:i/>
          <w:sz w:val="24"/>
          <w:szCs w:val="24"/>
        </w:rPr>
        <w:t>Gutnick</w:t>
      </w:r>
      <w:proofErr w:type="spellEnd"/>
      <w:r w:rsidR="00EE07BB" w:rsidRPr="009F46D4">
        <w:rPr>
          <w:rFonts w:ascii="Times New Roman" w:hAnsi="Times New Roman"/>
          <w:sz w:val="24"/>
          <w:szCs w:val="24"/>
        </w:rPr>
        <w:t xml:space="preserve"> case.</w:t>
      </w:r>
      <w:r w:rsidR="00EE07BB" w:rsidRPr="009F46D4">
        <w:rPr>
          <w:rStyle w:val="FootnoteReference"/>
          <w:rFonts w:ascii="Times New Roman" w:hAnsi="Times New Roman"/>
          <w:sz w:val="24"/>
          <w:szCs w:val="24"/>
        </w:rPr>
        <w:footnoteReference w:id="4"/>
      </w:r>
      <w:r w:rsidR="004E3525" w:rsidRPr="009F46D4">
        <w:rPr>
          <w:rFonts w:ascii="Times New Roman" w:hAnsi="Times New Roman"/>
          <w:sz w:val="24"/>
          <w:szCs w:val="24"/>
        </w:rPr>
        <w:t xml:space="preserve">  </w:t>
      </w:r>
      <w:r w:rsidR="005B2D6E" w:rsidRPr="009F46D4">
        <w:rPr>
          <w:rFonts w:ascii="Times New Roman" w:hAnsi="Times New Roman"/>
          <w:sz w:val="24"/>
          <w:szCs w:val="24"/>
        </w:rPr>
        <w:t>Coincide</w:t>
      </w:r>
      <w:r w:rsidR="008545BE" w:rsidRPr="009F46D4">
        <w:rPr>
          <w:rFonts w:ascii="Times New Roman" w:hAnsi="Times New Roman"/>
          <w:sz w:val="24"/>
          <w:szCs w:val="24"/>
        </w:rPr>
        <w:t>ntally, all three of these high-</w:t>
      </w:r>
      <w:r w:rsidR="005B2D6E" w:rsidRPr="009F46D4">
        <w:rPr>
          <w:rFonts w:ascii="Times New Roman" w:hAnsi="Times New Roman"/>
          <w:sz w:val="24"/>
          <w:szCs w:val="24"/>
        </w:rPr>
        <w:t xml:space="preserve">profile cases were of some interest to the sports-mad public of Melbourne—albeit rather tangentially in the </w:t>
      </w:r>
      <w:proofErr w:type="spellStart"/>
      <w:r w:rsidR="005B2D6E" w:rsidRPr="009F46D4">
        <w:rPr>
          <w:rFonts w:ascii="Times New Roman" w:hAnsi="Times New Roman"/>
          <w:i/>
          <w:sz w:val="24"/>
          <w:szCs w:val="24"/>
        </w:rPr>
        <w:t>Gutnick</w:t>
      </w:r>
      <w:proofErr w:type="spellEnd"/>
      <w:r w:rsidR="004E3525" w:rsidRPr="009F46D4">
        <w:rPr>
          <w:rFonts w:ascii="Times New Roman" w:hAnsi="Times New Roman"/>
          <w:sz w:val="24"/>
          <w:szCs w:val="24"/>
        </w:rPr>
        <w:t xml:space="preserve"> case</w:t>
      </w:r>
      <w:r w:rsidR="005B2D6E" w:rsidRPr="009F46D4">
        <w:rPr>
          <w:rFonts w:ascii="Times New Roman" w:hAnsi="Times New Roman"/>
          <w:sz w:val="24"/>
          <w:szCs w:val="24"/>
        </w:rPr>
        <w:t xml:space="preserve">, with </w:t>
      </w:r>
      <w:r w:rsidRPr="009F46D4">
        <w:rPr>
          <w:rFonts w:ascii="Times New Roman" w:hAnsi="Times New Roman"/>
          <w:sz w:val="24"/>
          <w:szCs w:val="24"/>
        </w:rPr>
        <w:t>those proceedings</w:t>
      </w:r>
      <w:r w:rsidR="005B2D6E" w:rsidRPr="009F46D4">
        <w:rPr>
          <w:rFonts w:ascii="Times New Roman" w:hAnsi="Times New Roman"/>
          <w:sz w:val="24"/>
          <w:szCs w:val="24"/>
        </w:rPr>
        <w:t xml:space="preserve"> having nothing to do with Mr </w:t>
      </w:r>
      <w:proofErr w:type="spellStart"/>
      <w:r w:rsidR="005B2D6E" w:rsidRPr="009F46D4">
        <w:rPr>
          <w:rFonts w:ascii="Times New Roman" w:hAnsi="Times New Roman"/>
          <w:sz w:val="24"/>
          <w:szCs w:val="24"/>
        </w:rPr>
        <w:t>Gutnick's</w:t>
      </w:r>
      <w:proofErr w:type="spellEnd"/>
      <w:r w:rsidR="005B2D6E" w:rsidRPr="009F46D4">
        <w:rPr>
          <w:rFonts w:ascii="Times New Roman" w:hAnsi="Times New Roman"/>
          <w:sz w:val="24"/>
          <w:szCs w:val="24"/>
        </w:rPr>
        <w:t xml:space="preserve"> former presidency</w:t>
      </w:r>
      <w:r w:rsidR="004E3525" w:rsidRPr="009F46D4">
        <w:rPr>
          <w:rFonts w:ascii="Times New Roman" w:hAnsi="Times New Roman"/>
          <w:sz w:val="24"/>
          <w:szCs w:val="24"/>
        </w:rPr>
        <w:t xml:space="preserve"> of the Melbourne Football Club</w:t>
      </w:r>
      <w:r w:rsidR="00962D3C" w:rsidRPr="009F46D4">
        <w:rPr>
          <w:rFonts w:ascii="Times New Roman" w:hAnsi="Times New Roman"/>
          <w:sz w:val="24"/>
          <w:szCs w:val="24"/>
        </w:rPr>
        <w:t>!</w:t>
      </w:r>
    </w:p>
    <w:p w14:paraId="65E71C45" w14:textId="041B3EC3" w:rsidR="000F4C78" w:rsidRPr="009F46D4" w:rsidRDefault="00962D3C" w:rsidP="00284617">
      <w:pPr>
        <w:spacing w:line="360" w:lineRule="auto"/>
        <w:jc w:val="both"/>
        <w:rPr>
          <w:rFonts w:ascii="Times New Roman" w:hAnsi="Times New Roman"/>
          <w:sz w:val="24"/>
          <w:szCs w:val="24"/>
          <w:lang w:eastAsia="en-AU"/>
        </w:rPr>
      </w:pPr>
      <w:r w:rsidRPr="009F46D4">
        <w:rPr>
          <w:rFonts w:ascii="Times New Roman" w:hAnsi="Times New Roman"/>
          <w:sz w:val="24"/>
          <w:szCs w:val="24"/>
        </w:rPr>
        <w:t xml:space="preserve">This year, I again wish to </w:t>
      </w:r>
      <w:r w:rsidR="001019B1" w:rsidRPr="009F46D4">
        <w:rPr>
          <w:rFonts w:ascii="Times New Roman" w:hAnsi="Times New Roman"/>
          <w:sz w:val="24"/>
          <w:szCs w:val="24"/>
        </w:rPr>
        <w:t>discuss</w:t>
      </w:r>
      <w:r w:rsidR="00287E7E" w:rsidRPr="009F46D4">
        <w:rPr>
          <w:rFonts w:ascii="Times New Roman" w:hAnsi="Times New Roman"/>
          <w:sz w:val="24"/>
          <w:szCs w:val="24"/>
        </w:rPr>
        <w:t xml:space="preserve"> with you</w:t>
      </w:r>
      <w:r w:rsidRPr="009F46D4">
        <w:rPr>
          <w:rFonts w:ascii="Times New Roman" w:hAnsi="Times New Roman"/>
          <w:sz w:val="24"/>
          <w:szCs w:val="24"/>
        </w:rPr>
        <w:t xml:space="preserve"> the role of the courts in arbitration</w:t>
      </w:r>
      <w:r w:rsidR="001019B1" w:rsidRPr="009F46D4">
        <w:rPr>
          <w:rFonts w:ascii="Times New Roman" w:hAnsi="Times New Roman"/>
          <w:sz w:val="24"/>
          <w:szCs w:val="24"/>
        </w:rPr>
        <w:t>.  I will focus on an evolving challenge in this area</w:t>
      </w:r>
      <w:r w:rsidR="00FE1644" w:rsidRPr="009F46D4">
        <w:rPr>
          <w:rFonts w:ascii="Times New Roman" w:hAnsi="Times New Roman"/>
          <w:sz w:val="24"/>
          <w:szCs w:val="24"/>
        </w:rPr>
        <w:t>—</w:t>
      </w:r>
      <w:r w:rsidR="00215FC1" w:rsidRPr="009F46D4">
        <w:rPr>
          <w:rFonts w:ascii="Times New Roman" w:hAnsi="Times New Roman"/>
          <w:sz w:val="24"/>
          <w:szCs w:val="24"/>
        </w:rPr>
        <w:t>a challenge</w:t>
      </w:r>
      <w:r w:rsidR="001019B1" w:rsidRPr="009F46D4">
        <w:rPr>
          <w:rFonts w:ascii="Times New Roman" w:hAnsi="Times New Roman"/>
          <w:sz w:val="24"/>
          <w:szCs w:val="24"/>
        </w:rPr>
        <w:t xml:space="preserve"> which I have come to know well sitting in the Arbitration List</w:t>
      </w:r>
      <w:r w:rsidR="00E772DA" w:rsidRPr="009F46D4">
        <w:rPr>
          <w:rFonts w:ascii="Times New Roman" w:hAnsi="Times New Roman"/>
          <w:sz w:val="24"/>
          <w:szCs w:val="24"/>
        </w:rPr>
        <w:t xml:space="preserve">, and that I have come to describe </w:t>
      </w:r>
      <w:r w:rsidRPr="009F46D4">
        <w:rPr>
          <w:rFonts w:ascii="Times New Roman" w:hAnsi="Times New Roman"/>
          <w:sz w:val="24"/>
          <w:szCs w:val="24"/>
        </w:rPr>
        <w:t>as the “temptation of domesticity”.</w:t>
      </w:r>
      <w:r w:rsidR="00A03817" w:rsidRPr="009F46D4">
        <w:rPr>
          <w:rStyle w:val="FootnoteReference"/>
          <w:rFonts w:ascii="Times New Roman" w:hAnsi="Times New Roman"/>
          <w:sz w:val="24"/>
          <w:szCs w:val="24"/>
        </w:rPr>
        <w:footnoteReference w:id="5"/>
      </w:r>
      <w:r w:rsidR="0092307E" w:rsidRPr="009F46D4">
        <w:rPr>
          <w:rFonts w:ascii="Times New Roman" w:hAnsi="Times New Roman"/>
          <w:sz w:val="24"/>
          <w:szCs w:val="24"/>
        </w:rPr>
        <w:t xml:space="preserve">  </w:t>
      </w:r>
      <w:r w:rsidR="000F4C78" w:rsidRPr="009F46D4">
        <w:rPr>
          <w:rFonts w:ascii="Times New Roman" w:hAnsi="Times New Roman"/>
          <w:sz w:val="24"/>
          <w:szCs w:val="24"/>
          <w:lang w:eastAsia="en-AU"/>
        </w:rPr>
        <w:t xml:space="preserve">The “temptation of domesticity” describes the intuitive appeal of approaching matters for determination through the prism of legal doctrines and principles with which the court is most familiar.  In the case of Australian courts—and, for that matter, those here in New Zealand—this, at the very least, means considering matters through a common law lens, if not going so </w:t>
      </w:r>
      <w:r w:rsidR="000F4C78" w:rsidRPr="009F46D4">
        <w:rPr>
          <w:rFonts w:ascii="Times New Roman" w:hAnsi="Times New Roman"/>
          <w:sz w:val="24"/>
          <w:szCs w:val="24"/>
          <w:lang w:eastAsia="en-AU"/>
        </w:rPr>
        <w:lastRenderedPageBreak/>
        <w:t xml:space="preserve">far as to apply common law doctrines and equitable principles expressly.  Like all temptation, such an approach is attractive in the short-term, but ultimately has the potential to interfere with broader, longer-term objectives.  Chief among these long-term objectives is the promotion of international uniformity in international commercial arbitration practice.  </w:t>
      </w:r>
    </w:p>
    <w:p w14:paraId="6D768047" w14:textId="2626131D" w:rsidR="00997F72" w:rsidRPr="009F46D4" w:rsidRDefault="000F4C78" w:rsidP="00284617">
      <w:pPr>
        <w:spacing w:line="360" w:lineRule="auto"/>
        <w:jc w:val="both"/>
        <w:rPr>
          <w:rFonts w:ascii="Times New Roman" w:hAnsi="Times New Roman"/>
          <w:sz w:val="24"/>
          <w:szCs w:val="24"/>
        </w:rPr>
      </w:pPr>
      <w:r w:rsidRPr="009F46D4">
        <w:rPr>
          <w:rFonts w:ascii="Times New Roman" w:hAnsi="Times New Roman"/>
          <w:sz w:val="24"/>
          <w:szCs w:val="24"/>
          <w:lang w:eastAsia="en-AU"/>
        </w:rPr>
        <w:t>As I will explain, the international provenance of Australia and New Zealand’s arbitration regimes necessitates an international judicial approach.  Particular regard is to be had to the reasoned decisions of courts in other countries—particularly those in our region—where their arbitration law shares a common basis with ours in the New York Convention</w:t>
      </w:r>
      <w:r w:rsidR="00FB6788" w:rsidRPr="009F46D4">
        <w:rPr>
          <w:rStyle w:val="FootnoteReference"/>
          <w:rFonts w:ascii="Times New Roman" w:hAnsi="Times New Roman"/>
          <w:sz w:val="24"/>
          <w:szCs w:val="24"/>
          <w:lang w:eastAsia="en-AU"/>
        </w:rPr>
        <w:footnoteReference w:id="6"/>
      </w:r>
      <w:r w:rsidRPr="009F46D4">
        <w:rPr>
          <w:rFonts w:ascii="Times New Roman" w:hAnsi="Times New Roman"/>
          <w:sz w:val="24"/>
          <w:szCs w:val="24"/>
          <w:lang w:eastAsia="en-AU"/>
        </w:rPr>
        <w:t xml:space="preserve"> and the Model Law.</w:t>
      </w:r>
      <w:r w:rsidR="00FB6788" w:rsidRPr="009F46D4">
        <w:rPr>
          <w:rStyle w:val="FootnoteReference"/>
          <w:rFonts w:ascii="Times New Roman" w:hAnsi="Times New Roman"/>
          <w:sz w:val="24"/>
          <w:szCs w:val="24"/>
          <w:lang w:eastAsia="en-AU"/>
        </w:rPr>
        <w:footnoteReference w:id="7"/>
      </w:r>
      <w:r w:rsidRPr="009F46D4">
        <w:rPr>
          <w:rFonts w:ascii="Times New Roman" w:hAnsi="Times New Roman"/>
          <w:sz w:val="24"/>
          <w:szCs w:val="24"/>
          <w:lang w:eastAsia="en-AU"/>
        </w:rPr>
        <w:t xml:space="preserve">  </w:t>
      </w:r>
      <w:r w:rsidR="00C47298" w:rsidRPr="009F46D4">
        <w:rPr>
          <w:rFonts w:ascii="Times New Roman" w:hAnsi="Times New Roman"/>
          <w:sz w:val="24"/>
          <w:szCs w:val="24"/>
          <w:lang w:eastAsia="en-AU"/>
        </w:rPr>
        <w:t>Accordingly</w:t>
      </w:r>
      <w:r w:rsidRPr="009F46D4">
        <w:rPr>
          <w:rFonts w:ascii="Times New Roman" w:hAnsi="Times New Roman"/>
          <w:sz w:val="24"/>
          <w:szCs w:val="24"/>
          <w:lang w:eastAsia="en-AU"/>
        </w:rPr>
        <w:t>, courts must resist the temptation to approach issues arising in</w:t>
      </w:r>
      <w:r w:rsidR="00FB6788" w:rsidRPr="009F46D4">
        <w:rPr>
          <w:rFonts w:ascii="Times New Roman" w:hAnsi="Times New Roman"/>
          <w:sz w:val="24"/>
          <w:szCs w:val="24"/>
          <w:lang w:eastAsia="en-AU"/>
        </w:rPr>
        <w:t xml:space="preserve"> arbitration-</w:t>
      </w:r>
      <w:r w:rsidRPr="009F46D4">
        <w:rPr>
          <w:rFonts w:ascii="Times New Roman" w:hAnsi="Times New Roman"/>
          <w:sz w:val="24"/>
          <w:szCs w:val="24"/>
          <w:lang w:eastAsia="en-AU"/>
        </w:rPr>
        <w:t xml:space="preserve">related </w:t>
      </w:r>
      <w:r w:rsidR="001D1734" w:rsidRPr="009F46D4">
        <w:rPr>
          <w:rFonts w:ascii="Times New Roman" w:hAnsi="Times New Roman"/>
          <w:sz w:val="24"/>
          <w:szCs w:val="24"/>
          <w:lang w:eastAsia="en-AU"/>
        </w:rPr>
        <w:t>applications</w:t>
      </w:r>
      <w:r w:rsidRPr="009F46D4">
        <w:rPr>
          <w:rFonts w:ascii="Times New Roman" w:hAnsi="Times New Roman"/>
          <w:sz w:val="24"/>
          <w:szCs w:val="24"/>
          <w:lang w:eastAsia="en-AU"/>
        </w:rPr>
        <w:t xml:space="preserve"> </w:t>
      </w:r>
      <w:r w:rsidR="00FB6788" w:rsidRPr="009F46D4">
        <w:rPr>
          <w:rFonts w:ascii="Times New Roman" w:hAnsi="Times New Roman"/>
          <w:sz w:val="24"/>
          <w:szCs w:val="24"/>
          <w:lang w:eastAsia="en-AU"/>
        </w:rPr>
        <w:t>using</w:t>
      </w:r>
      <w:r w:rsidRPr="009F46D4">
        <w:rPr>
          <w:rFonts w:ascii="Times New Roman" w:hAnsi="Times New Roman"/>
          <w:sz w:val="24"/>
          <w:szCs w:val="24"/>
          <w:lang w:eastAsia="en-AU"/>
        </w:rPr>
        <w:t xml:space="preserve"> principles not found in these international instruments, and which may be peculiar to a particular jurisdiction or domestic legal system.</w:t>
      </w:r>
    </w:p>
    <w:p w14:paraId="71CB9979" w14:textId="5FBEF11E" w:rsidR="00BB6F25" w:rsidRPr="009F46D4" w:rsidRDefault="0051587B" w:rsidP="00BB6F25">
      <w:pPr>
        <w:pStyle w:val="Heading1"/>
        <w:numPr>
          <w:ilvl w:val="0"/>
          <w:numId w:val="12"/>
        </w:numPr>
        <w:tabs>
          <w:tab w:val="clear" w:pos="8280"/>
        </w:tabs>
        <w:ind w:hanging="720"/>
        <w:rPr>
          <w:sz w:val="28"/>
          <w:szCs w:val="28"/>
        </w:rPr>
      </w:pPr>
      <w:r w:rsidRPr="009F46D4">
        <w:rPr>
          <w:sz w:val="28"/>
          <w:szCs w:val="28"/>
        </w:rPr>
        <w:t xml:space="preserve">The </w:t>
      </w:r>
      <w:r w:rsidR="00BB12ED" w:rsidRPr="009F46D4">
        <w:rPr>
          <w:sz w:val="28"/>
          <w:szCs w:val="28"/>
        </w:rPr>
        <w:t>International Provenance of National Arbitration Legislation</w:t>
      </w:r>
    </w:p>
    <w:p w14:paraId="7E818469" w14:textId="48E0335C" w:rsidR="00BB12ED" w:rsidRPr="009F46D4" w:rsidRDefault="00BB12ED" w:rsidP="00BB6F25">
      <w:pPr>
        <w:spacing w:line="360" w:lineRule="auto"/>
        <w:jc w:val="both"/>
        <w:rPr>
          <w:rFonts w:ascii="Times New Roman" w:hAnsi="Times New Roman"/>
          <w:sz w:val="24"/>
          <w:szCs w:val="24"/>
        </w:rPr>
      </w:pPr>
      <w:r w:rsidRPr="009F46D4">
        <w:rPr>
          <w:rFonts w:ascii="Times New Roman" w:hAnsi="Times New Roman"/>
          <w:sz w:val="24"/>
          <w:szCs w:val="24"/>
        </w:rPr>
        <w:t xml:space="preserve">I turn first then to consider the international provenance of Australia’s domestic and international arbitration regimes—noting of course that much of what follows is also relevant in the New Zealand context, </w:t>
      </w:r>
      <w:r w:rsidR="003A3592" w:rsidRPr="009F46D4">
        <w:rPr>
          <w:rFonts w:ascii="Times New Roman" w:hAnsi="Times New Roman"/>
          <w:sz w:val="24"/>
          <w:szCs w:val="24"/>
        </w:rPr>
        <w:t>given that</w:t>
      </w:r>
      <w:r w:rsidRPr="009F46D4">
        <w:rPr>
          <w:rFonts w:ascii="Times New Roman" w:hAnsi="Times New Roman"/>
          <w:sz w:val="24"/>
          <w:szCs w:val="24"/>
        </w:rPr>
        <w:t xml:space="preserve"> the </w:t>
      </w:r>
      <w:r w:rsidRPr="009F46D4">
        <w:rPr>
          <w:rFonts w:ascii="Times New Roman" w:hAnsi="Times New Roman"/>
          <w:i/>
          <w:sz w:val="24"/>
          <w:szCs w:val="24"/>
        </w:rPr>
        <w:t xml:space="preserve">Arbitration Act </w:t>
      </w:r>
      <w:r w:rsidRPr="009F46D4">
        <w:rPr>
          <w:rFonts w:ascii="Times New Roman" w:hAnsi="Times New Roman"/>
          <w:sz w:val="24"/>
          <w:szCs w:val="24"/>
        </w:rPr>
        <w:t>1996 (NZ)</w:t>
      </w:r>
      <w:r w:rsidR="004650C1" w:rsidRPr="009F46D4">
        <w:rPr>
          <w:rFonts w:ascii="Times New Roman" w:hAnsi="Times New Roman"/>
          <w:sz w:val="24"/>
          <w:szCs w:val="24"/>
        </w:rPr>
        <w:t xml:space="preserve"> (“the Arbitration Act”)</w:t>
      </w:r>
      <w:r w:rsidRPr="009F46D4">
        <w:rPr>
          <w:rFonts w:ascii="Times New Roman" w:hAnsi="Times New Roman"/>
          <w:sz w:val="24"/>
          <w:szCs w:val="24"/>
        </w:rPr>
        <w:t xml:space="preserve"> </w:t>
      </w:r>
      <w:r w:rsidR="003A3592" w:rsidRPr="009F46D4">
        <w:rPr>
          <w:rFonts w:ascii="Times New Roman" w:hAnsi="Times New Roman"/>
          <w:sz w:val="24"/>
          <w:szCs w:val="24"/>
        </w:rPr>
        <w:t>is also based on the</w:t>
      </w:r>
      <w:r w:rsidRPr="009F46D4">
        <w:rPr>
          <w:rFonts w:ascii="Times New Roman" w:hAnsi="Times New Roman"/>
          <w:sz w:val="24"/>
          <w:szCs w:val="24"/>
        </w:rPr>
        <w:t xml:space="preserve"> Model Law.</w:t>
      </w:r>
    </w:p>
    <w:p w14:paraId="46FC33AE" w14:textId="3E42CA82" w:rsidR="004650C1" w:rsidRPr="009F46D4" w:rsidRDefault="003E6722" w:rsidP="00BB6F25">
      <w:pPr>
        <w:spacing w:line="360" w:lineRule="auto"/>
        <w:jc w:val="both"/>
        <w:rPr>
          <w:rFonts w:ascii="Times New Roman" w:hAnsi="Times New Roman"/>
          <w:sz w:val="24"/>
          <w:szCs w:val="24"/>
        </w:rPr>
      </w:pPr>
      <w:r w:rsidRPr="009F46D4">
        <w:rPr>
          <w:rFonts w:ascii="Times New Roman" w:hAnsi="Times New Roman"/>
          <w:sz w:val="24"/>
          <w:szCs w:val="24"/>
        </w:rPr>
        <w:t>Across</w:t>
      </w:r>
      <w:r w:rsidR="00B35DC2" w:rsidRPr="009F46D4">
        <w:rPr>
          <w:rFonts w:ascii="Times New Roman" w:hAnsi="Times New Roman"/>
          <w:sz w:val="24"/>
          <w:szCs w:val="24"/>
        </w:rPr>
        <w:t xml:space="preserve"> the Tasman, t</w:t>
      </w:r>
      <w:r w:rsidR="00BB12ED" w:rsidRPr="009F46D4">
        <w:rPr>
          <w:rFonts w:ascii="Times New Roman" w:hAnsi="Times New Roman"/>
          <w:sz w:val="24"/>
          <w:szCs w:val="24"/>
        </w:rPr>
        <w:t xml:space="preserve">he </w:t>
      </w:r>
      <w:r w:rsidR="00BB12ED" w:rsidRPr="009F46D4">
        <w:rPr>
          <w:rFonts w:ascii="Times New Roman" w:hAnsi="Times New Roman"/>
          <w:i/>
          <w:sz w:val="24"/>
          <w:szCs w:val="24"/>
        </w:rPr>
        <w:t xml:space="preserve">International Arbitration Act </w:t>
      </w:r>
      <w:r w:rsidR="00BB12ED" w:rsidRPr="009F46D4">
        <w:rPr>
          <w:rFonts w:ascii="Times New Roman" w:hAnsi="Times New Roman"/>
          <w:sz w:val="24"/>
          <w:szCs w:val="24"/>
        </w:rPr>
        <w:t>1974 (</w:t>
      </w:r>
      <w:proofErr w:type="spellStart"/>
      <w:r w:rsidR="00BB12ED" w:rsidRPr="009F46D4">
        <w:rPr>
          <w:rFonts w:ascii="Times New Roman" w:hAnsi="Times New Roman"/>
          <w:sz w:val="24"/>
          <w:szCs w:val="24"/>
        </w:rPr>
        <w:t>Cth</w:t>
      </w:r>
      <w:proofErr w:type="spellEnd"/>
      <w:r w:rsidR="00BB12ED" w:rsidRPr="009F46D4">
        <w:rPr>
          <w:rFonts w:ascii="Times New Roman" w:hAnsi="Times New Roman"/>
          <w:sz w:val="24"/>
          <w:szCs w:val="24"/>
        </w:rPr>
        <w:t xml:space="preserve">) (“the International </w:t>
      </w:r>
      <w:r w:rsidR="00760C3E" w:rsidRPr="009F46D4">
        <w:rPr>
          <w:rFonts w:ascii="Times New Roman" w:hAnsi="Times New Roman"/>
          <w:sz w:val="24"/>
          <w:szCs w:val="24"/>
        </w:rPr>
        <w:t xml:space="preserve">Arbitration </w:t>
      </w:r>
      <w:r w:rsidR="00BB12ED" w:rsidRPr="009F46D4">
        <w:rPr>
          <w:rFonts w:ascii="Times New Roman" w:hAnsi="Times New Roman"/>
          <w:sz w:val="24"/>
          <w:szCs w:val="24"/>
        </w:rPr>
        <w:t>Act”) gives the Model Law the force of law in Australia,</w:t>
      </w:r>
      <w:r w:rsidR="00BB12ED" w:rsidRPr="009F46D4">
        <w:rPr>
          <w:rStyle w:val="FootnoteReference"/>
          <w:rFonts w:ascii="Times New Roman" w:hAnsi="Times New Roman"/>
          <w:sz w:val="24"/>
          <w:szCs w:val="24"/>
        </w:rPr>
        <w:footnoteReference w:id="8"/>
      </w:r>
      <w:r w:rsidR="00BB12ED" w:rsidRPr="009F46D4">
        <w:rPr>
          <w:rFonts w:ascii="Times New Roman" w:hAnsi="Times New Roman"/>
          <w:sz w:val="24"/>
          <w:szCs w:val="24"/>
        </w:rPr>
        <w:t xml:space="preserve"> and the Uniform Commercial Arbitration Acts</w:t>
      </w:r>
      <w:r w:rsidR="003A3592" w:rsidRPr="009F46D4">
        <w:rPr>
          <w:rFonts w:ascii="Times New Roman" w:hAnsi="Times New Roman"/>
          <w:sz w:val="24"/>
          <w:szCs w:val="24"/>
        </w:rPr>
        <w:t>—which govern domestic arbitrations in Australia, and which are enacted in each State and Territory—</w:t>
      </w:r>
      <w:r w:rsidR="00BB12ED" w:rsidRPr="009F46D4">
        <w:rPr>
          <w:rFonts w:ascii="Times New Roman" w:hAnsi="Times New Roman"/>
          <w:sz w:val="24"/>
          <w:szCs w:val="24"/>
        </w:rPr>
        <w:t>substantially reproduce the terms of the Model Law.</w:t>
      </w:r>
      <w:r w:rsidR="003424CB" w:rsidRPr="009F46D4">
        <w:rPr>
          <w:rStyle w:val="FootnoteReference"/>
          <w:rFonts w:ascii="Times New Roman" w:hAnsi="Times New Roman"/>
          <w:sz w:val="24"/>
          <w:szCs w:val="24"/>
        </w:rPr>
        <w:footnoteReference w:id="9"/>
      </w:r>
      <w:r w:rsidR="00B35DC2" w:rsidRPr="009F46D4">
        <w:rPr>
          <w:rFonts w:ascii="Times New Roman" w:hAnsi="Times New Roman"/>
          <w:sz w:val="24"/>
          <w:szCs w:val="24"/>
        </w:rPr>
        <w:t xml:space="preserve">  </w:t>
      </w:r>
      <w:r w:rsidR="00B83F11" w:rsidRPr="009F46D4">
        <w:rPr>
          <w:rFonts w:ascii="Times New Roman" w:hAnsi="Times New Roman"/>
          <w:sz w:val="24"/>
          <w:szCs w:val="24"/>
        </w:rPr>
        <w:t xml:space="preserve">Another important object of the International </w:t>
      </w:r>
      <w:r w:rsidR="00B76E4C" w:rsidRPr="009F46D4">
        <w:rPr>
          <w:rFonts w:ascii="Times New Roman" w:hAnsi="Times New Roman"/>
          <w:sz w:val="24"/>
          <w:szCs w:val="24"/>
        </w:rPr>
        <w:t xml:space="preserve">Arbitration </w:t>
      </w:r>
      <w:r w:rsidR="00B83F11" w:rsidRPr="009F46D4">
        <w:rPr>
          <w:rFonts w:ascii="Times New Roman" w:hAnsi="Times New Roman"/>
          <w:sz w:val="24"/>
          <w:szCs w:val="24"/>
        </w:rPr>
        <w:t>Act is to give effect to Australia’s obligations under the New York Convention.</w:t>
      </w:r>
      <w:r w:rsidR="00605587" w:rsidRPr="009F46D4">
        <w:rPr>
          <w:rFonts w:ascii="Times New Roman" w:hAnsi="Times New Roman"/>
          <w:sz w:val="24"/>
          <w:szCs w:val="24"/>
        </w:rPr>
        <w:t xml:space="preserve">  </w:t>
      </w:r>
      <w:r w:rsidR="004650C1" w:rsidRPr="009F46D4">
        <w:rPr>
          <w:rFonts w:ascii="Times New Roman" w:hAnsi="Times New Roman"/>
          <w:sz w:val="24"/>
          <w:szCs w:val="24"/>
        </w:rPr>
        <w:t xml:space="preserve">Similarly, as you will all be aware, here in New Zealand the Model Law not only forms the basis of the provisions of the Arbitration Act, but section 3 </w:t>
      </w:r>
      <w:r w:rsidR="004650C1" w:rsidRPr="009F46D4">
        <w:rPr>
          <w:rFonts w:ascii="Times New Roman" w:hAnsi="Times New Roman"/>
          <w:sz w:val="24"/>
          <w:szCs w:val="24"/>
        </w:rPr>
        <w:lastRenderedPageBreak/>
        <w:t xml:space="preserve">expressly permits reference to the Model Law and its preparatory works when interpreting the Act. </w:t>
      </w:r>
      <w:r w:rsidR="003424CB" w:rsidRPr="009F46D4">
        <w:rPr>
          <w:rFonts w:ascii="Times New Roman" w:hAnsi="Times New Roman"/>
          <w:sz w:val="24"/>
          <w:szCs w:val="24"/>
        </w:rPr>
        <w:t xml:space="preserve"> </w:t>
      </w:r>
    </w:p>
    <w:p w14:paraId="0A5C9523" w14:textId="15A181E8" w:rsidR="00135BA6" w:rsidRPr="009F46D4" w:rsidRDefault="00760C3E" w:rsidP="00135BA6">
      <w:pPr>
        <w:spacing w:line="360" w:lineRule="auto"/>
        <w:jc w:val="both"/>
        <w:rPr>
          <w:rFonts w:ascii="Times New Roman" w:hAnsi="Times New Roman"/>
          <w:sz w:val="24"/>
          <w:szCs w:val="24"/>
          <w:lang w:eastAsia="en-AU"/>
        </w:rPr>
      </w:pPr>
      <w:r w:rsidRPr="009F46D4">
        <w:rPr>
          <w:rFonts w:ascii="Times New Roman" w:hAnsi="Times New Roman"/>
          <w:sz w:val="24"/>
          <w:szCs w:val="24"/>
        </w:rPr>
        <w:t xml:space="preserve">The Full Court of the Federal Court of Australia had cause to consider the international provenance of </w:t>
      </w:r>
      <w:r w:rsidR="000B7391" w:rsidRPr="009F46D4">
        <w:rPr>
          <w:rFonts w:ascii="Times New Roman" w:hAnsi="Times New Roman"/>
          <w:sz w:val="24"/>
          <w:szCs w:val="24"/>
        </w:rPr>
        <w:t xml:space="preserve">Australia’s arbitration regime </w:t>
      </w:r>
      <w:r w:rsidRPr="009F46D4">
        <w:rPr>
          <w:rFonts w:ascii="Times New Roman" w:hAnsi="Times New Roman"/>
          <w:sz w:val="24"/>
          <w:szCs w:val="24"/>
        </w:rPr>
        <w:t xml:space="preserve">in </w:t>
      </w:r>
      <w:r w:rsidR="00335E24" w:rsidRPr="009F46D4">
        <w:rPr>
          <w:rFonts w:ascii="Times New Roman" w:hAnsi="Times New Roman"/>
          <w:sz w:val="24"/>
          <w:szCs w:val="24"/>
        </w:rPr>
        <w:t>its</w:t>
      </w:r>
      <w:r w:rsidRPr="009F46D4">
        <w:rPr>
          <w:rFonts w:ascii="Times New Roman" w:hAnsi="Times New Roman"/>
          <w:sz w:val="24"/>
          <w:szCs w:val="24"/>
        </w:rPr>
        <w:t xml:space="preserve"> highly influential </w:t>
      </w:r>
      <w:r w:rsidR="00335E24" w:rsidRPr="009F46D4">
        <w:rPr>
          <w:rFonts w:ascii="Times New Roman" w:hAnsi="Times New Roman"/>
          <w:sz w:val="24"/>
          <w:szCs w:val="24"/>
        </w:rPr>
        <w:t>judgment</w:t>
      </w:r>
      <w:r w:rsidRPr="009F46D4">
        <w:rPr>
          <w:rFonts w:ascii="Times New Roman" w:hAnsi="Times New Roman"/>
          <w:sz w:val="24"/>
          <w:szCs w:val="24"/>
        </w:rPr>
        <w:t xml:space="preserve"> </w:t>
      </w:r>
      <w:r w:rsidR="00335E24" w:rsidRPr="009F46D4">
        <w:rPr>
          <w:rFonts w:ascii="Times New Roman" w:hAnsi="Times New Roman"/>
          <w:sz w:val="24"/>
          <w:szCs w:val="24"/>
        </w:rPr>
        <w:t xml:space="preserve">in </w:t>
      </w:r>
      <w:r w:rsidR="000B7391" w:rsidRPr="009F46D4">
        <w:rPr>
          <w:rFonts w:ascii="Times New Roman" w:hAnsi="Times New Roman"/>
          <w:i/>
          <w:sz w:val="24"/>
          <w:szCs w:val="24"/>
        </w:rPr>
        <w:t>TCL Air Conditioner (</w:t>
      </w:r>
      <w:proofErr w:type="spellStart"/>
      <w:r w:rsidR="000B7391" w:rsidRPr="009F46D4">
        <w:rPr>
          <w:rFonts w:ascii="Times New Roman" w:hAnsi="Times New Roman"/>
          <w:i/>
          <w:sz w:val="24"/>
          <w:szCs w:val="24"/>
        </w:rPr>
        <w:t>Zhongshan</w:t>
      </w:r>
      <w:proofErr w:type="spellEnd"/>
      <w:r w:rsidR="000B7391" w:rsidRPr="009F46D4">
        <w:rPr>
          <w:rFonts w:ascii="Times New Roman" w:hAnsi="Times New Roman"/>
          <w:i/>
          <w:sz w:val="24"/>
          <w:szCs w:val="24"/>
        </w:rPr>
        <w:t>) Co Ltd v Castel Electronics Pty Ltd</w:t>
      </w:r>
      <w:r w:rsidR="000B7391" w:rsidRPr="009F46D4">
        <w:rPr>
          <w:rFonts w:ascii="Times New Roman" w:hAnsi="Times New Roman"/>
          <w:sz w:val="24"/>
          <w:szCs w:val="24"/>
        </w:rPr>
        <w:t>, which was handed down in July 2014.</w:t>
      </w:r>
      <w:r w:rsidR="000B7391" w:rsidRPr="009F46D4">
        <w:rPr>
          <w:rStyle w:val="FootnoteReference"/>
          <w:rFonts w:ascii="Times New Roman" w:hAnsi="Times New Roman"/>
          <w:sz w:val="24"/>
          <w:szCs w:val="24"/>
        </w:rPr>
        <w:footnoteReference w:id="10"/>
      </w:r>
      <w:r w:rsidR="00335E24" w:rsidRPr="009F46D4">
        <w:rPr>
          <w:rFonts w:ascii="Times New Roman" w:hAnsi="Times New Roman"/>
          <w:sz w:val="24"/>
          <w:szCs w:val="24"/>
        </w:rPr>
        <w:t xml:space="preserve">  The facts of the case were relatively straightforward </w:t>
      </w:r>
      <w:r w:rsidR="00135BA6" w:rsidRPr="009F46D4">
        <w:rPr>
          <w:rFonts w:ascii="Times New Roman" w:hAnsi="Times New Roman"/>
          <w:sz w:val="24"/>
          <w:szCs w:val="24"/>
          <w:lang w:eastAsia="en-AU"/>
        </w:rPr>
        <w:t xml:space="preserve">and involved the distribution in Australia of air conditioning units manufactured in China by TCL.  TCL breached its promise to Castel of exclusivity of rights of distribution of certain TCL products and Castel successfully obtained an arbitral award in its favour following a 10-day hearing.  </w:t>
      </w:r>
    </w:p>
    <w:p w14:paraId="1AB6D46C" w14:textId="133C0D27" w:rsidR="00135BA6" w:rsidRPr="009F46D4" w:rsidRDefault="00135BA6" w:rsidP="00135BA6">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TCL sought to resist enforcement and have the award set-aside, arguing that the arbitration tribunal had failed to accord it procedural fairness, thereby breaching the rules of natural justice and rendering enforcement of the award contrary to the public policy of Australia.  TCL argued that the proper approach was to revisit in full the questions which were before the tribunal in order to determine whether the rules of natural justice had been breached.  Murphy J dismissed TCL’s arguments and enforced the award.  Despite an unsuccessful challenge to the constitutional validity of his Honour’s decision in the High Court, TCL pressed its appeal to the Full Federal Court.</w:t>
      </w:r>
      <w:r w:rsidR="003C01D4" w:rsidRPr="009F46D4">
        <w:rPr>
          <w:rStyle w:val="FootnoteReference"/>
          <w:rFonts w:ascii="Times New Roman" w:hAnsi="Times New Roman"/>
          <w:sz w:val="24"/>
          <w:szCs w:val="24"/>
          <w:lang w:eastAsia="en-AU"/>
        </w:rPr>
        <w:footnoteReference w:id="11"/>
      </w:r>
      <w:r w:rsidRPr="009F46D4">
        <w:rPr>
          <w:rFonts w:ascii="Times New Roman" w:hAnsi="Times New Roman"/>
          <w:sz w:val="24"/>
          <w:szCs w:val="24"/>
          <w:lang w:eastAsia="en-AU"/>
        </w:rPr>
        <w:t xml:space="preserve"> </w:t>
      </w:r>
    </w:p>
    <w:p w14:paraId="2C0CEC27" w14:textId="7BF220E0" w:rsidR="00BB12ED" w:rsidRPr="009F46D4" w:rsidRDefault="00135BA6" w:rsidP="00135BA6">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By its grounds of appeal, TCL challenged</w:t>
      </w:r>
      <w:r w:rsidR="0051587B" w:rsidRPr="009F46D4">
        <w:rPr>
          <w:rFonts w:ascii="Times New Roman" w:hAnsi="Times New Roman"/>
          <w:sz w:val="24"/>
          <w:szCs w:val="24"/>
          <w:lang w:eastAsia="en-AU"/>
        </w:rPr>
        <w:t xml:space="preserve"> </w:t>
      </w:r>
      <w:r w:rsidR="003C01D4" w:rsidRPr="009F46D4">
        <w:rPr>
          <w:rFonts w:ascii="Times New Roman" w:hAnsi="Times New Roman"/>
          <w:sz w:val="24"/>
          <w:szCs w:val="24"/>
          <w:lang w:eastAsia="en-AU"/>
        </w:rPr>
        <w:t>Murphy J’s findings</w:t>
      </w:r>
      <w:r w:rsidR="0051587B" w:rsidRPr="009F46D4">
        <w:rPr>
          <w:rFonts w:ascii="Times New Roman" w:hAnsi="Times New Roman"/>
          <w:sz w:val="24"/>
          <w:szCs w:val="24"/>
          <w:lang w:eastAsia="en-AU"/>
        </w:rPr>
        <w:t xml:space="preserve"> (among others) that</w:t>
      </w:r>
      <w:r w:rsidR="003C01D4" w:rsidRPr="009F46D4">
        <w:rPr>
          <w:rFonts w:ascii="Times New Roman" w:hAnsi="Times New Roman"/>
          <w:sz w:val="24"/>
          <w:szCs w:val="24"/>
          <w:lang w:eastAsia="en-AU"/>
        </w:rPr>
        <w:t>—</w:t>
      </w:r>
    </w:p>
    <w:p w14:paraId="40494149" w14:textId="12E43B19" w:rsidR="003C01D4" w:rsidRPr="009F46D4" w:rsidRDefault="003C01D4" w:rsidP="003C01D4">
      <w:pPr>
        <w:numPr>
          <w:ilvl w:val="0"/>
          <w:numId w:val="35"/>
        </w:num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there is a need to balance the efficacy of enforcing international arbitral awards with public policy; and</w:t>
      </w:r>
    </w:p>
    <w:p w14:paraId="555A6BC7" w14:textId="4C7D8BFD" w:rsidR="003C01D4" w:rsidRPr="009F46D4" w:rsidRDefault="0021355F" w:rsidP="003C01D4">
      <w:pPr>
        <w:numPr>
          <w:ilvl w:val="0"/>
          <w:numId w:val="35"/>
        </w:num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that </w:t>
      </w:r>
      <w:r w:rsidR="003C01D4" w:rsidRPr="009F46D4">
        <w:rPr>
          <w:rFonts w:ascii="Times New Roman" w:hAnsi="Times New Roman"/>
          <w:sz w:val="24"/>
          <w:szCs w:val="24"/>
          <w:lang w:eastAsia="en-AU"/>
        </w:rPr>
        <w:t xml:space="preserve">uniformity across jurisdictions is a relevant consideration when determining whether enforcement would be contrary to the public policy of Australia. </w:t>
      </w:r>
    </w:p>
    <w:p w14:paraId="3E486987" w14:textId="62A2D5C5" w:rsidR="003C01D4" w:rsidRPr="009F46D4" w:rsidRDefault="003C01D4" w:rsidP="003C01D4">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TCL also sought to comprehensively re-agitate arguments made before Murphy J as to the asserted inadequacies of the factual findings of the tribunal.</w:t>
      </w:r>
    </w:p>
    <w:p w14:paraId="6DDE4DC4" w14:textId="2D0C042C" w:rsidR="003C01D4" w:rsidRPr="009F46D4" w:rsidRDefault="003C01D4" w:rsidP="003C01D4">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lastRenderedPageBreak/>
        <w:t xml:space="preserve">The Full </w:t>
      </w:r>
      <w:r w:rsidR="00234555" w:rsidRPr="009F46D4">
        <w:rPr>
          <w:rFonts w:ascii="Times New Roman" w:hAnsi="Times New Roman"/>
          <w:sz w:val="24"/>
          <w:szCs w:val="24"/>
          <w:lang w:eastAsia="en-AU"/>
        </w:rPr>
        <w:t xml:space="preserve">Federal </w:t>
      </w:r>
      <w:r w:rsidRPr="009F46D4">
        <w:rPr>
          <w:rFonts w:ascii="Times New Roman" w:hAnsi="Times New Roman"/>
          <w:sz w:val="24"/>
          <w:szCs w:val="24"/>
          <w:lang w:eastAsia="en-AU"/>
        </w:rPr>
        <w:t>Court found that there was no breach of the rules of natural justice and therefore that enforcement would not be contrary to public policy.  In relation to the international provenance of Australia’s arbitration r</w:t>
      </w:r>
      <w:r w:rsidR="0002056C" w:rsidRPr="009F46D4">
        <w:rPr>
          <w:rFonts w:ascii="Times New Roman" w:hAnsi="Times New Roman"/>
          <w:sz w:val="24"/>
          <w:szCs w:val="24"/>
          <w:lang w:eastAsia="en-AU"/>
        </w:rPr>
        <w:t>egime, the Full Court said that</w:t>
      </w:r>
      <w:r w:rsidR="00234555" w:rsidRPr="009F46D4">
        <w:rPr>
          <w:rFonts w:ascii="Times New Roman" w:hAnsi="Times New Roman"/>
          <w:sz w:val="24"/>
          <w:szCs w:val="24"/>
          <w:lang w:eastAsia="en-AU"/>
        </w:rPr>
        <w:t>—</w:t>
      </w:r>
      <w:r w:rsidRPr="009F46D4">
        <w:rPr>
          <w:rStyle w:val="FootnoteReference"/>
          <w:rFonts w:ascii="Times New Roman" w:hAnsi="Times New Roman"/>
          <w:sz w:val="24"/>
          <w:szCs w:val="24"/>
          <w:lang w:eastAsia="en-AU"/>
        </w:rPr>
        <w:footnoteReference w:id="12"/>
      </w:r>
    </w:p>
    <w:p w14:paraId="045A39FD" w14:textId="77777777" w:rsidR="003C01D4" w:rsidRPr="009F46D4" w:rsidRDefault="003C01D4" w:rsidP="003C01D4">
      <w:pPr>
        <w:pStyle w:val="Quote1"/>
        <w:spacing w:line="240" w:lineRule="auto"/>
        <w:ind w:left="720"/>
        <w:rPr>
          <w:rFonts w:ascii="Times New Roman" w:hAnsi="Times New Roman"/>
          <w:sz w:val="24"/>
          <w:szCs w:val="24"/>
        </w:rPr>
      </w:pPr>
      <w:r w:rsidRPr="009F46D4">
        <w:rPr>
          <w:rFonts w:ascii="Times New Roman" w:hAnsi="Times New Roman"/>
          <w:sz w:val="24"/>
          <w:szCs w:val="24"/>
        </w:rPr>
        <w:t>it is not only appropriate, but essential, to pay due regard to the reasoned decisions of other countries where their laws are either based on, or take their content from, international conventions or instruments such as the New York Convention and the Model Law.  It is of the first importance to attempt to create or maintain, as far as the language employed by Parliament in the … [International Arbitration Act] permits, a degree of international harmony and concordance of approach to international commercial arbitration.  This is especially so by reference to the reasoned judgments of common law countries in the region, such as Singapore, Hong Kong and New Zealand.</w:t>
      </w:r>
    </w:p>
    <w:p w14:paraId="6126169D" w14:textId="7F98549C" w:rsidR="003C01D4" w:rsidRPr="009F46D4" w:rsidRDefault="003C01D4" w:rsidP="003C01D4">
      <w:pPr>
        <w:spacing w:line="360" w:lineRule="auto"/>
        <w:jc w:val="both"/>
        <w:rPr>
          <w:rFonts w:ascii="Times New Roman" w:hAnsi="Times New Roman"/>
          <w:sz w:val="24"/>
          <w:szCs w:val="24"/>
        </w:rPr>
      </w:pPr>
      <w:r w:rsidRPr="009F46D4">
        <w:rPr>
          <w:rFonts w:ascii="Times New Roman" w:hAnsi="Times New Roman"/>
          <w:sz w:val="24"/>
          <w:szCs w:val="24"/>
        </w:rPr>
        <w:t>Similar sentiments have been expressed by the Victorian Court of Appeal in the context of the Unif</w:t>
      </w:r>
      <w:r w:rsidR="008D40FF" w:rsidRPr="009F46D4">
        <w:rPr>
          <w:rFonts w:ascii="Times New Roman" w:hAnsi="Times New Roman"/>
          <w:sz w:val="24"/>
          <w:szCs w:val="24"/>
        </w:rPr>
        <w:t>orm Commercial Arbitration Acts</w:t>
      </w:r>
      <w:r w:rsidRPr="009F46D4">
        <w:rPr>
          <w:rFonts w:ascii="Times New Roman" w:hAnsi="Times New Roman"/>
          <w:sz w:val="24"/>
          <w:szCs w:val="24"/>
        </w:rPr>
        <w:t>.</w:t>
      </w:r>
      <w:r w:rsidRPr="009F46D4">
        <w:rPr>
          <w:rStyle w:val="FootnoteReference"/>
          <w:rFonts w:ascii="Times New Roman" w:hAnsi="Times New Roman"/>
          <w:sz w:val="24"/>
          <w:szCs w:val="24"/>
        </w:rPr>
        <w:footnoteReference w:id="13"/>
      </w:r>
    </w:p>
    <w:p w14:paraId="09C144B8" w14:textId="21C3AF73" w:rsidR="00730D09" w:rsidRPr="009F46D4" w:rsidRDefault="00730D09" w:rsidP="003C01D4">
      <w:pPr>
        <w:spacing w:line="360" w:lineRule="auto"/>
        <w:jc w:val="both"/>
        <w:rPr>
          <w:rFonts w:ascii="Times New Roman" w:hAnsi="Times New Roman"/>
          <w:sz w:val="24"/>
          <w:szCs w:val="24"/>
        </w:rPr>
      </w:pPr>
      <w:r w:rsidRPr="009F46D4">
        <w:rPr>
          <w:rFonts w:ascii="Times New Roman" w:hAnsi="Times New Roman"/>
          <w:sz w:val="24"/>
          <w:szCs w:val="24"/>
        </w:rPr>
        <w:t xml:space="preserve">Here in New Zealand, </w:t>
      </w:r>
      <w:r w:rsidR="005B5644" w:rsidRPr="009F46D4">
        <w:rPr>
          <w:rFonts w:ascii="Times New Roman" w:hAnsi="Times New Roman"/>
          <w:sz w:val="24"/>
          <w:szCs w:val="24"/>
        </w:rPr>
        <w:t xml:space="preserve">in </w:t>
      </w:r>
      <w:r w:rsidR="005B5644" w:rsidRPr="009F46D4">
        <w:rPr>
          <w:rFonts w:ascii="Times New Roman" w:hAnsi="Times New Roman"/>
          <w:i/>
          <w:sz w:val="24"/>
          <w:szCs w:val="24"/>
        </w:rPr>
        <w:t>Todd Petroleum Mining Co Ltd v Shell (Petroleum Mining) Co Ltd</w:t>
      </w:r>
      <w:r w:rsidR="008D40FF" w:rsidRPr="009F46D4">
        <w:rPr>
          <w:rFonts w:ascii="Times New Roman" w:hAnsi="Times New Roman"/>
          <w:sz w:val="24"/>
          <w:szCs w:val="24"/>
        </w:rPr>
        <w:t>,</w:t>
      </w:r>
      <w:r w:rsidR="005B5644" w:rsidRPr="009F46D4">
        <w:rPr>
          <w:rFonts w:ascii="Times New Roman" w:hAnsi="Times New Roman"/>
          <w:sz w:val="24"/>
          <w:szCs w:val="24"/>
        </w:rPr>
        <w:t xml:space="preserve"> </w:t>
      </w:r>
      <w:r w:rsidR="008D40FF" w:rsidRPr="009F46D4">
        <w:rPr>
          <w:rFonts w:ascii="Times New Roman" w:hAnsi="Times New Roman"/>
          <w:sz w:val="24"/>
          <w:szCs w:val="24"/>
        </w:rPr>
        <w:t xml:space="preserve">the Court of Appeal has </w:t>
      </w:r>
      <w:r w:rsidR="005B5644" w:rsidRPr="009F46D4">
        <w:rPr>
          <w:rFonts w:ascii="Times New Roman" w:hAnsi="Times New Roman"/>
          <w:sz w:val="24"/>
          <w:szCs w:val="24"/>
        </w:rPr>
        <w:t xml:space="preserve">described the relationship between the Model Law and the Arbitration Act </w:t>
      </w:r>
      <w:r w:rsidR="008D40FF" w:rsidRPr="009F46D4">
        <w:rPr>
          <w:rFonts w:ascii="Times New Roman" w:hAnsi="Times New Roman"/>
          <w:sz w:val="24"/>
          <w:szCs w:val="24"/>
        </w:rPr>
        <w:t>in the following terms</w:t>
      </w:r>
      <w:r w:rsidRPr="009F46D4">
        <w:rPr>
          <w:rFonts w:ascii="Times New Roman" w:hAnsi="Times New Roman"/>
          <w:sz w:val="24"/>
          <w:szCs w:val="24"/>
        </w:rPr>
        <w:t>:</w:t>
      </w:r>
      <w:r w:rsidRPr="009F46D4">
        <w:rPr>
          <w:rStyle w:val="FootnoteReference"/>
          <w:rFonts w:ascii="Times New Roman" w:hAnsi="Times New Roman"/>
          <w:sz w:val="24"/>
          <w:szCs w:val="24"/>
        </w:rPr>
        <w:footnoteReference w:id="14"/>
      </w:r>
    </w:p>
    <w:p w14:paraId="4A8D2589" w14:textId="506CE25B" w:rsidR="00730D09" w:rsidRPr="009F46D4" w:rsidRDefault="004F0B2F" w:rsidP="00730D09">
      <w:pPr>
        <w:pStyle w:val="Quote1"/>
        <w:spacing w:line="240" w:lineRule="auto"/>
        <w:ind w:left="720"/>
        <w:rPr>
          <w:rFonts w:ascii="Times New Roman" w:hAnsi="Times New Roman"/>
          <w:sz w:val="24"/>
          <w:szCs w:val="24"/>
        </w:rPr>
      </w:pPr>
      <w:r w:rsidRPr="009F46D4">
        <w:rPr>
          <w:rFonts w:ascii="Times New Roman" w:hAnsi="Times New Roman"/>
          <w:sz w:val="24"/>
          <w:szCs w:val="24"/>
        </w:rPr>
        <w:t xml:space="preserve">Implementing the </w:t>
      </w:r>
      <w:r w:rsidR="00D7621D" w:rsidRPr="009F46D4">
        <w:rPr>
          <w:rFonts w:ascii="Times New Roman" w:hAnsi="Times New Roman"/>
          <w:sz w:val="24"/>
          <w:szCs w:val="24"/>
        </w:rPr>
        <w:t>…</w:t>
      </w:r>
      <w:r w:rsidRPr="009F46D4">
        <w:rPr>
          <w:rFonts w:ascii="Times New Roman" w:hAnsi="Times New Roman"/>
          <w:sz w:val="24"/>
          <w:szCs w:val="24"/>
        </w:rPr>
        <w:t xml:space="preserve"> Model Law, the Act was “designed to substantially overhaul and modernise” New Zealand arbitration law and bring the statutory provisions “into line with the international regi</w:t>
      </w:r>
      <w:r w:rsidR="00DD3537" w:rsidRPr="009F46D4">
        <w:rPr>
          <w:rFonts w:ascii="Times New Roman" w:hAnsi="Times New Roman"/>
          <w:sz w:val="24"/>
          <w:szCs w:val="24"/>
        </w:rPr>
        <w:t>me”.</w:t>
      </w:r>
      <w:r w:rsidR="00D7621D" w:rsidRPr="009F46D4">
        <w:rPr>
          <w:rStyle w:val="FootnoteReference"/>
          <w:rFonts w:ascii="Times New Roman" w:hAnsi="Times New Roman"/>
          <w:sz w:val="24"/>
          <w:szCs w:val="24"/>
        </w:rPr>
        <w:footnoteReference w:id="15"/>
      </w:r>
    </w:p>
    <w:p w14:paraId="4EBEFAB5" w14:textId="68D2D4D0" w:rsidR="009F46D4" w:rsidRDefault="001C4854" w:rsidP="00730D09">
      <w:pPr>
        <w:spacing w:line="360" w:lineRule="auto"/>
        <w:jc w:val="both"/>
        <w:rPr>
          <w:rFonts w:ascii="Times New Roman" w:hAnsi="Times New Roman"/>
          <w:sz w:val="24"/>
          <w:szCs w:val="24"/>
        </w:rPr>
      </w:pPr>
      <w:r w:rsidRPr="009F46D4">
        <w:rPr>
          <w:rFonts w:ascii="Times New Roman" w:hAnsi="Times New Roman"/>
          <w:sz w:val="24"/>
          <w:szCs w:val="24"/>
        </w:rPr>
        <w:t xml:space="preserve">Over 15 years ago—but in </w:t>
      </w:r>
      <w:r w:rsidR="007506FC" w:rsidRPr="009F46D4">
        <w:rPr>
          <w:rFonts w:ascii="Times New Roman" w:hAnsi="Times New Roman"/>
          <w:sz w:val="24"/>
          <w:szCs w:val="24"/>
        </w:rPr>
        <w:t>a similar</w:t>
      </w:r>
      <w:r w:rsidR="00CE20E4" w:rsidRPr="009F46D4">
        <w:rPr>
          <w:rFonts w:ascii="Times New Roman" w:hAnsi="Times New Roman"/>
          <w:sz w:val="24"/>
          <w:szCs w:val="24"/>
        </w:rPr>
        <w:t xml:space="preserve"> vein—</w:t>
      </w:r>
      <w:r w:rsidR="007506FC" w:rsidRPr="009F46D4">
        <w:rPr>
          <w:rFonts w:ascii="Times New Roman" w:hAnsi="Times New Roman"/>
          <w:sz w:val="24"/>
          <w:szCs w:val="24"/>
        </w:rPr>
        <w:t xml:space="preserve">in </w:t>
      </w:r>
      <w:r w:rsidR="007506FC" w:rsidRPr="009F46D4">
        <w:rPr>
          <w:rFonts w:ascii="Times New Roman" w:hAnsi="Times New Roman"/>
          <w:i/>
          <w:sz w:val="24"/>
          <w:szCs w:val="24"/>
        </w:rPr>
        <w:t>Gold</w:t>
      </w:r>
      <w:r w:rsidR="00F83C12" w:rsidRPr="009F46D4">
        <w:rPr>
          <w:rFonts w:ascii="Times New Roman" w:hAnsi="Times New Roman"/>
          <w:i/>
          <w:sz w:val="24"/>
          <w:szCs w:val="24"/>
        </w:rPr>
        <w:t xml:space="preserve"> and Resource Developments (NZ) Ltd v Doug Hood Ltd</w:t>
      </w:r>
      <w:r w:rsidR="00F83C12" w:rsidRPr="009F46D4">
        <w:rPr>
          <w:rFonts w:ascii="Times New Roman" w:hAnsi="Times New Roman"/>
          <w:sz w:val="24"/>
          <w:szCs w:val="24"/>
        </w:rPr>
        <w:t>, the Court of Appeal acknowledged that assistance in interpreting the Act may be “gained by considering the experience of other common law jurisdictions</w:t>
      </w:r>
      <w:r w:rsidR="00EC14B0" w:rsidRPr="009F46D4">
        <w:rPr>
          <w:rFonts w:ascii="Times New Roman" w:hAnsi="Times New Roman"/>
          <w:sz w:val="24"/>
          <w:szCs w:val="24"/>
        </w:rPr>
        <w:t>.</w:t>
      </w:r>
      <w:r w:rsidR="00F83C12" w:rsidRPr="009F46D4">
        <w:rPr>
          <w:rFonts w:ascii="Times New Roman" w:hAnsi="Times New Roman"/>
          <w:sz w:val="24"/>
          <w:szCs w:val="24"/>
        </w:rPr>
        <w:t>”</w:t>
      </w:r>
      <w:r w:rsidR="00CE20E4" w:rsidRPr="009F46D4">
        <w:rPr>
          <w:rStyle w:val="FootnoteReference"/>
          <w:rFonts w:ascii="Times New Roman" w:hAnsi="Times New Roman"/>
          <w:sz w:val="24"/>
          <w:szCs w:val="24"/>
        </w:rPr>
        <w:footnoteReference w:id="16"/>
      </w:r>
      <w:r w:rsidR="00CE20E4" w:rsidRPr="009F46D4">
        <w:rPr>
          <w:rFonts w:ascii="Times New Roman" w:hAnsi="Times New Roman"/>
          <w:sz w:val="24"/>
          <w:szCs w:val="24"/>
        </w:rPr>
        <w:t xml:space="preserve">  The Court of Appeal only identified England and Australia’s arbitration legislation as mirroring that of New Zealand</w:t>
      </w:r>
      <w:r w:rsidR="00FD2867" w:rsidRPr="009F46D4">
        <w:rPr>
          <w:rFonts w:ascii="Times New Roman" w:hAnsi="Times New Roman"/>
          <w:sz w:val="24"/>
          <w:szCs w:val="24"/>
        </w:rPr>
        <w:t>; h</w:t>
      </w:r>
      <w:r w:rsidR="0074775E" w:rsidRPr="009F46D4">
        <w:rPr>
          <w:rFonts w:ascii="Times New Roman" w:hAnsi="Times New Roman"/>
          <w:sz w:val="24"/>
          <w:szCs w:val="24"/>
        </w:rPr>
        <w:t>owever, it surely would not take much by way of detailed reasoning to extend this</w:t>
      </w:r>
      <w:r w:rsidR="006F1BF4" w:rsidRPr="009F46D4">
        <w:rPr>
          <w:rFonts w:ascii="Times New Roman" w:hAnsi="Times New Roman"/>
          <w:sz w:val="24"/>
          <w:szCs w:val="24"/>
        </w:rPr>
        <w:t xml:space="preserve"> to other countries</w:t>
      </w:r>
      <w:r w:rsidR="00B8324E" w:rsidRPr="009F46D4">
        <w:rPr>
          <w:rFonts w:ascii="Times New Roman" w:hAnsi="Times New Roman"/>
          <w:sz w:val="24"/>
          <w:szCs w:val="24"/>
        </w:rPr>
        <w:t>—particularly those in our region—</w:t>
      </w:r>
      <w:r w:rsidR="006F1BF4" w:rsidRPr="009F46D4">
        <w:rPr>
          <w:rFonts w:ascii="Times New Roman" w:hAnsi="Times New Roman"/>
          <w:sz w:val="24"/>
          <w:szCs w:val="24"/>
        </w:rPr>
        <w:t>where their</w:t>
      </w:r>
      <w:r w:rsidR="00B8324E" w:rsidRPr="009F46D4">
        <w:rPr>
          <w:rFonts w:ascii="Times New Roman" w:hAnsi="Times New Roman"/>
          <w:sz w:val="24"/>
          <w:szCs w:val="24"/>
        </w:rPr>
        <w:t xml:space="preserve"> arbitration law</w:t>
      </w:r>
      <w:r w:rsidR="00E45B51" w:rsidRPr="009F46D4">
        <w:rPr>
          <w:rFonts w:ascii="Times New Roman" w:hAnsi="Times New Roman"/>
          <w:sz w:val="24"/>
          <w:szCs w:val="24"/>
        </w:rPr>
        <w:t xml:space="preserve"> is based on</w:t>
      </w:r>
      <w:r w:rsidR="006F1BF4" w:rsidRPr="009F46D4">
        <w:rPr>
          <w:rFonts w:ascii="Times New Roman" w:hAnsi="Times New Roman"/>
          <w:sz w:val="24"/>
          <w:szCs w:val="24"/>
        </w:rPr>
        <w:t xml:space="preserve"> the Model Law</w:t>
      </w:r>
      <w:r w:rsidR="00B8324E" w:rsidRPr="009F46D4">
        <w:rPr>
          <w:rFonts w:ascii="Times New Roman" w:hAnsi="Times New Roman"/>
          <w:sz w:val="24"/>
          <w:szCs w:val="24"/>
        </w:rPr>
        <w:t xml:space="preserve"> or the New York Convention</w:t>
      </w:r>
      <w:r w:rsidR="00FD2867" w:rsidRPr="009F46D4">
        <w:rPr>
          <w:rFonts w:ascii="Times New Roman" w:hAnsi="Times New Roman"/>
          <w:sz w:val="24"/>
          <w:szCs w:val="24"/>
        </w:rPr>
        <w:t xml:space="preserve">.  Indeed, as I have just said, this is clearly now the position in Australia following the </w:t>
      </w:r>
      <w:r w:rsidR="00FD2867" w:rsidRPr="009F46D4">
        <w:rPr>
          <w:rFonts w:ascii="Times New Roman" w:hAnsi="Times New Roman"/>
          <w:i/>
          <w:sz w:val="24"/>
          <w:szCs w:val="24"/>
        </w:rPr>
        <w:t xml:space="preserve">TCL </w:t>
      </w:r>
      <w:r w:rsidR="00FD2867" w:rsidRPr="009F46D4">
        <w:rPr>
          <w:rFonts w:ascii="Times New Roman" w:hAnsi="Times New Roman"/>
          <w:sz w:val="24"/>
          <w:szCs w:val="24"/>
        </w:rPr>
        <w:t>case.</w:t>
      </w:r>
    </w:p>
    <w:p w14:paraId="7B3B31A2" w14:textId="77777777" w:rsidR="009F46D4" w:rsidRDefault="009F46D4">
      <w:pPr>
        <w:spacing w:after="0" w:line="240" w:lineRule="auto"/>
        <w:rPr>
          <w:rFonts w:ascii="Times New Roman" w:hAnsi="Times New Roman"/>
          <w:sz w:val="24"/>
          <w:szCs w:val="24"/>
        </w:rPr>
      </w:pPr>
      <w:r>
        <w:rPr>
          <w:rFonts w:ascii="Times New Roman" w:hAnsi="Times New Roman"/>
          <w:sz w:val="24"/>
          <w:szCs w:val="24"/>
        </w:rPr>
        <w:br w:type="page"/>
      </w:r>
    </w:p>
    <w:p w14:paraId="5FF9CD6F" w14:textId="6DD2BF99" w:rsidR="007D039E" w:rsidRPr="009F46D4" w:rsidRDefault="007D039E" w:rsidP="00973945">
      <w:pPr>
        <w:pStyle w:val="Heading1"/>
        <w:numPr>
          <w:ilvl w:val="0"/>
          <w:numId w:val="12"/>
        </w:numPr>
        <w:tabs>
          <w:tab w:val="clear" w:pos="8280"/>
        </w:tabs>
        <w:ind w:hanging="720"/>
        <w:rPr>
          <w:sz w:val="28"/>
          <w:szCs w:val="28"/>
        </w:rPr>
      </w:pPr>
      <w:bookmarkStart w:id="0" w:name="_GoBack"/>
      <w:bookmarkEnd w:id="0"/>
      <w:r w:rsidRPr="009F46D4">
        <w:rPr>
          <w:sz w:val="28"/>
          <w:szCs w:val="28"/>
        </w:rPr>
        <w:lastRenderedPageBreak/>
        <w:t>Enforcing and Challenging Awards</w:t>
      </w:r>
    </w:p>
    <w:p w14:paraId="2B54A52C" w14:textId="66FC0400" w:rsidR="00973945" w:rsidRPr="009F46D4" w:rsidRDefault="00AA56E8" w:rsidP="00973945">
      <w:pPr>
        <w:spacing w:line="360" w:lineRule="auto"/>
        <w:jc w:val="both"/>
        <w:rPr>
          <w:rFonts w:ascii="Times New Roman" w:hAnsi="Times New Roman"/>
          <w:sz w:val="24"/>
          <w:szCs w:val="24"/>
        </w:rPr>
      </w:pPr>
      <w:r w:rsidRPr="009F46D4">
        <w:rPr>
          <w:rFonts w:ascii="Times New Roman" w:hAnsi="Times New Roman"/>
          <w:sz w:val="24"/>
          <w:szCs w:val="24"/>
        </w:rPr>
        <w:t>I now turn to consider examples of the temptation of domesticity</w:t>
      </w:r>
      <w:r w:rsidR="00FD2867" w:rsidRPr="009F46D4">
        <w:rPr>
          <w:rFonts w:ascii="Times New Roman" w:hAnsi="Times New Roman"/>
          <w:sz w:val="24"/>
          <w:szCs w:val="24"/>
        </w:rPr>
        <w:t xml:space="preserve"> in a range of arbitration-related applications which may come before the courts.  But first, i</w:t>
      </w:r>
      <w:r w:rsidR="00B8324E" w:rsidRPr="009F46D4">
        <w:rPr>
          <w:rFonts w:ascii="Times New Roman" w:hAnsi="Times New Roman"/>
          <w:sz w:val="24"/>
          <w:szCs w:val="24"/>
        </w:rPr>
        <w:t xml:space="preserve">n the spirit of </w:t>
      </w:r>
      <w:r w:rsidR="00973945" w:rsidRPr="009F46D4">
        <w:rPr>
          <w:rFonts w:ascii="Times New Roman" w:hAnsi="Times New Roman"/>
          <w:sz w:val="24"/>
          <w:szCs w:val="24"/>
        </w:rPr>
        <w:t xml:space="preserve">the international perspective mandated by </w:t>
      </w:r>
      <w:r w:rsidR="00FD2867" w:rsidRPr="009F46D4">
        <w:rPr>
          <w:rFonts w:ascii="Times New Roman" w:hAnsi="Times New Roman"/>
          <w:sz w:val="24"/>
          <w:szCs w:val="24"/>
        </w:rPr>
        <w:t>our respective</w:t>
      </w:r>
      <w:r w:rsidR="00973945" w:rsidRPr="009F46D4">
        <w:rPr>
          <w:rFonts w:ascii="Times New Roman" w:hAnsi="Times New Roman"/>
          <w:sz w:val="24"/>
          <w:szCs w:val="24"/>
        </w:rPr>
        <w:t xml:space="preserve"> arbitration re</w:t>
      </w:r>
      <w:r w:rsidR="00FD2867" w:rsidRPr="009F46D4">
        <w:rPr>
          <w:rFonts w:ascii="Times New Roman" w:hAnsi="Times New Roman"/>
          <w:sz w:val="24"/>
          <w:szCs w:val="24"/>
        </w:rPr>
        <w:t xml:space="preserve">gimes, it is fitting that I </w:t>
      </w:r>
      <w:r w:rsidR="00973945" w:rsidRPr="009F46D4">
        <w:rPr>
          <w:rFonts w:ascii="Times New Roman" w:hAnsi="Times New Roman"/>
          <w:sz w:val="24"/>
          <w:szCs w:val="24"/>
        </w:rPr>
        <w:t xml:space="preserve">refer to what is but a fraction of the writings of the Chief Justice of Singapore on </w:t>
      </w:r>
      <w:r w:rsidR="00FD2867" w:rsidRPr="009F46D4">
        <w:rPr>
          <w:rFonts w:ascii="Times New Roman" w:hAnsi="Times New Roman"/>
          <w:sz w:val="24"/>
          <w:szCs w:val="24"/>
        </w:rPr>
        <w:t>this topic</w:t>
      </w:r>
      <w:r w:rsidR="00973945" w:rsidRPr="009F46D4">
        <w:rPr>
          <w:rFonts w:ascii="Times New Roman" w:hAnsi="Times New Roman"/>
          <w:sz w:val="24"/>
          <w:szCs w:val="24"/>
        </w:rPr>
        <w:t xml:space="preserve">.  Delivering the judgment of the Singapore Court of Appeal around this time last year in the case of </w:t>
      </w:r>
      <w:r w:rsidR="00973945" w:rsidRPr="009F46D4">
        <w:rPr>
          <w:rFonts w:ascii="Times New Roman" w:hAnsi="Times New Roman"/>
          <w:i/>
          <w:sz w:val="24"/>
          <w:szCs w:val="24"/>
        </w:rPr>
        <w:t>AKN v ALC</w:t>
      </w:r>
      <w:r w:rsidR="00FD2867" w:rsidRPr="009F46D4">
        <w:rPr>
          <w:rFonts w:ascii="Times New Roman" w:hAnsi="Times New Roman"/>
          <w:sz w:val="24"/>
          <w:szCs w:val="24"/>
        </w:rPr>
        <w:t>, Menon CJ framed the issue as follows</w:t>
      </w:r>
      <w:r w:rsidR="00973945" w:rsidRPr="009F46D4">
        <w:rPr>
          <w:rFonts w:ascii="Times New Roman" w:hAnsi="Times New Roman"/>
          <w:sz w:val="24"/>
          <w:szCs w:val="24"/>
          <w:lang w:eastAsia="en-AU"/>
        </w:rPr>
        <w:t>:</w:t>
      </w:r>
      <w:r w:rsidR="00973945" w:rsidRPr="009F46D4">
        <w:rPr>
          <w:rStyle w:val="FootnoteReference"/>
          <w:rFonts w:ascii="Times New Roman" w:hAnsi="Times New Roman"/>
          <w:sz w:val="24"/>
          <w:szCs w:val="24"/>
        </w:rPr>
        <w:footnoteReference w:id="17"/>
      </w:r>
    </w:p>
    <w:p w14:paraId="69515988" w14:textId="5634B26C" w:rsidR="00973945" w:rsidRPr="009F46D4" w:rsidRDefault="00973945" w:rsidP="00973945">
      <w:pPr>
        <w:pStyle w:val="Quote1"/>
        <w:spacing w:line="240" w:lineRule="auto"/>
        <w:ind w:left="720"/>
        <w:rPr>
          <w:rFonts w:ascii="Times New Roman" w:hAnsi="Times New Roman"/>
          <w:sz w:val="24"/>
          <w:szCs w:val="24"/>
        </w:rPr>
      </w:pPr>
      <w:r w:rsidRPr="009F46D4">
        <w:rPr>
          <w:rFonts w:ascii="Times New Roman" w:hAnsi="Times New Roman"/>
          <w:sz w:val="24"/>
          <w:szCs w:val="24"/>
        </w:rPr>
        <w:t xml:space="preserve">A critical foundational principle in arbitration is that the parties choose their adjudicators.  Central to this is the notion of party autonomy.  Just as the parties enjoy many of the benefits of party autonomy, so too must they accept the consequences of the choices they have made.  </w:t>
      </w:r>
      <w:r w:rsidRPr="009F46D4">
        <w:rPr>
          <w:rFonts w:ascii="Times New Roman" w:hAnsi="Times New Roman"/>
          <w:sz w:val="24"/>
          <w:szCs w:val="24"/>
          <w:u w:val="single"/>
        </w:rPr>
        <w:t>The courts do not and must not interfere in the merits of an arbitral award and, in the process, bail out parties who have made choices that they might come to regret, or offer them a second chance to canvass the merits of their respective cases</w:t>
      </w:r>
      <w:r w:rsidRPr="009F46D4">
        <w:rPr>
          <w:rFonts w:ascii="Times New Roman" w:hAnsi="Times New Roman"/>
          <w:i/>
          <w:sz w:val="24"/>
          <w:szCs w:val="24"/>
        </w:rPr>
        <w:t>.</w:t>
      </w:r>
      <w:r w:rsidRPr="009F46D4">
        <w:rPr>
          <w:rFonts w:ascii="Times New Roman" w:hAnsi="Times New Roman"/>
          <w:sz w:val="24"/>
          <w:szCs w:val="24"/>
        </w:rPr>
        <w:t xml:space="preserve">  This important proscription is reflected in the policy of minimal curial intervention in arbitral proceedings, a mainstay of the Model Law</w:t>
      </w:r>
      <w:r w:rsidR="00DA63FD" w:rsidRPr="009F46D4">
        <w:rPr>
          <w:rFonts w:ascii="Times New Roman" w:hAnsi="Times New Roman"/>
          <w:sz w:val="24"/>
          <w:szCs w:val="24"/>
        </w:rPr>
        <w:t xml:space="preserve"> …</w:t>
      </w:r>
    </w:p>
    <w:p w14:paraId="3D4BD586" w14:textId="070BFD50" w:rsidR="0027566B" w:rsidRPr="009F46D4" w:rsidRDefault="0027566B" w:rsidP="0027566B">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The </w:t>
      </w:r>
      <w:r w:rsidR="00973945" w:rsidRPr="009F46D4">
        <w:rPr>
          <w:rFonts w:ascii="Times New Roman" w:hAnsi="Times New Roman"/>
          <w:sz w:val="24"/>
          <w:szCs w:val="24"/>
          <w:lang w:eastAsia="en-AU"/>
        </w:rPr>
        <w:t>Chief Justice is referring here to perhaps the most prevalent manifestation of</w:t>
      </w:r>
      <w:r w:rsidR="000E1ED7" w:rsidRPr="009F46D4">
        <w:rPr>
          <w:rFonts w:ascii="Times New Roman" w:hAnsi="Times New Roman"/>
          <w:sz w:val="24"/>
          <w:szCs w:val="24"/>
          <w:lang w:eastAsia="en-AU"/>
        </w:rPr>
        <w:t xml:space="preserve"> the temptation of domesticity</w:t>
      </w:r>
      <w:r w:rsidR="00973945" w:rsidRPr="009F46D4">
        <w:rPr>
          <w:rFonts w:ascii="Times New Roman" w:hAnsi="Times New Roman"/>
          <w:sz w:val="24"/>
          <w:szCs w:val="24"/>
          <w:lang w:eastAsia="en-AU"/>
        </w:rPr>
        <w:t xml:space="preserve">, namely </w:t>
      </w:r>
      <w:r w:rsidR="00910CC7" w:rsidRPr="009F46D4">
        <w:rPr>
          <w:rFonts w:ascii="Times New Roman" w:hAnsi="Times New Roman"/>
          <w:sz w:val="24"/>
          <w:szCs w:val="24"/>
          <w:lang w:eastAsia="en-AU"/>
        </w:rPr>
        <w:t xml:space="preserve">where </w:t>
      </w:r>
      <w:r w:rsidR="00973945" w:rsidRPr="009F46D4">
        <w:rPr>
          <w:rFonts w:ascii="Times New Roman" w:hAnsi="Times New Roman"/>
          <w:sz w:val="24"/>
          <w:szCs w:val="24"/>
          <w:lang w:eastAsia="en-AU"/>
        </w:rPr>
        <w:t>the court is invited</w:t>
      </w:r>
      <w:r w:rsidR="000E1ED7" w:rsidRPr="009F46D4">
        <w:rPr>
          <w:rFonts w:ascii="Times New Roman" w:hAnsi="Times New Roman"/>
          <w:sz w:val="24"/>
          <w:szCs w:val="24"/>
          <w:lang w:eastAsia="en-AU"/>
        </w:rPr>
        <w:t xml:space="preserve"> in enforcement or setting aside proceedings</w:t>
      </w:r>
      <w:r w:rsidR="00973945" w:rsidRPr="009F46D4">
        <w:rPr>
          <w:rFonts w:ascii="Times New Roman" w:hAnsi="Times New Roman"/>
          <w:sz w:val="24"/>
          <w:szCs w:val="24"/>
          <w:lang w:eastAsia="en-AU"/>
        </w:rPr>
        <w:t xml:space="preserve"> to intervene to correct errors of law or fact made by an arbitral tribunal.</w:t>
      </w:r>
      <w:r w:rsidR="00973945" w:rsidRPr="009F46D4">
        <w:rPr>
          <w:rStyle w:val="FootnoteReference"/>
          <w:rFonts w:ascii="Times New Roman" w:hAnsi="Times New Roman"/>
          <w:sz w:val="24"/>
          <w:szCs w:val="24"/>
          <w:lang w:eastAsia="en-AU"/>
        </w:rPr>
        <w:footnoteReference w:id="18"/>
      </w:r>
      <w:r w:rsidR="00973945" w:rsidRPr="009F46D4">
        <w:rPr>
          <w:rFonts w:ascii="Times New Roman" w:hAnsi="Times New Roman"/>
          <w:sz w:val="24"/>
          <w:szCs w:val="24"/>
          <w:lang w:eastAsia="en-AU"/>
        </w:rPr>
        <w:t xml:space="preserve">  </w:t>
      </w:r>
      <w:r w:rsidRPr="009F46D4">
        <w:rPr>
          <w:rFonts w:ascii="Times New Roman" w:hAnsi="Times New Roman"/>
          <w:sz w:val="24"/>
          <w:szCs w:val="24"/>
          <w:lang w:eastAsia="en-AU"/>
        </w:rPr>
        <w:t>His Honour continued and said</w:t>
      </w:r>
      <w:r w:rsidR="000E1ED7" w:rsidRPr="009F46D4">
        <w:rPr>
          <w:rFonts w:ascii="Times New Roman" w:hAnsi="Times New Roman"/>
          <w:sz w:val="24"/>
          <w:szCs w:val="24"/>
          <w:lang w:eastAsia="en-AU"/>
        </w:rPr>
        <w:t xml:space="preserve"> that</w:t>
      </w:r>
      <w:r w:rsidRPr="009F46D4">
        <w:rPr>
          <w:rFonts w:ascii="Times New Roman" w:hAnsi="Times New Roman"/>
          <w:sz w:val="24"/>
          <w:szCs w:val="24"/>
          <w:lang w:eastAsia="en-AU"/>
        </w:rPr>
        <w:t>:</w:t>
      </w:r>
      <w:r w:rsidRPr="009F46D4">
        <w:rPr>
          <w:rStyle w:val="FootnoteReference"/>
          <w:rFonts w:ascii="Times New Roman" w:hAnsi="Times New Roman"/>
          <w:sz w:val="24"/>
          <w:szCs w:val="24"/>
        </w:rPr>
        <w:footnoteReference w:id="19"/>
      </w:r>
    </w:p>
    <w:p w14:paraId="214B560A" w14:textId="77777777" w:rsidR="0027566B" w:rsidRPr="009F46D4" w:rsidRDefault="0027566B" w:rsidP="0027566B">
      <w:pPr>
        <w:pStyle w:val="Quote1"/>
        <w:spacing w:line="240" w:lineRule="auto"/>
        <w:ind w:left="720"/>
        <w:rPr>
          <w:rFonts w:ascii="Times New Roman" w:hAnsi="Times New Roman"/>
          <w:sz w:val="24"/>
          <w:szCs w:val="24"/>
        </w:rPr>
      </w:pPr>
      <w:r w:rsidRPr="009F46D4">
        <w:rPr>
          <w:rFonts w:ascii="Times New Roman" w:hAnsi="Times New Roman"/>
          <w:sz w:val="24"/>
          <w:szCs w:val="24"/>
        </w:rPr>
        <w:t>In the light of their limited role in arbitral proceedings, the courts must resist the temptation to engage with what is substantially an appeal on the legal merits of an arbitral award, but which, through the ingenuity of counsel, may be disguised and presented as a challenge to process failures during the arbitration.</w:t>
      </w:r>
    </w:p>
    <w:p w14:paraId="573A5187" w14:textId="0E7253AB" w:rsidR="00BB12ED" w:rsidRPr="009F46D4" w:rsidRDefault="0027566B" w:rsidP="00BB12ED">
      <w:pPr>
        <w:spacing w:line="360" w:lineRule="auto"/>
        <w:jc w:val="both"/>
        <w:rPr>
          <w:rFonts w:ascii="Times New Roman" w:hAnsi="Times New Roman"/>
          <w:sz w:val="24"/>
          <w:szCs w:val="24"/>
        </w:rPr>
      </w:pPr>
      <w:r w:rsidRPr="009F46D4">
        <w:rPr>
          <w:rFonts w:ascii="Times New Roman" w:hAnsi="Times New Roman"/>
          <w:sz w:val="24"/>
          <w:szCs w:val="24"/>
          <w:lang w:eastAsia="en-AU"/>
        </w:rPr>
        <w:t xml:space="preserve">As in the </w:t>
      </w:r>
      <w:r w:rsidRPr="009F46D4">
        <w:rPr>
          <w:rFonts w:ascii="Times New Roman" w:hAnsi="Times New Roman"/>
          <w:i/>
          <w:sz w:val="24"/>
          <w:szCs w:val="24"/>
          <w:lang w:eastAsia="en-AU"/>
        </w:rPr>
        <w:t>TCL</w:t>
      </w:r>
      <w:r w:rsidRPr="009F46D4">
        <w:rPr>
          <w:rFonts w:ascii="Times New Roman" w:hAnsi="Times New Roman"/>
          <w:sz w:val="24"/>
          <w:szCs w:val="24"/>
          <w:lang w:eastAsia="en-AU"/>
        </w:rPr>
        <w:t xml:space="preserve"> case, </w:t>
      </w:r>
      <w:r w:rsidR="008472C3" w:rsidRPr="009F46D4">
        <w:rPr>
          <w:rFonts w:ascii="Times New Roman" w:hAnsi="Times New Roman"/>
          <w:sz w:val="24"/>
          <w:szCs w:val="24"/>
          <w:lang w:eastAsia="en-AU"/>
        </w:rPr>
        <w:t xml:space="preserve">these comments were made in the context of a challenge to an award </w:t>
      </w:r>
      <w:r w:rsidRPr="009F46D4">
        <w:rPr>
          <w:rFonts w:ascii="Times New Roman" w:hAnsi="Times New Roman"/>
          <w:sz w:val="24"/>
          <w:szCs w:val="24"/>
          <w:lang w:eastAsia="en-AU"/>
        </w:rPr>
        <w:t>based on alleged breaches of the rules of natural justice.  Another example of an invitation being extended to the court to inappropriately interfere with procedural</w:t>
      </w:r>
      <w:r w:rsidR="008472C3" w:rsidRPr="009F46D4">
        <w:rPr>
          <w:rFonts w:ascii="Times New Roman" w:hAnsi="Times New Roman"/>
          <w:sz w:val="24"/>
          <w:szCs w:val="24"/>
          <w:lang w:eastAsia="en-AU"/>
        </w:rPr>
        <w:t xml:space="preserve"> rulings made by an arbitral tribunal</w:t>
      </w:r>
      <w:r w:rsidRPr="009F46D4">
        <w:rPr>
          <w:rFonts w:ascii="Times New Roman" w:hAnsi="Times New Roman"/>
          <w:sz w:val="24"/>
          <w:szCs w:val="24"/>
          <w:lang w:eastAsia="en-AU"/>
        </w:rPr>
        <w:t xml:space="preserve"> came before me last year in the case of </w:t>
      </w:r>
      <w:r w:rsidRPr="009F46D4">
        <w:rPr>
          <w:rFonts w:ascii="Times New Roman" w:hAnsi="Times New Roman"/>
          <w:i/>
          <w:sz w:val="24"/>
          <w:szCs w:val="24"/>
          <w:lang w:eastAsia="en-AU"/>
        </w:rPr>
        <w:t>Cameron Australasia Pty Ltd v AED Oil Ltd</w:t>
      </w:r>
      <w:r w:rsidRPr="009F46D4">
        <w:rPr>
          <w:rFonts w:ascii="Times New Roman" w:hAnsi="Times New Roman"/>
          <w:sz w:val="24"/>
          <w:szCs w:val="24"/>
          <w:lang w:eastAsia="en-AU"/>
        </w:rPr>
        <w:t>.</w:t>
      </w:r>
      <w:r w:rsidRPr="009F46D4">
        <w:rPr>
          <w:rStyle w:val="FootnoteReference"/>
          <w:rFonts w:ascii="Times New Roman" w:hAnsi="Times New Roman"/>
          <w:sz w:val="24"/>
          <w:szCs w:val="24"/>
          <w:lang w:eastAsia="en-AU"/>
        </w:rPr>
        <w:footnoteReference w:id="20"/>
      </w:r>
    </w:p>
    <w:p w14:paraId="361A2D52" w14:textId="253DD3D1" w:rsidR="00BB12ED" w:rsidRPr="009F46D4" w:rsidRDefault="00BB12ED" w:rsidP="00ED77FC">
      <w:pPr>
        <w:spacing w:line="360" w:lineRule="auto"/>
        <w:jc w:val="both"/>
        <w:rPr>
          <w:rFonts w:ascii="Times New Roman" w:hAnsi="Times New Roman"/>
          <w:b/>
          <w:i/>
          <w:sz w:val="24"/>
          <w:szCs w:val="24"/>
          <w:lang w:eastAsia="en-AU"/>
        </w:rPr>
      </w:pPr>
      <w:r w:rsidRPr="009F46D4">
        <w:rPr>
          <w:rFonts w:ascii="Times New Roman" w:hAnsi="Times New Roman"/>
          <w:b/>
          <w:i/>
          <w:sz w:val="24"/>
          <w:szCs w:val="24"/>
          <w:lang w:eastAsia="en-AU"/>
        </w:rPr>
        <w:t>a)</w:t>
      </w:r>
      <w:r w:rsidRPr="009F46D4">
        <w:rPr>
          <w:rFonts w:ascii="Times New Roman" w:hAnsi="Times New Roman"/>
          <w:b/>
          <w:i/>
          <w:sz w:val="24"/>
          <w:szCs w:val="24"/>
          <w:lang w:eastAsia="en-AU"/>
        </w:rPr>
        <w:tab/>
        <w:t>The Cameron Case</w:t>
      </w:r>
    </w:p>
    <w:p w14:paraId="0951E153" w14:textId="6751B794" w:rsidR="00ED77FC" w:rsidRPr="009F46D4" w:rsidRDefault="00ED77FC" w:rsidP="00ED77FC">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lastRenderedPageBreak/>
        <w:t xml:space="preserve">The </w:t>
      </w:r>
      <w:r w:rsidRPr="009F46D4">
        <w:rPr>
          <w:rFonts w:ascii="Times New Roman" w:hAnsi="Times New Roman"/>
          <w:i/>
          <w:sz w:val="24"/>
          <w:szCs w:val="24"/>
          <w:lang w:eastAsia="en-AU"/>
        </w:rPr>
        <w:t>Cameron</w:t>
      </w:r>
      <w:r w:rsidRPr="009F46D4">
        <w:rPr>
          <w:rFonts w:ascii="Times New Roman" w:hAnsi="Times New Roman"/>
          <w:sz w:val="24"/>
          <w:szCs w:val="24"/>
          <w:lang w:eastAsia="en-AU"/>
        </w:rPr>
        <w:t xml:space="preserve"> case involved an application to set aside two procedural rulings—which were rendered in separate partial awards—and the final award of an arbitral tribunal.  The substantive dispute submitted to arbitration concerned a claim in negligence for costs incurred in rectifying a leak at an oil well in the Timor Sea</w:t>
      </w:r>
      <w:r w:rsidR="00434C05" w:rsidRPr="009F46D4">
        <w:rPr>
          <w:rFonts w:ascii="Times New Roman" w:hAnsi="Times New Roman"/>
          <w:sz w:val="24"/>
          <w:szCs w:val="24"/>
          <w:lang w:eastAsia="en-AU"/>
        </w:rPr>
        <w:t>, north-west of Darwin</w:t>
      </w:r>
      <w:r w:rsidRPr="009F46D4">
        <w:rPr>
          <w:rFonts w:ascii="Times New Roman" w:hAnsi="Times New Roman"/>
          <w:sz w:val="24"/>
          <w:szCs w:val="24"/>
          <w:lang w:eastAsia="en-AU"/>
        </w:rPr>
        <w:t>.</w:t>
      </w:r>
    </w:p>
    <w:p w14:paraId="0ED29D61" w14:textId="77777777" w:rsidR="0092536F" w:rsidRPr="009F46D4" w:rsidRDefault="00ED77FC" w:rsidP="00ED77FC">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The first procedural ruling complained of was a decision not to allow the respondent in the arbitration, Cameron, to re-open its case in order to withdraw its voluntary admission that it owed a duty of care in tort to the claimant, AED.  In its pleading in the arbitration, Cameron did not admit the existence of the duty of care pleaded by AED.  However, in preparing its opening written submissions, and in light of a recent decision of the New South Wales Court of Appeal, Cameron decided to admit the existence of the duty.  The admission was made despite the High Court grant</w:t>
      </w:r>
      <w:r w:rsidR="00BA4AF0" w:rsidRPr="009F46D4">
        <w:rPr>
          <w:rFonts w:ascii="Times New Roman" w:hAnsi="Times New Roman"/>
          <w:sz w:val="24"/>
          <w:szCs w:val="24"/>
          <w:lang w:eastAsia="en-AU"/>
        </w:rPr>
        <w:t>ing special leave to appeal the</w:t>
      </w:r>
      <w:r w:rsidRPr="009F46D4">
        <w:rPr>
          <w:rFonts w:ascii="Times New Roman" w:hAnsi="Times New Roman"/>
          <w:sz w:val="24"/>
          <w:szCs w:val="24"/>
          <w:lang w:eastAsia="en-AU"/>
        </w:rPr>
        <w:t xml:space="preserve"> Court of Appeal decision.  The arbitration hearing proceeded on this basis, but before the tribunal rendered its award, the High Court overturned the Court of Appeal decision.  Cameron therefore sought to re-open the arbitration hearing in order to withdraw its admission—based, as it was, on the overturned Court of Appeal decision.  </w:t>
      </w:r>
    </w:p>
    <w:p w14:paraId="6B876BAD" w14:textId="307C1287" w:rsidR="00ED77FC" w:rsidRPr="009F46D4" w:rsidRDefault="00ED77FC" w:rsidP="00ED77FC">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The tribunal refused Cameron’s application.  As a result, Cameron submitted before me that it was unable to present its case before the tribunal.</w:t>
      </w:r>
      <w:r w:rsidRPr="009F46D4">
        <w:rPr>
          <w:rStyle w:val="FootnoteReference"/>
          <w:rFonts w:ascii="Times New Roman" w:hAnsi="Times New Roman"/>
          <w:sz w:val="24"/>
          <w:szCs w:val="24"/>
          <w:lang w:eastAsia="en-AU"/>
        </w:rPr>
        <w:footnoteReference w:id="21"/>
      </w:r>
      <w:r w:rsidRPr="009F46D4">
        <w:rPr>
          <w:rFonts w:ascii="Times New Roman" w:hAnsi="Times New Roman"/>
          <w:sz w:val="24"/>
          <w:szCs w:val="24"/>
          <w:lang w:eastAsia="en-AU"/>
        </w:rPr>
        <w:t xml:space="preserve">  Cameron argued that although the tribunal articulated the correct test with respect to an application to re-open</w:t>
      </w:r>
      <w:r w:rsidR="0092536F" w:rsidRPr="009F46D4">
        <w:rPr>
          <w:rFonts w:ascii="Times New Roman" w:hAnsi="Times New Roman"/>
          <w:sz w:val="24"/>
          <w:szCs w:val="24"/>
          <w:lang w:eastAsia="en-AU"/>
        </w:rPr>
        <w:t xml:space="preserve"> a hearing</w:t>
      </w:r>
      <w:r w:rsidRPr="009F46D4">
        <w:rPr>
          <w:rFonts w:ascii="Times New Roman" w:hAnsi="Times New Roman"/>
          <w:sz w:val="24"/>
          <w:szCs w:val="24"/>
          <w:lang w:eastAsia="en-AU"/>
        </w:rPr>
        <w:t xml:space="preserve">, it did not apply that test.  </w:t>
      </w:r>
      <w:r w:rsidR="00B23326" w:rsidRPr="009F46D4">
        <w:rPr>
          <w:rFonts w:ascii="Times New Roman" w:hAnsi="Times New Roman"/>
          <w:sz w:val="24"/>
          <w:szCs w:val="24"/>
          <w:lang w:eastAsia="en-AU"/>
        </w:rPr>
        <w:t xml:space="preserve">This lead </w:t>
      </w:r>
      <w:r w:rsidRPr="009F46D4">
        <w:rPr>
          <w:rFonts w:ascii="Times New Roman" w:hAnsi="Times New Roman"/>
          <w:sz w:val="24"/>
          <w:szCs w:val="24"/>
          <w:lang w:eastAsia="en-AU"/>
        </w:rPr>
        <w:t>Cameron</w:t>
      </w:r>
      <w:r w:rsidR="00B23326" w:rsidRPr="009F46D4">
        <w:rPr>
          <w:rFonts w:ascii="Times New Roman" w:hAnsi="Times New Roman"/>
          <w:sz w:val="24"/>
          <w:szCs w:val="24"/>
          <w:lang w:eastAsia="en-AU"/>
        </w:rPr>
        <w:t xml:space="preserve"> to</w:t>
      </w:r>
      <w:r w:rsidRPr="009F46D4">
        <w:rPr>
          <w:rFonts w:ascii="Times New Roman" w:hAnsi="Times New Roman"/>
          <w:sz w:val="24"/>
          <w:szCs w:val="24"/>
          <w:lang w:eastAsia="en-AU"/>
        </w:rPr>
        <w:t xml:space="preserve"> </w:t>
      </w:r>
      <w:r w:rsidR="00B23326" w:rsidRPr="009F46D4">
        <w:rPr>
          <w:rFonts w:ascii="Times New Roman" w:hAnsi="Times New Roman"/>
          <w:sz w:val="24"/>
          <w:szCs w:val="24"/>
          <w:lang w:eastAsia="en-AU"/>
        </w:rPr>
        <w:t>argue</w:t>
      </w:r>
      <w:r w:rsidRPr="009F46D4">
        <w:rPr>
          <w:rFonts w:ascii="Times New Roman" w:hAnsi="Times New Roman"/>
          <w:sz w:val="24"/>
          <w:szCs w:val="24"/>
          <w:lang w:eastAsia="en-AU"/>
        </w:rPr>
        <w:t xml:space="preserve"> that the “serious legal errors” of the tribunal in refusing the application to re-open “comprised an affront to the basic fairness of the arbitral process”</w:t>
      </w:r>
      <w:r w:rsidR="00202C44" w:rsidRPr="009F46D4">
        <w:rPr>
          <w:rFonts w:ascii="Times New Roman" w:hAnsi="Times New Roman"/>
          <w:sz w:val="24"/>
          <w:szCs w:val="24"/>
          <w:lang w:eastAsia="en-AU"/>
        </w:rPr>
        <w:t>—and that therefore enforcement ought to be refused and the award set aside</w:t>
      </w:r>
      <w:r w:rsidRPr="009F46D4">
        <w:rPr>
          <w:rFonts w:ascii="Times New Roman" w:hAnsi="Times New Roman"/>
          <w:sz w:val="24"/>
          <w:szCs w:val="24"/>
          <w:lang w:eastAsia="en-AU"/>
        </w:rPr>
        <w:t>.</w:t>
      </w:r>
      <w:r w:rsidRPr="009F46D4">
        <w:rPr>
          <w:rStyle w:val="FootnoteReference"/>
          <w:rFonts w:ascii="Times New Roman" w:hAnsi="Times New Roman"/>
          <w:sz w:val="24"/>
          <w:szCs w:val="24"/>
          <w:lang w:eastAsia="en-AU"/>
        </w:rPr>
        <w:footnoteReference w:id="22"/>
      </w:r>
    </w:p>
    <w:p w14:paraId="17199009" w14:textId="24A789B1" w:rsidR="00ED77FC" w:rsidRPr="009F46D4" w:rsidRDefault="00ED77FC" w:rsidP="00ED77FC">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The second procedural ruling complained of was a decision not to allow Cameron to rely on an expert report in circumstances where Cameron chose not to call the expert as a witness in the arbitration.  Cameron argued that the arbitral procedure was therefore not in accordance with the parties’ agreement—namely, that the tribunal would not be bound by the rules of evidence.</w:t>
      </w:r>
      <w:r w:rsidRPr="009F46D4">
        <w:rPr>
          <w:rStyle w:val="FootnoteReference"/>
          <w:rFonts w:ascii="Times New Roman" w:hAnsi="Times New Roman"/>
          <w:sz w:val="24"/>
          <w:szCs w:val="24"/>
          <w:lang w:eastAsia="en-AU"/>
        </w:rPr>
        <w:footnoteReference w:id="23"/>
      </w:r>
      <w:r w:rsidRPr="009F46D4">
        <w:rPr>
          <w:rFonts w:ascii="Times New Roman" w:hAnsi="Times New Roman"/>
          <w:sz w:val="24"/>
          <w:szCs w:val="24"/>
          <w:lang w:eastAsia="en-AU"/>
        </w:rPr>
        <w:t xml:space="preserve">  Cameron sought to rely on a particular provision of the </w:t>
      </w:r>
      <w:r w:rsidR="00B23326" w:rsidRPr="009F46D4">
        <w:rPr>
          <w:rFonts w:ascii="Times New Roman" w:hAnsi="Times New Roman"/>
          <w:sz w:val="24"/>
          <w:szCs w:val="24"/>
          <w:lang w:eastAsia="en-AU"/>
        </w:rPr>
        <w:t>Supreme Court Rules</w:t>
      </w:r>
      <w:r w:rsidRPr="009F46D4">
        <w:rPr>
          <w:rFonts w:ascii="Times New Roman" w:hAnsi="Times New Roman"/>
          <w:sz w:val="24"/>
          <w:szCs w:val="24"/>
          <w:lang w:eastAsia="en-AU"/>
        </w:rPr>
        <w:t xml:space="preserve"> which provides that</w:t>
      </w:r>
      <w:r w:rsidR="00B23326" w:rsidRPr="009F46D4">
        <w:rPr>
          <w:rFonts w:ascii="Times New Roman" w:hAnsi="Times New Roman"/>
          <w:sz w:val="24"/>
          <w:szCs w:val="24"/>
          <w:lang w:eastAsia="en-AU"/>
        </w:rPr>
        <w:t xml:space="preserve"> a</w:t>
      </w:r>
      <w:r w:rsidRPr="009F46D4">
        <w:rPr>
          <w:rFonts w:ascii="Times New Roman" w:hAnsi="Times New Roman"/>
          <w:sz w:val="24"/>
          <w:szCs w:val="24"/>
          <w:lang w:eastAsia="en-AU"/>
        </w:rPr>
        <w:t xml:space="preserve"> party may put in evidence a report served on that party without calling the expert.</w:t>
      </w:r>
      <w:r w:rsidRPr="009F46D4">
        <w:rPr>
          <w:rStyle w:val="FootnoteReference"/>
          <w:rFonts w:ascii="Times New Roman" w:hAnsi="Times New Roman"/>
          <w:sz w:val="24"/>
          <w:szCs w:val="24"/>
          <w:lang w:eastAsia="en-AU"/>
        </w:rPr>
        <w:footnoteReference w:id="24"/>
      </w:r>
      <w:r w:rsidRPr="009F46D4">
        <w:rPr>
          <w:rFonts w:ascii="Times New Roman" w:hAnsi="Times New Roman"/>
          <w:sz w:val="24"/>
          <w:szCs w:val="24"/>
          <w:lang w:eastAsia="en-AU"/>
        </w:rPr>
        <w:t xml:space="preserve">  Given that the governing law of the arbitration was that of Victoria, Cameron </w:t>
      </w:r>
      <w:r w:rsidRPr="009F46D4">
        <w:rPr>
          <w:rFonts w:ascii="Times New Roman" w:hAnsi="Times New Roman"/>
          <w:sz w:val="24"/>
          <w:szCs w:val="24"/>
          <w:lang w:eastAsia="en-AU"/>
        </w:rPr>
        <w:lastRenderedPageBreak/>
        <w:t xml:space="preserve">argued that the tribunal was not permitted to refuse to admit evidence that was admissible under the rules of evidence.  </w:t>
      </w:r>
    </w:p>
    <w:p w14:paraId="460BE81A" w14:textId="1DBF0CDA" w:rsidR="00ED77FC" w:rsidRPr="009F46D4" w:rsidRDefault="00ED77FC" w:rsidP="00ED77FC">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I rejected both grounds for setting the awards aside and found that Cameron was, in effect, attempting to pursue a merits appeal in the form of an appeal on questions of law.  Indeed, the nature of Cameron’s arguments revealed that the purported grounds were simply appeals from determinations of the tribunal</w:t>
      </w:r>
      <w:r w:rsidR="00B23326" w:rsidRPr="009F46D4">
        <w:rPr>
          <w:rFonts w:ascii="Times New Roman" w:hAnsi="Times New Roman"/>
          <w:sz w:val="24"/>
          <w:szCs w:val="24"/>
          <w:lang w:eastAsia="en-AU"/>
        </w:rPr>
        <w:t xml:space="preserve"> which were</w:t>
      </w:r>
      <w:r w:rsidRPr="009F46D4">
        <w:rPr>
          <w:rFonts w:ascii="Times New Roman" w:hAnsi="Times New Roman"/>
          <w:sz w:val="24"/>
          <w:szCs w:val="24"/>
          <w:lang w:eastAsia="en-AU"/>
        </w:rPr>
        <w:t xml:space="preserve">—to borrow the phrase used by the Full Court in </w:t>
      </w:r>
      <w:r w:rsidRPr="009F46D4">
        <w:rPr>
          <w:rFonts w:ascii="Times New Roman" w:hAnsi="Times New Roman"/>
          <w:i/>
          <w:sz w:val="24"/>
          <w:szCs w:val="24"/>
          <w:lang w:eastAsia="en-AU"/>
        </w:rPr>
        <w:t>TCL</w:t>
      </w:r>
      <w:r w:rsidR="00B23326" w:rsidRPr="009F46D4">
        <w:rPr>
          <w:rFonts w:ascii="Times New Roman" w:hAnsi="Times New Roman"/>
          <w:sz w:val="24"/>
          <w:szCs w:val="24"/>
          <w:lang w:eastAsia="en-AU"/>
        </w:rPr>
        <w:t xml:space="preserve">—“dressed up” </w:t>
      </w:r>
      <w:r w:rsidRPr="009F46D4">
        <w:rPr>
          <w:rFonts w:ascii="Times New Roman" w:hAnsi="Times New Roman"/>
          <w:sz w:val="24"/>
          <w:szCs w:val="24"/>
          <w:lang w:eastAsia="en-AU"/>
        </w:rPr>
        <w:t xml:space="preserve">as either complaints about the fairness of the arbitral process or as breaches of the agreed arbitral procedure.  As in the </w:t>
      </w:r>
      <w:r w:rsidRPr="009F46D4">
        <w:rPr>
          <w:rFonts w:ascii="Times New Roman" w:hAnsi="Times New Roman"/>
          <w:i/>
          <w:sz w:val="24"/>
          <w:szCs w:val="24"/>
          <w:lang w:eastAsia="en-AU"/>
        </w:rPr>
        <w:t xml:space="preserve">TCL </w:t>
      </w:r>
      <w:r w:rsidRPr="009F46D4">
        <w:rPr>
          <w:rFonts w:ascii="Times New Roman" w:hAnsi="Times New Roman"/>
          <w:sz w:val="24"/>
          <w:szCs w:val="24"/>
          <w:lang w:eastAsia="en-AU"/>
        </w:rPr>
        <w:t xml:space="preserve">case, a </w:t>
      </w:r>
      <w:proofErr w:type="spellStart"/>
      <w:r w:rsidRPr="009F46D4">
        <w:rPr>
          <w:rFonts w:ascii="Times New Roman" w:hAnsi="Times New Roman"/>
          <w:sz w:val="24"/>
          <w:szCs w:val="24"/>
          <w:lang w:eastAsia="en-AU"/>
        </w:rPr>
        <w:t>telltale</w:t>
      </w:r>
      <w:proofErr w:type="spellEnd"/>
      <w:r w:rsidRPr="009F46D4">
        <w:rPr>
          <w:rFonts w:ascii="Times New Roman" w:hAnsi="Times New Roman"/>
          <w:sz w:val="24"/>
          <w:szCs w:val="24"/>
          <w:lang w:eastAsia="en-AU"/>
        </w:rPr>
        <w:t xml:space="preserve"> sign of this was the fact that Cameron sought to re-argue why it should have been permitted to rely on the expert report in the arbitration.  To have succumbed to</w:t>
      </w:r>
      <w:r w:rsidR="00B23326" w:rsidRPr="009F46D4">
        <w:rPr>
          <w:rFonts w:ascii="Times New Roman" w:hAnsi="Times New Roman"/>
          <w:sz w:val="24"/>
          <w:szCs w:val="24"/>
          <w:lang w:eastAsia="en-AU"/>
        </w:rPr>
        <w:t xml:space="preserve"> the</w:t>
      </w:r>
      <w:r w:rsidRPr="009F46D4">
        <w:rPr>
          <w:rFonts w:ascii="Times New Roman" w:hAnsi="Times New Roman"/>
          <w:sz w:val="24"/>
          <w:szCs w:val="24"/>
          <w:lang w:eastAsia="en-AU"/>
        </w:rPr>
        <w:t xml:space="preserve"> temptation</w:t>
      </w:r>
      <w:r w:rsidR="00B23326" w:rsidRPr="009F46D4">
        <w:rPr>
          <w:rFonts w:ascii="Times New Roman" w:hAnsi="Times New Roman"/>
          <w:sz w:val="24"/>
          <w:szCs w:val="24"/>
          <w:lang w:eastAsia="en-AU"/>
        </w:rPr>
        <w:t xml:space="preserve"> of domesticity</w:t>
      </w:r>
      <w:r w:rsidRPr="009F46D4">
        <w:rPr>
          <w:rFonts w:ascii="Times New Roman" w:hAnsi="Times New Roman"/>
          <w:sz w:val="24"/>
          <w:szCs w:val="24"/>
          <w:lang w:eastAsia="en-AU"/>
        </w:rPr>
        <w:t xml:space="preserve"> in this </w:t>
      </w:r>
      <w:r w:rsidR="00B23326" w:rsidRPr="009F46D4">
        <w:rPr>
          <w:rFonts w:ascii="Times New Roman" w:hAnsi="Times New Roman"/>
          <w:sz w:val="24"/>
          <w:szCs w:val="24"/>
          <w:lang w:eastAsia="en-AU"/>
        </w:rPr>
        <w:t xml:space="preserve">context </w:t>
      </w:r>
      <w:r w:rsidRPr="009F46D4">
        <w:rPr>
          <w:rFonts w:ascii="Times New Roman" w:hAnsi="Times New Roman"/>
          <w:sz w:val="24"/>
          <w:szCs w:val="24"/>
          <w:lang w:eastAsia="en-AU"/>
        </w:rPr>
        <w:t>would have meant considering these arguments on their merits, despite the tribunal having exercised its powers in a “considered and reasoned manner, in circumstances where there was no suggestion that the parties did not have a full or reasonable opportunity” to put those arguments to the tribunal.</w:t>
      </w:r>
      <w:r w:rsidRPr="009F46D4">
        <w:rPr>
          <w:rStyle w:val="FootnoteReference"/>
          <w:rFonts w:ascii="Times New Roman" w:hAnsi="Times New Roman"/>
          <w:sz w:val="24"/>
          <w:szCs w:val="24"/>
          <w:lang w:eastAsia="en-AU"/>
        </w:rPr>
        <w:footnoteReference w:id="25"/>
      </w:r>
      <w:r w:rsidRPr="009F46D4">
        <w:rPr>
          <w:rFonts w:ascii="Times New Roman" w:hAnsi="Times New Roman"/>
          <w:sz w:val="24"/>
          <w:szCs w:val="24"/>
          <w:lang w:eastAsia="en-AU"/>
        </w:rPr>
        <w:t xml:space="preserve"> </w:t>
      </w:r>
    </w:p>
    <w:p w14:paraId="65AD386E" w14:textId="41D2F4AB" w:rsidR="00ED77FC" w:rsidRPr="009F46D4" w:rsidRDefault="00ED77FC" w:rsidP="00ED77FC">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At this point, I might add that invitations to intervene in the factual or legal merits of an arbitral award are not the only ways in which a court might be tempted by the comfort of domesticity.  Indeed, temptation may present itself in circumstances where an award is yet to be rendered, or even where there is no arbitration on foot.  Examples to which I will return later include applications seeking a stay of court proceedings and referral to arbitration, and applications for the issue of subpoenas to attend before or produce documents to an arbitral tribunal.  Before exploring these examples </w:t>
      </w:r>
      <w:r w:rsidR="004D6235" w:rsidRPr="009F46D4">
        <w:rPr>
          <w:rFonts w:ascii="Times New Roman" w:hAnsi="Times New Roman"/>
          <w:sz w:val="24"/>
          <w:szCs w:val="24"/>
          <w:lang w:eastAsia="en-AU"/>
        </w:rPr>
        <w:t>though</w:t>
      </w:r>
      <w:r w:rsidRPr="009F46D4">
        <w:rPr>
          <w:rFonts w:ascii="Times New Roman" w:hAnsi="Times New Roman"/>
          <w:sz w:val="24"/>
          <w:szCs w:val="24"/>
          <w:lang w:eastAsia="en-AU"/>
        </w:rPr>
        <w:t>, I wish to turn to another enforcement application heard in the Arbitration List this time last year—</w:t>
      </w:r>
      <w:r w:rsidR="00E146EB" w:rsidRPr="009F46D4">
        <w:rPr>
          <w:rFonts w:ascii="Times New Roman" w:hAnsi="Times New Roman"/>
          <w:sz w:val="24"/>
          <w:szCs w:val="24"/>
          <w:lang w:eastAsia="en-AU"/>
        </w:rPr>
        <w:t xml:space="preserve">the </w:t>
      </w:r>
      <w:proofErr w:type="spellStart"/>
      <w:r w:rsidR="00E146EB" w:rsidRPr="009F46D4">
        <w:rPr>
          <w:rFonts w:ascii="Times New Roman" w:hAnsi="Times New Roman"/>
          <w:i/>
          <w:sz w:val="24"/>
          <w:szCs w:val="24"/>
          <w:lang w:eastAsia="en-AU"/>
        </w:rPr>
        <w:t>Sauber</w:t>
      </w:r>
      <w:proofErr w:type="spellEnd"/>
      <w:r w:rsidR="00E146EB" w:rsidRPr="009F46D4">
        <w:rPr>
          <w:rFonts w:ascii="Times New Roman" w:hAnsi="Times New Roman"/>
          <w:i/>
          <w:sz w:val="24"/>
          <w:szCs w:val="24"/>
          <w:lang w:eastAsia="en-AU"/>
        </w:rPr>
        <w:t xml:space="preserve"> </w:t>
      </w:r>
      <w:r w:rsidR="00E146EB" w:rsidRPr="009F46D4">
        <w:rPr>
          <w:rFonts w:ascii="Times New Roman" w:hAnsi="Times New Roman"/>
          <w:sz w:val="24"/>
          <w:szCs w:val="24"/>
          <w:lang w:eastAsia="en-AU"/>
        </w:rPr>
        <w:t>case</w:t>
      </w:r>
      <w:r w:rsidRPr="009F46D4">
        <w:rPr>
          <w:rFonts w:ascii="Times New Roman" w:hAnsi="Times New Roman"/>
          <w:sz w:val="24"/>
          <w:szCs w:val="24"/>
          <w:lang w:eastAsia="en-AU"/>
        </w:rPr>
        <w:t>.</w:t>
      </w:r>
      <w:r w:rsidRPr="009F46D4">
        <w:rPr>
          <w:rStyle w:val="FootnoteReference"/>
          <w:rFonts w:ascii="Times New Roman" w:hAnsi="Times New Roman"/>
          <w:sz w:val="24"/>
          <w:szCs w:val="24"/>
          <w:lang w:eastAsia="en-AU"/>
        </w:rPr>
        <w:footnoteReference w:id="26"/>
      </w:r>
    </w:p>
    <w:p w14:paraId="39A0C796" w14:textId="77777777" w:rsidR="00C87D1F" w:rsidRPr="009F46D4" w:rsidRDefault="00C87D1F" w:rsidP="00C87D1F">
      <w:pPr>
        <w:spacing w:line="360" w:lineRule="auto"/>
        <w:jc w:val="both"/>
        <w:rPr>
          <w:rFonts w:ascii="Times New Roman" w:hAnsi="Times New Roman"/>
          <w:sz w:val="24"/>
          <w:szCs w:val="24"/>
          <w:lang w:eastAsia="en-AU"/>
        </w:rPr>
      </w:pPr>
      <w:r w:rsidRPr="009F46D4">
        <w:rPr>
          <w:rFonts w:ascii="Times New Roman" w:hAnsi="Times New Roman"/>
          <w:b/>
          <w:i/>
          <w:sz w:val="24"/>
          <w:szCs w:val="24"/>
          <w:lang w:eastAsia="en-AU"/>
        </w:rPr>
        <w:t>b)</w:t>
      </w:r>
      <w:r w:rsidRPr="009F46D4">
        <w:rPr>
          <w:rFonts w:ascii="Times New Roman" w:hAnsi="Times New Roman"/>
          <w:i/>
          <w:sz w:val="24"/>
          <w:szCs w:val="24"/>
          <w:lang w:eastAsia="en-AU"/>
        </w:rPr>
        <w:tab/>
      </w:r>
      <w:r w:rsidRPr="009F46D4">
        <w:rPr>
          <w:rFonts w:ascii="Times New Roman" w:hAnsi="Times New Roman"/>
          <w:b/>
          <w:i/>
          <w:sz w:val="24"/>
          <w:szCs w:val="24"/>
          <w:lang w:eastAsia="en-AU"/>
        </w:rPr>
        <w:t xml:space="preserve">The </w:t>
      </w:r>
      <w:proofErr w:type="spellStart"/>
      <w:r w:rsidRPr="009F46D4">
        <w:rPr>
          <w:rFonts w:ascii="Times New Roman" w:hAnsi="Times New Roman"/>
          <w:b/>
          <w:i/>
          <w:sz w:val="24"/>
          <w:szCs w:val="24"/>
          <w:lang w:eastAsia="en-AU"/>
        </w:rPr>
        <w:t>Sauber</w:t>
      </w:r>
      <w:proofErr w:type="spellEnd"/>
      <w:r w:rsidRPr="009F46D4">
        <w:rPr>
          <w:rFonts w:ascii="Times New Roman" w:hAnsi="Times New Roman"/>
          <w:b/>
          <w:i/>
          <w:sz w:val="24"/>
          <w:szCs w:val="24"/>
          <w:lang w:eastAsia="en-AU"/>
        </w:rPr>
        <w:t xml:space="preserve"> Case</w:t>
      </w:r>
    </w:p>
    <w:p w14:paraId="681595AA" w14:textId="0BD73A54" w:rsidR="00C87D1F" w:rsidRPr="009F46D4" w:rsidRDefault="00C87D1F" w:rsidP="00C87D1F">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As some of you may have seen, the </w:t>
      </w:r>
      <w:proofErr w:type="spellStart"/>
      <w:r w:rsidRPr="009F46D4">
        <w:rPr>
          <w:rFonts w:ascii="Times New Roman" w:hAnsi="Times New Roman"/>
          <w:i/>
          <w:sz w:val="24"/>
          <w:szCs w:val="24"/>
          <w:lang w:eastAsia="en-AU"/>
        </w:rPr>
        <w:t>Sauber</w:t>
      </w:r>
      <w:proofErr w:type="spellEnd"/>
      <w:r w:rsidRPr="009F46D4">
        <w:rPr>
          <w:rFonts w:ascii="Times New Roman" w:hAnsi="Times New Roman"/>
          <w:i/>
          <w:sz w:val="24"/>
          <w:szCs w:val="24"/>
          <w:lang w:eastAsia="en-AU"/>
        </w:rPr>
        <w:t xml:space="preserve"> </w:t>
      </w:r>
      <w:r w:rsidRPr="009F46D4">
        <w:rPr>
          <w:rFonts w:ascii="Times New Roman" w:hAnsi="Times New Roman"/>
          <w:sz w:val="24"/>
          <w:szCs w:val="24"/>
          <w:lang w:eastAsia="en-AU"/>
        </w:rPr>
        <w:t xml:space="preserve">case concerned a Dutch Formula 1 race car driver seeking to be reinstated as a driver for the </w:t>
      </w:r>
      <w:proofErr w:type="spellStart"/>
      <w:r w:rsidRPr="009F46D4">
        <w:rPr>
          <w:rFonts w:ascii="Times New Roman" w:hAnsi="Times New Roman"/>
          <w:sz w:val="24"/>
          <w:szCs w:val="24"/>
          <w:lang w:eastAsia="en-AU"/>
        </w:rPr>
        <w:t>Sauber</w:t>
      </w:r>
      <w:proofErr w:type="spellEnd"/>
      <w:r w:rsidRPr="009F46D4">
        <w:rPr>
          <w:rFonts w:ascii="Times New Roman" w:hAnsi="Times New Roman"/>
          <w:sz w:val="24"/>
          <w:szCs w:val="24"/>
          <w:lang w:eastAsia="en-AU"/>
        </w:rPr>
        <w:t xml:space="preserve"> F1 Team.  </w:t>
      </w:r>
      <w:r w:rsidRPr="009F46D4">
        <w:rPr>
          <w:rFonts w:ascii="Times New Roman" w:hAnsi="Times New Roman"/>
          <w:sz w:val="24"/>
          <w:szCs w:val="24"/>
        </w:rPr>
        <w:t xml:space="preserve">The applicant driver, Mr van der </w:t>
      </w:r>
      <w:proofErr w:type="spellStart"/>
      <w:r w:rsidRPr="009F46D4">
        <w:rPr>
          <w:rFonts w:ascii="Times New Roman" w:hAnsi="Times New Roman"/>
          <w:sz w:val="24"/>
          <w:szCs w:val="24"/>
        </w:rPr>
        <w:t>Garde</w:t>
      </w:r>
      <w:proofErr w:type="spellEnd"/>
      <w:r w:rsidRPr="009F46D4">
        <w:rPr>
          <w:rFonts w:ascii="Times New Roman" w:hAnsi="Times New Roman"/>
          <w:sz w:val="24"/>
          <w:szCs w:val="24"/>
        </w:rPr>
        <w:t>, and the company set up to manage his interests sought enforcement in Victoria</w:t>
      </w:r>
      <w:r w:rsidR="002C666D" w:rsidRPr="009F46D4">
        <w:rPr>
          <w:rFonts w:ascii="Times New Roman" w:hAnsi="Times New Roman"/>
          <w:sz w:val="24"/>
          <w:szCs w:val="24"/>
        </w:rPr>
        <w:t xml:space="preserve"> of a Swiss arbitral award.</w:t>
      </w:r>
      <w:r w:rsidRPr="009F46D4">
        <w:rPr>
          <w:rFonts w:ascii="Times New Roman" w:hAnsi="Times New Roman"/>
          <w:sz w:val="24"/>
          <w:szCs w:val="24"/>
        </w:rPr>
        <w:t xml:space="preserve"> </w:t>
      </w:r>
      <w:r w:rsidR="002C666D" w:rsidRPr="009F46D4">
        <w:rPr>
          <w:rFonts w:ascii="Times New Roman" w:hAnsi="Times New Roman"/>
          <w:sz w:val="24"/>
          <w:szCs w:val="24"/>
        </w:rPr>
        <w:t xml:space="preserve"> T</w:t>
      </w:r>
      <w:r w:rsidRPr="009F46D4">
        <w:rPr>
          <w:rFonts w:ascii="Times New Roman" w:hAnsi="Times New Roman"/>
          <w:sz w:val="24"/>
          <w:szCs w:val="24"/>
        </w:rPr>
        <w:t>he critical dispositive provision of</w:t>
      </w:r>
      <w:r w:rsidR="002C666D" w:rsidRPr="009F46D4">
        <w:rPr>
          <w:rFonts w:ascii="Times New Roman" w:hAnsi="Times New Roman"/>
          <w:sz w:val="24"/>
          <w:szCs w:val="24"/>
        </w:rPr>
        <w:t xml:space="preserve"> the award</w:t>
      </w:r>
      <w:r w:rsidRPr="009F46D4">
        <w:rPr>
          <w:rFonts w:ascii="Times New Roman" w:hAnsi="Times New Roman"/>
          <w:sz w:val="24"/>
          <w:szCs w:val="24"/>
        </w:rPr>
        <w:t xml:space="preserve"> required </w:t>
      </w:r>
      <w:proofErr w:type="spellStart"/>
      <w:r w:rsidRPr="009F46D4">
        <w:rPr>
          <w:rFonts w:ascii="Times New Roman" w:hAnsi="Times New Roman"/>
          <w:sz w:val="24"/>
          <w:szCs w:val="24"/>
        </w:rPr>
        <w:t>Sauber</w:t>
      </w:r>
      <w:proofErr w:type="spellEnd"/>
      <w:r w:rsidRPr="009F46D4">
        <w:rPr>
          <w:rFonts w:ascii="Times New Roman" w:hAnsi="Times New Roman"/>
          <w:sz w:val="24"/>
          <w:szCs w:val="24"/>
        </w:rPr>
        <w:t xml:space="preserve"> to—</w:t>
      </w:r>
    </w:p>
    <w:p w14:paraId="1F1B823C" w14:textId="77777777" w:rsidR="00C87D1F" w:rsidRPr="009F46D4" w:rsidRDefault="00C87D1F" w:rsidP="00C87D1F">
      <w:pPr>
        <w:pStyle w:val="Quote1"/>
        <w:ind w:left="720"/>
        <w:rPr>
          <w:rFonts w:ascii="Times New Roman" w:hAnsi="Times New Roman"/>
          <w:sz w:val="24"/>
          <w:szCs w:val="24"/>
        </w:rPr>
      </w:pPr>
      <w:r w:rsidRPr="009F46D4">
        <w:rPr>
          <w:rFonts w:ascii="Times New Roman" w:hAnsi="Times New Roman"/>
          <w:sz w:val="24"/>
          <w:szCs w:val="24"/>
        </w:rPr>
        <w:t xml:space="preserve">refrain from taking any action the effect of which would be to deprive Mr van der </w:t>
      </w:r>
      <w:proofErr w:type="spellStart"/>
      <w:r w:rsidRPr="009F46D4">
        <w:rPr>
          <w:rFonts w:ascii="Times New Roman" w:hAnsi="Times New Roman"/>
          <w:sz w:val="24"/>
          <w:szCs w:val="24"/>
        </w:rPr>
        <w:t>Garde</w:t>
      </w:r>
      <w:proofErr w:type="spellEnd"/>
      <w:r w:rsidRPr="009F46D4">
        <w:rPr>
          <w:rFonts w:ascii="Times New Roman" w:hAnsi="Times New Roman"/>
          <w:sz w:val="24"/>
          <w:szCs w:val="24"/>
        </w:rPr>
        <w:t xml:space="preserve"> of his entitlement to participate in the 2015 Formula One Season as </w:t>
      </w:r>
      <w:r w:rsidRPr="009F46D4">
        <w:rPr>
          <w:rFonts w:ascii="Times New Roman" w:hAnsi="Times New Roman"/>
          <w:sz w:val="24"/>
          <w:szCs w:val="24"/>
        </w:rPr>
        <w:lastRenderedPageBreak/>
        <w:t xml:space="preserve">one of </w:t>
      </w:r>
      <w:proofErr w:type="spellStart"/>
      <w:r w:rsidRPr="009F46D4">
        <w:rPr>
          <w:rFonts w:ascii="Times New Roman" w:hAnsi="Times New Roman"/>
          <w:sz w:val="24"/>
          <w:szCs w:val="24"/>
        </w:rPr>
        <w:t>Sauber’s</w:t>
      </w:r>
      <w:proofErr w:type="spellEnd"/>
      <w:r w:rsidRPr="009F46D4">
        <w:rPr>
          <w:rFonts w:ascii="Times New Roman" w:hAnsi="Times New Roman"/>
          <w:sz w:val="24"/>
          <w:szCs w:val="24"/>
        </w:rPr>
        <w:t xml:space="preserve"> two nominated race drivers.</w:t>
      </w:r>
    </w:p>
    <w:p w14:paraId="666F2DBD" w14:textId="405BB66F" w:rsidR="00B549A8" w:rsidRPr="009F46D4" w:rsidRDefault="00C87D1F" w:rsidP="00B549A8">
      <w:pPr>
        <w:spacing w:line="360" w:lineRule="auto"/>
        <w:jc w:val="both"/>
        <w:rPr>
          <w:rFonts w:ascii="Times New Roman" w:hAnsi="Times New Roman"/>
          <w:sz w:val="24"/>
          <w:szCs w:val="24"/>
        </w:rPr>
      </w:pPr>
      <w:r w:rsidRPr="009F46D4">
        <w:rPr>
          <w:rFonts w:ascii="Times New Roman" w:hAnsi="Times New Roman"/>
          <w:sz w:val="24"/>
          <w:szCs w:val="24"/>
        </w:rPr>
        <w:t xml:space="preserve">Two days after the rendering of the award, van der </w:t>
      </w:r>
      <w:proofErr w:type="spellStart"/>
      <w:r w:rsidRPr="009F46D4">
        <w:rPr>
          <w:rFonts w:ascii="Times New Roman" w:hAnsi="Times New Roman"/>
          <w:sz w:val="24"/>
          <w:szCs w:val="24"/>
        </w:rPr>
        <w:t>Garde’s</w:t>
      </w:r>
      <w:proofErr w:type="spellEnd"/>
      <w:r w:rsidRPr="009F46D4">
        <w:rPr>
          <w:rFonts w:ascii="Times New Roman" w:hAnsi="Times New Roman"/>
          <w:sz w:val="24"/>
          <w:szCs w:val="24"/>
        </w:rPr>
        <w:t xml:space="preserve"> Australian representatives contacted my Associates in accordance with the </w:t>
      </w:r>
      <w:r w:rsidRPr="009F46D4">
        <w:rPr>
          <w:rFonts w:ascii="Times New Roman" w:hAnsi="Times New Roman"/>
          <w:i/>
          <w:sz w:val="24"/>
          <w:szCs w:val="24"/>
        </w:rPr>
        <w:t>Arbitration Practice Note</w:t>
      </w:r>
      <w:r w:rsidRPr="009F46D4">
        <w:rPr>
          <w:rFonts w:ascii="Times New Roman" w:hAnsi="Times New Roman"/>
          <w:sz w:val="24"/>
          <w:szCs w:val="24"/>
        </w:rPr>
        <w:t xml:space="preserve">.  </w:t>
      </w:r>
      <w:r w:rsidR="00B549A8" w:rsidRPr="009F46D4">
        <w:rPr>
          <w:rFonts w:ascii="Times New Roman" w:hAnsi="Times New Roman"/>
          <w:sz w:val="24"/>
          <w:szCs w:val="24"/>
        </w:rPr>
        <w:t xml:space="preserve">The matter was listed for the hearing of an urgent </w:t>
      </w:r>
      <w:r w:rsidR="00B549A8" w:rsidRPr="009F46D4">
        <w:rPr>
          <w:rFonts w:ascii="Times New Roman" w:hAnsi="Times New Roman"/>
          <w:i/>
          <w:sz w:val="24"/>
          <w:szCs w:val="24"/>
        </w:rPr>
        <w:t>ex parte</w:t>
      </w:r>
      <w:r w:rsidR="00B549A8" w:rsidRPr="009F46D4">
        <w:rPr>
          <w:rFonts w:ascii="Times New Roman" w:hAnsi="Times New Roman"/>
          <w:sz w:val="24"/>
          <w:szCs w:val="24"/>
        </w:rPr>
        <w:t xml:space="preserve"> application the following day (a Thursday), at which van der </w:t>
      </w:r>
      <w:proofErr w:type="spellStart"/>
      <w:r w:rsidR="00B549A8" w:rsidRPr="009F46D4">
        <w:rPr>
          <w:rFonts w:ascii="Times New Roman" w:hAnsi="Times New Roman"/>
          <w:sz w:val="24"/>
          <w:szCs w:val="24"/>
        </w:rPr>
        <w:t>Garde</w:t>
      </w:r>
      <w:proofErr w:type="spellEnd"/>
      <w:r w:rsidR="00B549A8" w:rsidRPr="009F46D4">
        <w:rPr>
          <w:rFonts w:ascii="Times New Roman" w:hAnsi="Times New Roman"/>
          <w:sz w:val="24"/>
          <w:szCs w:val="24"/>
        </w:rPr>
        <w:t xml:space="preserve"> sought orders permitting substituted service of the Originating Application on </w:t>
      </w:r>
      <w:proofErr w:type="spellStart"/>
      <w:r w:rsidR="00B549A8" w:rsidRPr="009F46D4">
        <w:rPr>
          <w:rFonts w:ascii="Times New Roman" w:hAnsi="Times New Roman"/>
          <w:sz w:val="24"/>
          <w:szCs w:val="24"/>
        </w:rPr>
        <w:t>Sauber</w:t>
      </w:r>
      <w:proofErr w:type="spellEnd"/>
      <w:r w:rsidR="00B549A8" w:rsidRPr="009F46D4">
        <w:rPr>
          <w:rFonts w:ascii="Times New Roman" w:hAnsi="Times New Roman"/>
          <w:sz w:val="24"/>
          <w:szCs w:val="24"/>
        </w:rPr>
        <w:t xml:space="preserve"> in Switzerland.  I made orders for substituted service and listed the substantive application for hearing on the following Monday, the Labour Day public holiday, less than a week before the first race of the season, the Australian Grand Prix at Albert Park</w:t>
      </w:r>
      <w:r w:rsidR="00AB4BB5" w:rsidRPr="009F46D4">
        <w:rPr>
          <w:rFonts w:ascii="Times New Roman" w:hAnsi="Times New Roman"/>
          <w:sz w:val="24"/>
          <w:szCs w:val="24"/>
        </w:rPr>
        <w:t xml:space="preserve"> in Melbourne</w:t>
      </w:r>
      <w:r w:rsidR="00B549A8" w:rsidRPr="009F46D4">
        <w:rPr>
          <w:rFonts w:ascii="Times New Roman" w:hAnsi="Times New Roman"/>
          <w:sz w:val="24"/>
          <w:szCs w:val="24"/>
        </w:rPr>
        <w:t>.</w:t>
      </w:r>
    </w:p>
    <w:p w14:paraId="523A984E" w14:textId="41F8B4DF" w:rsidR="00B549A8" w:rsidRPr="009F46D4" w:rsidRDefault="00B549A8" w:rsidP="00B549A8">
      <w:pPr>
        <w:spacing w:after="240" w:line="360" w:lineRule="auto"/>
        <w:ind w:right="-46"/>
        <w:jc w:val="both"/>
        <w:rPr>
          <w:rFonts w:ascii="Times New Roman" w:hAnsi="Times New Roman"/>
          <w:sz w:val="24"/>
          <w:szCs w:val="24"/>
        </w:rPr>
      </w:pPr>
      <w:r w:rsidRPr="009F46D4">
        <w:rPr>
          <w:rFonts w:ascii="Times New Roman" w:hAnsi="Times New Roman"/>
          <w:sz w:val="24"/>
          <w:szCs w:val="24"/>
        </w:rPr>
        <w:t xml:space="preserve">At the hearing, </w:t>
      </w:r>
      <w:proofErr w:type="spellStart"/>
      <w:r w:rsidRPr="009F46D4">
        <w:rPr>
          <w:rFonts w:ascii="Times New Roman" w:hAnsi="Times New Roman"/>
          <w:sz w:val="24"/>
          <w:szCs w:val="24"/>
        </w:rPr>
        <w:t>Sauber</w:t>
      </w:r>
      <w:proofErr w:type="spellEnd"/>
      <w:r w:rsidRPr="009F46D4">
        <w:rPr>
          <w:rFonts w:ascii="Times New Roman" w:hAnsi="Times New Roman"/>
          <w:sz w:val="24"/>
          <w:szCs w:val="24"/>
        </w:rPr>
        <w:t xml:space="preserve"> sought</w:t>
      </w:r>
      <w:r w:rsidR="002C666D" w:rsidRPr="009F46D4">
        <w:rPr>
          <w:rFonts w:ascii="Times New Roman" w:hAnsi="Times New Roman"/>
          <w:sz w:val="24"/>
          <w:szCs w:val="24"/>
        </w:rPr>
        <w:t xml:space="preserve"> </w:t>
      </w:r>
      <w:r w:rsidRPr="009F46D4">
        <w:rPr>
          <w:rFonts w:ascii="Times New Roman" w:hAnsi="Times New Roman"/>
          <w:sz w:val="24"/>
          <w:szCs w:val="24"/>
        </w:rPr>
        <w:t>to resist enforcement on public policy grounds</w:t>
      </w:r>
      <w:r w:rsidR="002C666D" w:rsidRPr="009F46D4">
        <w:rPr>
          <w:rFonts w:ascii="Times New Roman" w:hAnsi="Times New Roman"/>
          <w:sz w:val="24"/>
          <w:szCs w:val="24"/>
        </w:rPr>
        <w:t xml:space="preserve"> arguing </w:t>
      </w:r>
      <w:r w:rsidRPr="009F46D4">
        <w:rPr>
          <w:rFonts w:ascii="Times New Roman" w:hAnsi="Times New Roman"/>
          <w:sz w:val="24"/>
          <w:szCs w:val="24"/>
        </w:rPr>
        <w:t xml:space="preserve">that the critical dispositive provision was too uncertain to constitute an order of the Court.  In support of this submission, </w:t>
      </w:r>
      <w:proofErr w:type="spellStart"/>
      <w:r w:rsidRPr="009F46D4">
        <w:rPr>
          <w:rFonts w:ascii="Times New Roman" w:hAnsi="Times New Roman"/>
          <w:sz w:val="24"/>
          <w:szCs w:val="24"/>
        </w:rPr>
        <w:t>Sauber</w:t>
      </w:r>
      <w:proofErr w:type="spellEnd"/>
      <w:r w:rsidRPr="009F46D4">
        <w:rPr>
          <w:rFonts w:ascii="Times New Roman" w:hAnsi="Times New Roman"/>
          <w:sz w:val="24"/>
          <w:szCs w:val="24"/>
        </w:rPr>
        <w:t xml:space="preserve"> argued that the subject of an order</w:t>
      </w:r>
      <w:r w:rsidR="002C666D" w:rsidRPr="009F46D4">
        <w:rPr>
          <w:rFonts w:ascii="Times New Roman" w:hAnsi="Times New Roman"/>
          <w:sz w:val="24"/>
          <w:szCs w:val="24"/>
        </w:rPr>
        <w:t xml:space="preserve"> of the court</w:t>
      </w:r>
      <w:r w:rsidRPr="009F46D4">
        <w:rPr>
          <w:rFonts w:ascii="Times New Roman" w:hAnsi="Times New Roman"/>
          <w:sz w:val="24"/>
          <w:szCs w:val="24"/>
        </w:rPr>
        <w:t xml:space="preserve"> “must be able to ascertain in precise terms what it is that they must do, or refrain from doing”, where default may ground an action for contempt.</w:t>
      </w:r>
      <w:r w:rsidRPr="009F46D4">
        <w:rPr>
          <w:rStyle w:val="FootnoteReference"/>
          <w:rFonts w:ascii="Times New Roman" w:hAnsi="Times New Roman"/>
          <w:sz w:val="24"/>
          <w:szCs w:val="24"/>
        </w:rPr>
        <w:footnoteReference w:id="27"/>
      </w:r>
      <w:r w:rsidRPr="009F46D4">
        <w:rPr>
          <w:rFonts w:ascii="Times New Roman" w:hAnsi="Times New Roman"/>
          <w:sz w:val="24"/>
          <w:szCs w:val="24"/>
        </w:rPr>
        <w:t xml:space="preserve">  In addition to this uncertainty argument, </w:t>
      </w:r>
      <w:proofErr w:type="spellStart"/>
      <w:r w:rsidRPr="009F46D4">
        <w:rPr>
          <w:rFonts w:ascii="Times New Roman" w:hAnsi="Times New Roman"/>
          <w:sz w:val="24"/>
          <w:szCs w:val="24"/>
        </w:rPr>
        <w:t>Sauber</w:t>
      </w:r>
      <w:proofErr w:type="spellEnd"/>
      <w:r w:rsidRPr="009F46D4">
        <w:rPr>
          <w:rFonts w:ascii="Times New Roman" w:hAnsi="Times New Roman"/>
          <w:sz w:val="24"/>
          <w:szCs w:val="24"/>
        </w:rPr>
        <w:t xml:space="preserve"> submitted that enforcement would be futile because the award did not require </w:t>
      </w:r>
      <w:proofErr w:type="spellStart"/>
      <w:r w:rsidRPr="009F46D4">
        <w:rPr>
          <w:rFonts w:ascii="Times New Roman" w:hAnsi="Times New Roman"/>
          <w:sz w:val="24"/>
          <w:szCs w:val="24"/>
        </w:rPr>
        <w:t>Sauber</w:t>
      </w:r>
      <w:proofErr w:type="spellEnd"/>
      <w:r w:rsidRPr="009F46D4">
        <w:rPr>
          <w:rFonts w:ascii="Times New Roman" w:hAnsi="Times New Roman"/>
          <w:sz w:val="24"/>
          <w:szCs w:val="24"/>
        </w:rPr>
        <w:t xml:space="preserve"> to take any positive step to reinstate van der </w:t>
      </w:r>
      <w:proofErr w:type="spellStart"/>
      <w:r w:rsidRPr="009F46D4">
        <w:rPr>
          <w:rFonts w:ascii="Times New Roman" w:hAnsi="Times New Roman"/>
          <w:sz w:val="24"/>
          <w:szCs w:val="24"/>
        </w:rPr>
        <w:t>Garde</w:t>
      </w:r>
      <w:proofErr w:type="spellEnd"/>
      <w:r w:rsidRPr="009F46D4">
        <w:rPr>
          <w:rFonts w:ascii="Times New Roman" w:hAnsi="Times New Roman"/>
          <w:sz w:val="24"/>
          <w:szCs w:val="24"/>
        </w:rPr>
        <w:t xml:space="preserve"> as one of its drivers.</w:t>
      </w:r>
    </w:p>
    <w:p w14:paraId="2CF1D0B6" w14:textId="552DA31A" w:rsidR="00B549A8" w:rsidRPr="009F46D4" w:rsidRDefault="00B549A8" w:rsidP="00B549A8">
      <w:pPr>
        <w:spacing w:after="240" w:line="360" w:lineRule="auto"/>
        <w:ind w:right="-46"/>
        <w:jc w:val="both"/>
        <w:rPr>
          <w:rFonts w:ascii="Times New Roman" w:hAnsi="Times New Roman"/>
          <w:sz w:val="24"/>
          <w:szCs w:val="24"/>
        </w:rPr>
      </w:pPr>
      <w:r w:rsidRPr="009F46D4">
        <w:rPr>
          <w:rFonts w:ascii="Times New Roman" w:hAnsi="Times New Roman"/>
          <w:sz w:val="24"/>
          <w:szCs w:val="24"/>
        </w:rPr>
        <w:t>I delivered my judgment and written reasons one day after the hearing.  In allowing the application and enforcing the award, I found that the critical dispositive provision was not too vague or uncertain, nor was enforcement futile; noting that the court was available to assist the parties in the event of any “doubt or difficulty” in this regard.</w:t>
      </w:r>
      <w:r w:rsidRPr="009F46D4">
        <w:rPr>
          <w:rStyle w:val="FootnoteReference"/>
          <w:rFonts w:ascii="Times New Roman" w:hAnsi="Times New Roman"/>
          <w:sz w:val="24"/>
          <w:szCs w:val="24"/>
        </w:rPr>
        <w:footnoteReference w:id="28"/>
      </w:r>
      <w:r w:rsidRPr="009F46D4">
        <w:rPr>
          <w:rFonts w:ascii="Times New Roman" w:hAnsi="Times New Roman"/>
          <w:sz w:val="24"/>
          <w:szCs w:val="24"/>
        </w:rPr>
        <w:t xml:space="preserve">  The Court of Appeal affirmed this approach, </w:t>
      </w:r>
      <w:r w:rsidR="00754487" w:rsidRPr="009F46D4">
        <w:rPr>
          <w:rFonts w:ascii="Times New Roman" w:hAnsi="Times New Roman"/>
          <w:sz w:val="24"/>
          <w:szCs w:val="24"/>
        </w:rPr>
        <w:t>finding that “all concerned [we</w:t>
      </w:r>
      <w:r w:rsidRPr="009F46D4">
        <w:rPr>
          <w:rFonts w:ascii="Times New Roman" w:hAnsi="Times New Roman"/>
          <w:sz w:val="24"/>
          <w:szCs w:val="24"/>
        </w:rPr>
        <w:t>re</w:t>
      </w:r>
      <w:r w:rsidR="00754487" w:rsidRPr="009F46D4">
        <w:rPr>
          <w:rFonts w:ascii="Times New Roman" w:hAnsi="Times New Roman"/>
          <w:sz w:val="24"/>
          <w:szCs w:val="24"/>
        </w:rPr>
        <w:t>]</w:t>
      </w:r>
      <w:r w:rsidRPr="009F46D4">
        <w:rPr>
          <w:rFonts w:ascii="Times New Roman" w:hAnsi="Times New Roman"/>
          <w:sz w:val="24"/>
          <w:szCs w:val="24"/>
        </w:rPr>
        <w:t xml:space="preserve"> well aware of the nature of the dispute and its resolution”, and that there was “no demonstrated lack of utility in the award as to render it against public policy to enforce it as an order of the court”.</w:t>
      </w:r>
      <w:r w:rsidRPr="009F46D4">
        <w:rPr>
          <w:rStyle w:val="FootnoteReference"/>
          <w:rFonts w:ascii="Times New Roman" w:hAnsi="Times New Roman"/>
          <w:sz w:val="24"/>
          <w:szCs w:val="24"/>
        </w:rPr>
        <w:footnoteReference w:id="29"/>
      </w:r>
    </w:p>
    <w:p w14:paraId="28B06306" w14:textId="39D24799" w:rsidR="000E1ED7" w:rsidRPr="009F46D4" w:rsidRDefault="00B549A8" w:rsidP="006F5CF0">
      <w:pPr>
        <w:spacing w:line="360" w:lineRule="auto"/>
        <w:jc w:val="both"/>
        <w:rPr>
          <w:rFonts w:ascii="Times New Roman" w:hAnsi="Times New Roman"/>
          <w:sz w:val="24"/>
          <w:szCs w:val="24"/>
        </w:rPr>
      </w:pPr>
      <w:r w:rsidRPr="009F46D4">
        <w:rPr>
          <w:rFonts w:ascii="Times New Roman" w:hAnsi="Times New Roman"/>
          <w:sz w:val="24"/>
          <w:szCs w:val="24"/>
        </w:rPr>
        <w:t xml:space="preserve">Although not described explicitly as such, </w:t>
      </w:r>
      <w:proofErr w:type="spellStart"/>
      <w:r w:rsidRPr="009F46D4">
        <w:rPr>
          <w:rFonts w:ascii="Times New Roman" w:hAnsi="Times New Roman"/>
          <w:sz w:val="24"/>
          <w:szCs w:val="24"/>
        </w:rPr>
        <w:t>Sauber’s</w:t>
      </w:r>
      <w:proofErr w:type="spellEnd"/>
      <w:r w:rsidRPr="009F46D4">
        <w:rPr>
          <w:rFonts w:ascii="Times New Roman" w:hAnsi="Times New Roman"/>
          <w:sz w:val="24"/>
          <w:szCs w:val="24"/>
        </w:rPr>
        <w:t xml:space="preserve"> submissions on uncertainty and futility appeared to draw directly on equitable principles—principles which, despite their intuitive appeal to the common lawyer, are not found in the Model Law, or the New York Convention.  In this context, it is important to remember that these international instruments constitute an amalgam of common law and civil law concepts.  Clearly, the application of principles peculiar to one legal system has the potential to hinder the uniformity project which the Model Law exists to serve and which Australia</w:t>
      </w:r>
      <w:r w:rsidR="006F5CF0" w:rsidRPr="009F46D4">
        <w:rPr>
          <w:rFonts w:ascii="Times New Roman" w:hAnsi="Times New Roman"/>
          <w:sz w:val="24"/>
          <w:szCs w:val="24"/>
        </w:rPr>
        <w:t xml:space="preserve"> and New Zealand’s arbitration </w:t>
      </w:r>
      <w:r w:rsidR="00801E1B" w:rsidRPr="009F46D4">
        <w:rPr>
          <w:rFonts w:ascii="Times New Roman" w:hAnsi="Times New Roman"/>
          <w:sz w:val="24"/>
          <w:szCs w:val="24"/>
        </w:rPr>
        <w:t>regimes</w:t>
      </w:r>
      <w:r w:rsidR="006F5CF0" w:rsidRPr="009F46D4">
        <w:rPr>
          <w:rFonts w:ascii="Times New Roman" w:hAnsi="Times New Roman"/>
          <w:sz w:val="24"/>
          <w:szCs w:val="24"/>
        </w:rPr>
        <w:t xml:space="preserve"> are</w:t>
      </w:r>
      <w:r w:rsidRPr="009F46D4">
        <w:rPr>
          <w:rFonts w:ascii="Times New Roman" w:hAnsi="Times New Roman"/>
          <w:sz w:val="24"/>
          <w:szCs w:val="24"/>
        </w:rPr>
        <w:t xml:space="preserve"> unequivocally </w:t>
      </w:r>
      <w:r w:rsidRPr="009F46D4">
        <w:rPr>
          <w:rFonts w:ascii="Times New Roman" w:hAnsi="Times New Roman"/>
          <w:sz w:val="24"/>
          <w:szCs w:val="24"/>
        </w:rPr>
        <w:lastRenderedPageBreak/>
        <w:t xml:space="preserve">designed to support.  A challenge for courts then is to identify the jurisprudential basis of submissions like those advanced by </w:t>
      </w:r>
      <w:proofErr w:type="spellStart"/>
      <w:r w:rsidRPr="009F46D4">
        <w:rPr>
          <w:rFonts w:ascii="Times New Roman" w:hAnsi="Times New Roman"/>
          <w:sz w:val="24"/>
          <w:szCs w:val="24"/>
        </w:rPr>
        <w:t>Sauber</w:t>
      </w:r>
      <w:proofErr w:type="spellEnd"/>
      <w:r w:rsidRPr="009F46D4">
        <w:rPr>
          <w:rFonts w:ascii="Times New Roman" w:hAnsi="Times New Roman"/>
          <w:sz w:val="24"/>
          <w:szCs w:val="24"/>
        </w:rPr>
        <w:t>, befo</w:t>
      </w:r>
      <w:r w:rsidR="00801E1B" w:rsidRPr="009F46D4">
        <w:rPr>
          <w:rFonts w:ascii="Times New Roman" w:hAnsi="Times New Roman"/>
          <w:sz w:val="24"/>
          <w:szCs w:val="24"/>
        </w:rPr>
        <w:t>re exercising</w:t>
      </w:r>
      <w:r w:rsidRPr="009F46D4">
        <w:rPr>
          <w:rFonts w:ascii="Times New Roman" w:hAnsi="Times New Roman"/>
          <w:sz w:val="24"/>
          <w:szCs w:val="24"/>
        </w:rPr>
        <w:t xml:space="preserve"> restraint and, to the extent permitted by </w:t>
      </w:r>
      <w:r w:rsidR="00120748" w:rsidRPr="009F46D4">
        <w:rPr>
          <w:rFonts w:ascii="Times New Roman" w:hAnsi="Times New Roman"/>
          <w:sz w:val="24"/>
          <w:szCs w:val="24"/>
        </w:rPr>
        <w:t>our parliaments</w:t>
      </w:r>
      <w:r w:rsidRPr="009F46D4">
        <w:rPr>
          <w:rFonts w:ascii="Times New Roman" w:hAnsi="Times New Roman"/>
          <w:sz w:val="24"/>
          <w:szCs w:val="24"/>
        </w:rPr>
        <w:t>, applying concepts found in these international instruments with reference to international jurisprudence.</w:t>
      </w:r>
    </w:p>
    <w:p w14:paraId="47D3D81B" w14:textId="77777777" w:rsidR="00BB12ED" w:rsidRPr="009F46D4" w:rsidRDefault="00BB12ED" w:rsidP="00BB12ED">
      <w:pPr>
        <w:pStyle w:val="Heading1"/>
        <w:numPr>
          <w:ilvl w:val="0"/>
          <w:numId w:val="12"/>
        </w:numPr>
        <w:tabs>
          <w:tab w:val="clear" w:pos="8280"/>
        </w:tabs>
        <w:ind w:hanging="720"/>
        <w:rPr>
          <w:sz w:val="28"/>
          <w:szCs w:val="28"/>
        </w:rPr>
      </w:pPr>
      <w:r w:rsidRPr="009F46D4">
        <w:rPr>
          <w:sz w:val="28"/>
          <w:szCs w:val="28"/>
        </w:rPr>
        <w:t>Supporting Arbitral Processes</w:t>
      </w:r>
    </w:p>
    <w:p w14:paraId="6F7B486D" w14:textId="53EE758D" w:rsidR="006F5CF0" w:rsidRPr="009F46D4" w:rsidRDefault="006F5CF0" w:rsidP="006F5CF0">
      <w:pPr>
        <w:spacing w:line="360" w:lineRule="auto"/>
        <w:jc w:val="both"/>
        <w:rPr>
          <w:rFonts w:ascii="Times New Roman" w:hAnsi="Times New Roman"/>
          <w:sz w:val="24"/>
          <w:szCs w:val="24"/>
          <w:lang w:eastAsia="en-AU"/>
        </w:rPr>
      </w:pPr>
      <w:r w:rsidRPr="009F46D4">
        <w:rPr>
          <w:rFonts w:ascii="Times New Roman" w:hAnsi="Times New Roman"/>
          <w:sz w:val="24"/>
          <w:szCs w:val="24"/>
        </w:rPr>
        <w:t xml:space="preserve">I turn now to consider how the temptation of domesticity manifests itself in applications other than enforcement or setting aside proceedings, before returning to another high-profile enforcement proceeding—the </w:t>
      </w:r>
      <w:proofErr w:type="spellStart"/>
      <w:r w:rsidRPr="009F46D4">
        <w:rPr>
          <w:rFonts w:ascii="Times New Roman" w:hAnsi="Times New Roman"/>
          <w:i/>
          <w:sz w:val="24"/>
          <w:szCs w:val="24"/>
        </w:rPr>
        <w:t>Gutnick</w:t>
      </w:r>
      <w:proofErr w:type="spellEnd"/>
      <w:r w:rsidRPr="009F46D4">
        <w:rPr>
          <w:rFonts w:ascii="Times New Roman" w:hAnsi="Times New Roman"/>
          <w:sz w:val="24"/>
          <w:szCs w:val="24"/>
        </w:rPr>
        <w:t xml:space="preserve"> case.</w:t>
      </w:r>
      <w:r w:rsidR="00EE07BB" w:rsidRPr="009F46D4">
        <w:rPr>
          <w:rStyle w:val="FootnoteReference"/>
          <w:rFonts w:ascii="Times New Roman" w:hAnsi="Times New Roman"/>
          <w:sz w:val="24"/>
          <w:szCs w:val="24"/>
        </w:rPr>
        <w:footnoteReference w:id="30"/>
      </w:r>
      <w:r w:rsidRPr="009F46D4">
        <w:rPr>
          <w:rFonts w:ascii="Times New Roman" w:hAnsi="Times New Roman"/>
          <w:sz w:val="24"/>
          <w:szCs w:val="24"/>
        </w:rPr>
        <w:t xml:space="preserve">  </w:t>
      </w:r>
      <w:r w:rsidRPr="009F46D4">
        <w:rPr>
          <w:rFonts w:ascii="Times New Roman" w:hAnsi="Times New Roman"/>
          <w:sz w:val="24"/>
          <w:szCs w:val="24"/>
          <w:lang w:eastAsia="en-AU"/>
        </w:rPr>
        <w:t xml:space="preserve">As will become apparent, there is nothing special about the role of the court in enforcement or setting aside applications when compared with applications for some kind of intervention in the arbitral process itself.  Indeed, the international provenance of our respective arbitration regimes is equally as relevant. </w:t>
      </w:r>
    </w:p>
    <w:p w14:paraId="7E137411" w14:textId="77777777" w:rsidR="006F5CF0" w:rsidRPr="009F46D4" w:rsidRDefault="006F5CF0" w:rsidP="006F5CF0">
      <w:pPr>
        <w:spacing w:line="360" w:lineRule="auto"/>
        <w:jc w:val="both"/>
        <w:rPr>
          <w:rFonts w:ascii="Times New Roman" w:hAnsi="Times New Roman"/>
          <w:b/>
          <w:i/>
          <w:sz w:val="24"/>
          <w:szCs w:val="24"/>
          <w:lang w:eastAsia="en-AU"/>
        </w:rPr>
      </w:pPr>
      <w:r w:rsidRPr="009F46D4">
        <w:rPr>
          <w:rFonts w:ascii="Times New Roman" w:hAnsi="Times New Roman"/>
          <w:b/>
          <w:i/>
          <w:sz w:val="24"/>
          <w:szCs w:val="24"/>
          <w:lang w:eastAsia="en-AU"/>
        </w:rPr>
        <w:t xml:space="preserve">a) </w:t>
      </w:r>
      <w:r w:rsidRPr="009F46D4">
        <w:rPr>
          <w:rFonts w:ascii="Times New Roman" w:hAnsi="Times New Roman"/>
          <w:b/>
          <w:i/>
          <w:sz w:val="24"/>
          <w:szCs w:val="24"/>
          <w:lang w:eastAsia="en-AU"/>
        </w:rPr>
        <w:tab/>
        <w:t>Stay and Referral to Arbitration</w:t>
      </w:r>
    </w:p>
    <w:p w14:paraId="0F5741FC" w14:textId="3D70C0DD" w:rsidR="006F5CF0" w:rsidRPr="009F46D4" w:rsidRDefault="006F5CF0" w:rsidP="006F5CF0">
      <w:pPr>
        <w:spacing w:line="360" w:lineRule="auto"/>
        <w:jc w:val="both"/>
        <w:rPr>
          <w:rFonts w:ascii="Times New Roman" w:hAnsi="Times New Roman"/>
          <w:sz w:val="24"/>
          <w:szCs w:val="24"/>
        </w:rPr>
      </w:pPr>
      <w:r w:rsidRPr="009F46D4">
        <w:rPr>
          <w:rFonts w:ascii="Times New Roman" w:hAnsi="Times New Roman"/>
          <w:sz w:val="24"/>
          <w:szCs w:val="24"/>
          <w:lang w:eastAsia="en-AU"/>
        </w:rPr>
        <w:t xml:space="preserve">I </w:t>
      </w:r>
      <w:r w:rsidR="00801E1B" w:rsidRPr="009F46D4">
        <w:rPr>
          <w:rFonts w:ascii="Times New Roman" w:hAnsi="Times New Roman"/>
          <w:sz w:val="24"/>
          <w:szCs w:val="24"/>
          <w:lang w:eastAsia="en-AU"/>
        </w:rPr>
        <w:t>move</w:t>
      </w:r>
      <w:r w:rsidRPr="009F46D4">
        <w:rPr>
          <w:rFonts w:ascii="Times New Roman" w:hAnsi="Times New Roman"/>
          <w:sz w:val="24"/>
          <w:szCs w:val="24"/>
          <w:lang w:eastAsia="en-AU"/>
        </w:rPr>
        <w:t xml:space="preserve"> first to</w:t>
      </w:r>
      <w:r w:rsidR="00801E1B" w:rsidRPr="009F46D4">
        <w:rPr>
          <w:rFonts w:ascii="Times New Roman" w:hAnsi="Times New Roman"/>
          <w:sz w:val="24"/>
          <w:szCs w:val="24"/>
          <w:lang w:eastAsia="en-AU"/>
        </w:rPr>
        <w:t xml:space="preserve"> consider</w:t>
      </w:r>
      <w:r w:rsidRPr="009F46D4">
        <w:rPr>
          <w:rFonts w:ascii="Times New Roman" w:hAnsi="Times New Roman"/>
          <w:sz w:val="24"/>
          <w:szCs w:val="24"/>
          <w:lang w:eastAsia="en-AU"/>
        </w:rPr>
        <w:t xml:space="preserve"> applications to stay court proceedings and refer the parties to arbitration.  </w:t>
      </w:r>
      <w:r w:rsidRPr="009F46D4">
        <w:rPr>
          <w:rFonts w:ascii="Times New Roman" w:hAnsi="Times New Roman"/>
          <w:sz w:val="24"/>
          <w:szCs w:val="24"/>
        </w:rPr>
        <w:t>In</w:t>
      </w:r>
      <w:r w:rsidR="00801E1B" w:rsidRPr="009F46D4">
        <w:rPr>
          <w:rFonts w:ascii="Times New Roman" w:hAnsi="Times New Roman"/>
          <w:sz w:val="24"/>
          <w:szCs w:val="24"/>
        </w:rPr>
        <w:t xml:space="preserve"> June of last year, in the case of</w:t>
      </w:r>
      <w:r w:rsidRPr="009F46D4">
        <w:rPr>
          <w:rFonts w:ascii="Times New Roman" w:hAnsi="Times New Roman"/>
          <w:sz w:val="24"/>
          <w:szCs w:val="24"/>
        </w:rPr>
        <w:t xml:space="preserve"> </w:t>
      </w:r>
      <w:proofErr w:type="spellStart"/>
      <w:r w:rsidRPr="009F46D4">
        <w:rPr>
          <w:rFonts w:ascii="Times New Roman" w:hAnsi="Times New Roman"/>
          <w:i/>
          <w:sz w:val="24"/>
          <w:szCs w:val="24"/>
        </w:rPr>
        <w:t>Robotunits</w:t>
      </w:r>
      <w:proofErr w:type="spellEnd"/>
      <w:r w:rsidRPr="009F46D4">
        <w:rPr>
          <w:rFonts w:ascii="Times New Roman" w:hAnsi="Times New Roman"/>
          <w:i/>
          <w:sz w:val="24"/>
          <w:szCs w:val="24"/>
        </w:rPr>
        <w:t xml:space="preserve"> Pty Ltd v </w:t>
      </w:r>
      <w:proofErr w:type="spellStart"/>
      <w:r w:rsidRPr="009F46D4">
        <w:rPr>
          <w:rFonts w:ascii="Times New Roman" w:hAnsi="Times New Roman"/>
          <w:i/>
          <w:sz w:val="24"/>
          <w:szCs w:val="24"/>
        </w:rPr>
        <w:t>Mennel</w:t>
      </w:r>
      <w:proofErr w:type="spellEnd"/>
      <w:r w:rsidR="00E31EB0" w:rsidRPr="009F46D4">
        <w:rPr>
          <w:rFonts w:ascii="Times New Roman" w:hAnsi="Times New Roman"/>
          <w:sz w:val="24"/>
          <w:szCs w:val="24"/>
        </w:rPr>
        <w:t>, the d</w:t>
      </w:r>
      <w:r w:rsidRPr="009F46D4">
        <w:rPr>
          <w:rFonts w:ascii="Times New Roman" w:hAnsi="Times New Roman"/>
          <w:sz w:val="24"/>
          <w:szCs w:val="24"/>
        </w:rPr>
        <w:t xml:space="preserve">efendant, Mr </w:t>
      </w:r>
      <w:proofErr w:type="spellStart"/>
      <w:r w:rsidRPr="009F46D4">
        <w:rPr>
          <w:rFonts w:ascii="Times New Roman" w:hAnsi="Times New Roman"/>
          <w:sz w:val="24"/>
          <w:szCs w:val="24"/>
        </w:rPr>
        <w:t>Mennel</w:t>
      </w:r>
      <w:proofErr w:type="spellEnd"/>
      <w:r w:rsidRPr="009F46D4">
        <w:rPr>
          <w:rFonts w:ascii="Times New Roman" w:hAnsi="Times New Roman"/>
          <w:sz w:val="24"/>
          <w:szCs w:val="24"/>
        </w:rPr>
        <w:t>, sought orders tha</w:t>
      </w:r>
      <w:r w:rsidR="00E31EB0" w:rsidRPr="009F46D4">
        <w:rPr>
          <w:rFonts w:ascii="Times New Roman" w:hAnsi="Times New Roman"/>
          <w:sz w:val="24"/>
          <w:szCs w:val="24"/>
        </w:rPr>
        <w:t>t proceedings commenced by the p</w:t>
      </w:r>
      <w:r w:rsidRPr="009F46D4">
        <w:rPr>
          <w:rFonts w:ascii="Times New Roman" w:hAnsi="Times New Roman"/>
          <w:sz w:val="24"/>
          <w:szCs w:val="24"/>
        </w:rPr>
        <w:t xml:space="preserve">laintiff, </w:t>
      </w:r>
      <w:proofErr w:type="spellStart"/>
      <w:r w:rsidRPr="009F46D4">
        <w:rPr>
          <w:rFonts w:ascii="Times New Roman" w:hAnsi="Times New Roman"/>
          <w:sz w:val="24"/>
          <w:szCs w:val="24"/>
        </w:rPr>
        <w:t>Robotunits</w:t>
      </w:r>
      <w:proofErr w:type="spellEnd"/>
      <w:r w:rsidRPr="009F46D4">
        <w:rPr>
          <w:rFonts w:ascii="Times New Roman" w:hAnsi="Times New Roman"/>
          <w:sz w:val="24"/>
          <w:szCs w:val="24"/>
        </w:rPr>
        <w:t xml:space="preserve"> Pty Ltd, be stayed and that the parties be referred to arbitration.</w:t>
      </w:r>
      <w:r w:rsidRPr="009F46D4">
        <w:rPr>
          <w:rStyle w:val="FootnoteReference"/>
          <w:rFonts w:ascii="Times New Roman" w:hAnsi="Times New Roman"/>
          <w:sz w:val="24"/>
          <w:szCs w:val="24"/>
        </w:rPr>
        <w:footnoteReference w:id="31"/>
      </w:r>
      <w:r w:rsidRPr="009F46D4">
        <w:rPr>
          <w:rFonts w:ascii="Times New Roman" w:hAnsi="Times New Roman"/>
          <w:sz w:val="24"/>
          <w:szCs w:val="24"/>
        </w:rPr>
        <w:t xml:space="preserve">  The proceedings in question involved a claim for the return of money which </w:t>
      </w:r>
      <w:proofErr w:type="spellStart"/>
      <w:r w:rsidRPr="009F46D4">
        <w:rPr>
          <w:rFonts w:ascii="Times New Roman" w:hAnsi="Times New Roman"/>
          <w:sz w:val="24"/>
          <w:szCs w:val="24"/>
        </w:rPr>
        <w:t>Robotunits</w:t>
      </w:r>
      <w:proofErr w:type="spellEnd"/>
      <w:r w:rsidRPr="009F46D4">
        <w:rPr>
          <w:rFonts w:ascii="Times New Roman" w:hAnsi="Times New Roman"/>
          <w:sz w:val="24"/>
          <w:szCs w:val="24"/>
        </w:rPr>
        <w:t xml:space="preserve"> claimed that </w:t>
      </w:r>
      <w:proofErr w:type="spellStart"/>
      <w:r w:rsidRPr="009F46D4">
        <w:rPr>
          <w:rFonts w:ascii="Times New Roman" w:hAnsi="Times New Roman"/>
          <w:sz w:val="24"/>
          <w:szCs w:val="24"/>
        </w:rPr>
        <w:t>Mennel</w:t>
      </w:r>
      <w:proofErr w:type="spellEnd"/>
      <w:r w:rsidRPr="009F46D4">
        <w:rPr>
          <w:rFonts w:ascii="Times New Roman" w:hAnsi="Times New Roman"/>
          <w:sz w:val="24"/>
          <w:szCs w:val="24"/>
        </w:rPr>
        <w:t xml:space="preserve">, its former managing director, had wrongly caused it to pay to his bank account.  </w:t>
      </w:r>
      <w:proofErr w:type="spellStart"/>
      <w:r w:rsidRPr="009F46D4">
        <w:rPr>
          <w:rFonts w:ascii="Times New Roman" w:hAnsi="Times New Roman"/>
          <w:sz w:val="24"/>
          <w:szCs w:val="24"/>
        </w:rPr>
        <w:t>Mennel</w:t>
      </w:r>
      <w:proofErr w:type="spellEnd"/>
      <w:r w:rsidRPr="009F46D4">
        <w:rPr>
          <w:rFonts w:ascii="Times New Roman" w:hAnsi="Times New Roman"/>
          <w:sz w:val="24"/>
          <w:szCs w:val="24"/>
        </w:rPr>
        <w:t xml:space="preserve"> sought a stay and referral to arbitration in reliance on an arbitration agreement contained in a shareholders agreement to which he and </w:t>
      </w:r>
      <w:proofErr w:type="spellStart"/>
      <w:r w:rsidRPr="009F46D4">
        <w:rPr>
          <w:rFonts w:ascii="Times New Roman" w:hAnsi="Times New Roman"/>
          <w:sz w:val="24"/>
          <w:szCs w:val="24"/>
        </w:rPr>
        <w:t>Robotunits</w:t>
      </w:r>
      <w:proofErr w:type="spellEnd"/>
      <w:r w:rsidRPr="009F46D4">
        <w:rPr>
          <w:rFonts w:ascii="Times New Roman" w:hAnsi="Times New Roman"/>
          <w:sz w:val="24"/>
          <w:szCs w:val="24"/>
        </w:rPr>
        <w:t xml:space="preserve"> were parties.  </w:t>
      </w:r>
      <w:proofErr w:type="spellStart"/>
      <w:r w:rsidRPr="009F46D4">
        <w:rPr>
          <w:rFonts w:ascii="Times New Roman" w:hAnsi="Times New Roman"/>
          <w:sz w:val="24"/>
          <w:szCs w:val="24"/>
        </w:rPr>
        <w:t>Mennel</w:t>
      </w:r>
      <w:proofErr w:type="spellEnd"/>
      <w:r w:rsidRPr="009F46D4">
        <w:rPr>
          <w:rFonts w:ascii="Times New Roman" w:hAnsi="Times New Roman"/>
          <w:sz w:val="24"/>
          <w:szCs w:val="24"/>
        </w:rPr>
        <w:t xml:space="preserve"> claimed that he was entitled to make the bulk of the payments under the shareholders agreement, and that therefore the proceeding involved the “determination of a matter that, in pursuance of the [arbitration] agreement, [was] capable of settlement by arbitration”, and so was required to be stayed under the International Arbitration Act.</w:t>
      </w:r>
      <w:r w:rsidRPr="009F46D4">
        <w:rPr>
          <w:rStyle w:val="FootnoteReference"/>
          <w:rFonts w:ascii="Times New Roman" w:hAnsi="Times New Roman"/>
          <w:sz w:val="24"/>
          <w:szCs w:val="24"/>
        </w:rPr>
        <w:footnoteReference w:id="32"/>
      </w:r>
    </w:p>
    <w:p w14:paraId="59B347A2" w14:textId="77777777" w:rsidR="006F5CF0" w:rsidRPr="009F46D4" w:rsidRDefault="006F5CF0" w:rsidP="006F5CF0">
      <w:pPr>
        <w:spacing w:line="360" w:lineRule="auto"/>
        <w:jc w:val="both"/>
        <w:rPr>
          <w:rFonts w:ascii="Times New Roman" w:hAnsi="Times New Roman"/>
          <w:sz w:val="24"/>
          <w:szCs w:val="24"/>
        </w:rPr>
      </w:pPr>
      <w:r w:rsidRPr="009F46D4">
        <w:rPr>
          <w:rFonts w:ascii="Times New Roman" w:hAnsi="Times New Roman"/>
          <w:sz w:val="24"/>
          <w:szCs w:val="24"/>
        </w:rPr>
        <w:t xml:space="preserve">In resisting the application, </w:t>
      </w:r>
      <w:proofErr w:type="spellStart"/>
      <w:r w:rsidRPr="009F46D4">
        <w:rPr>
          <w:rFonts w:ascii="Times New Roman" w:hAnsi="Times New Roman"/>
          <w:sz w:val="24"/>
          <w:szCs w:val="24"/>
        </w:rPr>
        <w:t>Robotunits</w:t>
      </w:r>
      <w:proofErr w:type="spellEnd"/>
      <w:r w:rsidRPr="009F46D4">
        <w:rPr>
          <w:rFonts w:ascii="Times New Roman" w:hAnsi="Times New Roman"/>
          <w:sz w:val="24"/>
          <w:szCs w:val="24"/>
        </w:rPr>
        <w:t xml:space="preserve"> submitted that, in order to constitute a “matter” under that section, the assertions giving rise to the dispute between the parties must be “sustainable”, in that they must have a reasonable prospect of success.  </w:t>
      </w:r>
      <w:proofErr w:type="spellStart"/>
      <w:r w:rsidRPr="009F46D4">
        <w:rPr>
          <w:rFonts w:ascii="Times New Roman" w:hAnsi="Times New Roman"/>
          <w:sz w:val="24"/>
          <w:szCs w:val="24"/>
        </w:rPr>
        <w:t>Robotunits</w:t>
      </w:r>
      <w:proofErr w:type="spellEnd"/>
      <w:r w:rsidRPr="009F46D4">
        <w:rPr>
          <w:rFonts w:ascii="Times New Roman" w:hAnsi="Times New Roman"/>
          <w:sz w:val="24"/>
          <w:szCs w:val="24"/>
        </w:rPr>
        <w:t xml:space="preserve"> argued that </w:t>
      </w:r>
      <w:proofErr w:type="spellStart"/>
      <w:r w:rsidRPr="009F46D4">
        <w:rPr>
          <w:rFonts w:ascii="Times New Roman" w:hAnsi="Times New Roman"/>
          <w:sz w:val="24"/>
          <w:szCs w:val="24"/>
        </w:rPr>
        <w:t>Mennel’s</w:t>
      </w:r>
      <w:proofErr w:type="spellEnd"/>
      <w:r w:rsidRPr="009F46D4">
        <w:rPr>
          <w:rFonts w:ascii="Times New Roman" w:hAnsi="Times New Roman"/>
          <w:sz w:val="24"/>
          <w:szCs w:val="24"/>
        </w:rPr>
        <w:t xml:space="preserve"> </w:t>
      </w:r>
      <w:r w:rsidRPr="009F46D4">
        <w:rPr>
          <w:rFonts w:ascii="Times New Roman" w:hAnsi="Times New Roman"/>
          <w:sz w:val="24"/>
          <w:szCs w:val="24"/>
        </w:rPr>
        <w:lastRenderedPageBreak/>
        <w:t>assertion that the shareholders agreement authorised some or all of the payments did not meet this sustainability requirement and so there was no matter—or dispute—to which the arbitration agreement could apply.  Upon reviewing the authorities, including from Hong Kong, Singapore and the UK, I found that neither the Act, nor the equivalent article in the Model Law—article 8—imposed a threshold requirement of this kind.  I noted that—</w:t>
      </w:r>
      <w:r w:rsidRPr="009F46D4">
        <w:rPr>
          <w:rStyle w:val="FootnoteReference"/>
          <w:rFonts w:ascii="Times New Roman" w:hAnsi="Times New Roman"/>
          <w:sz w:val="24"/>
          <w:szCs w:val="24"/>
        </w:rPr>
        <w:footnoteReference w:id="33"/>
      </w:r>
      <w:r w:rsidRPr="009F46D4">
        <w:rPr>
          <w:rFonts w:ascii="Times New Roman" w:hAnsi="Times New Roman"/>
          <w:sz w:val="24"/>
          <w:szCs w:val="24"/>
        </w:rPr>
        <w:t xml:space="preserve"> </w:t>
      </w:r>
    </w:p>
    <w:p w14:paraId="4DCFE9AB" w14:textId="5F4088E8" w:rsidR="006F5CF0" w:rsidRPr="009F46D4" w:rsidRDefault="006F5CF0" w:rsidP="006F5CF0">
      <w:pPr>
        <w:pStyle w:val="Quote1"/>
        <w:spacing w:line="240" w:lineRule="auto"/>
        <w:ind w:left="720"/>
        <w:rPr>
          <w:rFonts w:ascii="Times New Roman" w:hAnsi="Times New Roman"/>
          <w:sz w:val="24"/>
          <w:szCs w:val="24"/>
        </w:rPr>
      </w:pPr>
      <w:r w:rsidRPr="009F46D4">
        <w:rPr>
          <w:rFonts w:ascii="Times New Roman" w:hAnsi="Times New Roman"/>
          <w:sz w:val="24"/>
          <w:szCs w:val="24"/>
        </w:rPr>
        <w:t xml:space="preserve">to find otherwise would be to succumb to the temptation of “domesticity” </w:t>
      </w:r>
      <w:r w:rsidR="0063142F" w:rsidRPr="009F46D4">
        <w:rPr>
          <w:rFonts w:ascii="Times New Roman" w:hAnsi="Times New Roman"/>
          <w:sz w:val="24"/>
          <w:szCs w:val="24"/>
        </w:rPr>
        <w:t>…</w:t>
      </w:r>
      <w:r w:rsidRPr="009F46D4">
        <w:rPr>
          <w:rFonts w:ascii="Times New Roman" w:hAnsi="Times New Roman"/>
          <w:sz w:val="24"/>
          <w:szCs w:val="24"/>
        </w:rPr>
        <w:t xml:space="preserve"> by allowing the determination of whether to stay proceedings and refer the parties to arbitration to be coloured by the merits of the case.</w:t>
      </w:r>
    </w:p>
    <w:p w14:paraId="3C441A77" w14:textId="633DD915" w:rsidR="006F5CF0" w:rsidRPr="009F46D4" w:rsidRDefault="0063142F" w:rsidP="006F5CF0">
      <w:pPr>
        <w:spacing w:line="360" w:lineRule="auto"/>
        <w:jc w:val="both"/>
        <w:rPr>
          <w:rFonts w:ascii="Times New Roman" w:hAnsi="Times New Roman"/>
          <w:sz w:val="24"/>
          <w:szCs w:val="24"/>
        </w:rPr>
      </w:pPr>
      <w:r w:rsidRPr="009F46D4">
        <w:rPr>
          <w:rFonts w:ascii="Times New Roman" w:hAnsi="Times New Roman"/>
          <w:sz w:val="24"/>
          <w:szCs w:val="24"/>
        </w:rPr>
        <w:t>Moreover</w:t>
      </w:r>
      <w:r w:rsidR="006F5CF0" w:rsidRPr="009F46D4">
        <w:rPr>
          <w:rFonts w:ascii="Times New Roman" w:hAnsi="Times New Roman"/>
          <w:sz w:val="24"/>
          <w:szCs w:val="24"/>
        </w:rPr>
        <w:t xml:space="preserve">, in relation to the role of the courts in </w:t>
      </w:r>
      <w:r w:rsidRPr="009F46D4">
        <w:rPr>
          <w:rFonts w:ascii="Times New Roman" w:hAnsi="Times New Roman"/>
          <w:sz w:val="24"/>
          <w:szCs w:val="24"/>
        </w:rPr>
        <w:t>applications of this kind, I observed that:</w:t>
      </w:r>
      <w:r w:rsidR="006F5CF0" w:rsidRPr="009F46D4">
        <w:rPr>
          <w:rStyle w:val="FootnoteReference"/>
          <w:rFonts w:ascii="Times New Roman" w:hAnsi="Times New Roman"/>
          <w:sz w:val="24"/>
          <w:szCs w:val="24"/>
        </w:rPr>
        <w:footnoteReference w:id="34"/>
      </w:r>
      <w:r w:rsidR="006F5CF0" w:rsidRPr="009F46D4">
        <w:rPr>
          <w:rFonts w:ascii="Times New Roman" w:hAnsi="Times New Roman"/>
          <w:sz w:val="24"/>
          <w:szCs w:val="24"/>
        </w:rPr>
        <w:t xml:space="preserve"> </w:t>
      </w:r>
    </w:p>
    <w:p w14:paraId="1BB81CCD" w14:textId="77777777" w:rsidR="006F5CF0" w:rsidRPr="009F46D4" w:rsidRDefault="006F5CF0" w:rsidP="006F5CF0">
      <w:pPr>
        <w:pStyle w:val="Quote1"/>
        <w:spacing w:line="240" w:lineRule="auto"/>
        <w:ind w:left="720"/>
        <w:rPr>
          <w:rFonts w:ascii="Times New Roman" w:hAnsi="Times New Roman"/>
          <w:sz w:val="24"/>
          <w:szCs w:val="24"/>
        </w:rPr>
      </w:pPr>
      <w:r w:rsidRPr="009F46D4">
        <w:rPr>
          <w:rFonts w:ascii="Times New Roman" w:hAnsi="Times New Roman"/>
          <w:sz w:val="24"/>
          <w:szCs w:val="24"/>
        </w:rPr>
        <w:t>Even though the merits of the case are necessarily yet to be canvassed by an arbitration tribunal, courts are no more entitled to delve into the merits of the case in the context of a stay application, than they are in the context of enforcement or setting-aside proceedings.</w:t>
      </w:r>
    </w:p>
    <w:p w14:paraId="68ED7F9C" w14:textId="76EA061A" w:rsidR="00BA4F8B" w:rsidRPr="009F46D4" w:rsidRDefault="00BA4F8B" w:rsidP="0087312F">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Before moving on, I should note that the wording of the corresponding provision in the New Zealand Arbitration Act is different to its Australian</w:t>
      </w:r>
      <w:r w:rsidR="00A57217" w:rsidRPr="009F46D4">
        <w:rPr>
          <w:rFonts w:ascii="Times New Roman" w:hAnsi="Times New Roman"/>
          <w:sz w:val="24"/>
          <w:szCs w:val="24"/>
          <w:lang w:eastAsia="en-AU"/>
        </w:rPr>
        <w:t xml:space="preserve"> counterpart—</w:t>
      </w:r>
      <w:r w:rsidR="00E30F1E" w:rsidRPr="009F46D4">
        <w:rPr>
          <w:rFonts w:ascii="Times New Roman" w:hAnsi="Times New Roman"/>
          <w:sz w:val="24"/>
          <w:szCs w:val="24"/>
          <w:lang w:eastAsia="en-AU"/>
        </w:rPr>
        <w:t>and</w:t>
      </w:r>
      <w:r w:rsidR="00A57217" w:rsidRPr="009F46D4">
        <w:rPr>
          <w:rFonts w:ascii="Times New Roman" w:hAnsi="Times New Roman"/>
          <w:sz w:val="24"/>
          <w:szCs w:val="24"/>
          <w:lang w:eastAsia="en-AU"/>
        </w:rPr>
        <w:t>,</w:t>
      </w:r>
      <w:r w:rsidR="00E30F1E" w:rsidRPr="009F46D4">
        <w:rPr>
          <w:rFonts w:ascii="Times New Roman" w:hAnsi="Times New Roman"/>
          <w:sz w:val="24"/>
          <w:szCs w:val="24"/>
          <w:lang w:eastAsia="en-AU"/>
        </w:rPr>
        <w:t xml:space="preserve"> for that matter, </w:t>
      </w:r>
      <w:r w:rsidR="005E536F" w:rsidRPr="009F46D4">
        <w:rPr>
          <w:rFonts w:ascii="Times New Roman" w:hAnsi="Times New Roman"/>
          <w:sz w:val="24"/>
          <w:szCs w:val="24"/>
          <w:lang w:eastAsia="en-AU"/>
        </w:rPr>
        <w:t>article 8 of the Model Law</w:t>
      </w:r>
      <w:r w:rsidR="00A57217" w:rsidRPr="009F46D4">
        <w:rPr>
          <w:rFonts w:ascii="Times New Roman" w:hAnsi="Times New Roman"/>
          <w:sz w:val="24"/>
          <w:szCs w:val="24"/>
          <w:lang w:eastAsia="en-AU"/>
        </w:rPr>
        <w:t>—</w:t>
      </w:r>
      <w:r w:rsidRPr="009F46D4">
        <w:rPr>
          <w:rFonts w:ascii="Times New Roman" w:hAnsi="Times New Roman"/>
          <w:sz w:val="24"/>
          <w:szCs w:val="24"/>
          <w:lang w:eastAsia="en-AU"/>
        </w:rPr>
        <w:t xml:space="preserve">although </w:t>
      </w:r>
      <w:r w:rsidR="00066B02" w:rsidRPr="009F46D4">
        <w:rPr>
          <w:rFonts w:ascii="Times New Roman" w:hAnsi="Times New Roman"/>
          <w:sz w:val="24"/>
          <w:szCs w:val="24"/>
          <w:lang w:eastAsia="en-AU"/>
        </w:rPr>
        <w:t>the New Zealand</w:t>
      </w:r>
      <w:r w:rsidR="00A57217" w:rsidRPr="009F46D4">
        <w:rPr>
          <w:rFonts w:ascii="Times New Roman" w:hAnsi="Times New Roman"/>
          <w:sz w:val="24"/>
          <w:szCs w:val="24"/>
          <w:lang w:eastAsia="en-AU"/>
        </w:rPr>
        <w:t xml:space="preserve"> provision </w:t>
      </w:r>
      <w:r w:rsidRPr="009F46D4">
        <w:rPr>
          <w:rFonts w:ascii="Times New Roman" w:hAnsi="Times New Roman"/>
          <w:sz w:val="24"/>
          <w:szCs w:val="24"/>
          <w:lang w:eastAsia="en-AU"/>
        </w:rPr>
        <w:t>has</w:t>
      </w:r>
      <w:r w:rsidR="00E30F1E" w:rsidRPr="009F46D4">
        <w:rPr>
          <w:rFonts w:ascii="Times New Roman" w:hAnsi="Times New Roman"/>
          <w:sz w:val="24"/>
          <w:szCs w:val="24"/>
          <w:lang w:eastAsia="en-AU"/>
        </w:rPr>
        <w:t xml:space="preserve"> been</w:t>
      </w:r>
      <w:r w:rsidRPr="009F46D4">
        <w:rPr>
          <w:rFonts w:ascii="Times New Roman" w:hAnsi="Times New Roman"/>
          <w:sz w:val="24"/>
          <w:szCs w:val="24"/>
          <w:lang w:eastAsia="en-AU"/>
        </w:rPr>
        <w:t xml:space="preserve"> given a narrow reading by the Supreme Court </w:t>
      </w:r>
      <w:r w:rsidR="00967890" w:rsidRPr="009F46D4">
        <w:rPr>
          <w:rFonts w:ascii="Times New Roman" w:hAnsi="Times New Roman"/>
          <w:sz w:val="24"/>
          <w:szCs w:val="24"/>
          <w:lang w:eastAsia="en-AU"/>
        </w:rPr>
        <w:t>in Wellington</w:t>
      </w:r>
      <w:r w:rsidRPr="009F46D4">
        <w:rPr>
          <w:rFonts w:ascii="Times New Roman" w:hAnsi="Times New Roman"/>
          <w:sz w:val="24"/>
          <w:szCs w:val="24"/>
          <w:lang w:eastAsia="en-AU"/>
        </w:rPr>
        <w:t>.</w:t>
      </w:r>
      <w:r w:rsidR="00967890" w:rsidRPr="009F46D4">
        <w:rPr>
          <w:rStyle w:val="FootnoteReference"/>
          <w:rFonts w:ascii="Times New Roman" w:hAnsi="Times New Roman"/>
          <w:sz w:val="24"/>
          <w:szCs w:val="24"/>
          <w:lang w:eastAsia="en-AU"/>
        </w:rPr>
        <w:footnoteReference w:id="35"/>
      </w:r>
      <w:r w:rsidRPr="009F46D4">
        <w:rPr>
          <w:rFonts w:ascii="Times New Roman" w:hAnsi="Times New Roman"/>
          <w:sz w:val="24"/>
          <w:szCs w:val="24"/>
          <w:lang w:eastAsia="en-AU"/>
        </w:rPr>
        <w:t xml:space="preserve"> </w:t>
      </w:r>
    </w:p>
    <w:p w14:paraId="7F9F8C14" w14:textId="77777777" w:rsidR="0087312F" w:rsidRPr="009F46D4" w:rsidRDefault="0087312F" w:rsidP="0087312F">
      <w:pPr>
        <w:spacing w:line="360" w:lineRule="auto"/>
        <w:jc w:val="both"/>
        <w:rPr>
          <w:rFonts w:ascii="Times New Roman" w:hAnsi="Times New Roman"/>
          <w:b/>
          <w:i/>
          <w:sz w:val="24"/>
          <w:szCs w:val="24"/>
          <w:lang w:eastAsia="en-AU"/>
        </w:rPr>
      </w:pPr>
      <w:r w:rsidRPr="009F46D4">
        <w:rPr>
          <w:rFonts w:ascii="Times New Roman" w:hAnsi="Times New Roman"/>
          <w:b/>
          <w:i/>
          <w:sz w:val="24"/>
          <w:szCs w:val="24"/>
          <w:lang w:eastAsia="en-AU"/>
        </w:rPr>
        <w:t>b)</w:t>
      </w:r>
      <w:r w:rsidRPr="009F46D4">
        <w:rPr>
          <w:rFonts w:ascii="Times New Roman" w:hAnsi="Times New Roman"/>
          <w:b/>
          <w:i/>
          <w:sz w:val="24"/>
          <w:szCs w:val="24"/>
          <w:lang w:eastAsia="en-AU"/>
        </w:rPr>
        <w:tab/>
        <w:t>Subpoenas</w:t>
      </w:r>
    </w:p>
    <w:p w14:paraId="31217464" w14:textId="17AE733B" w:rsidR="00BD5972" w:rsidRPr="009F46D4" w:rsidRDefault="00967890" w:rsidP="00BD5972">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I turn now to consider </w:t>
      </w:r>
      <w:r w:rsidR="0087312F" w:rsidRPr="009F46D4">
        <w:rPr>
          <w:rFonts w:ascii="Times New Roman" w:hAnsi="Times New Roman"/>
          <w:sz w:val="24"/>
          <w:szCs w:val="24"/>
          <w:lang w:eastAsia="en-AU"/>
        </w:rPr>
        <w:t>applications for the issue of subpoenas to attend before, or produce</w:t>
      </w:r>
      <w:r w:rsidR="00700DD8" w:rsidRPr="009F46D4">
        <w:rPr>
          <w:rFonts w:ascii="Times New Roman" w:hAnsi="Times New Roman"/>
          <w:sz w:val="24"/>
          <w:szCs w:val="24"/>
          <w:lang w:eastAsia="en-AU"/>
        </w:rPr>
        <w:t xml:space="preserve"> documents to an arbitral</w:t>
      </w:r>
      <w:r w:rsidR="0087312F" w:rsidRPr="009F46D4">
        <w:rPr>
          <w:rFonts w:ascii="Times New Roman" w:hAnsi="Times New Roman"/>
          <w:sz w:val="24"/>
          <w:szCs w:val="24"/>
          <w:lang w:eastAsia="en-AU"/>
        </w:rPr>
        <w:t xml:space="preserve"> tribunal</w:t>
      </w:r>
      <w:r w:rsidR="00BD5972" w:rsidRPr="009F46D4">
        <w:rPr>
          <w:rFonts w:ascii="Times New Roman" w:hAnsi="Times New Roman"/>
          <w:sz w:val="24"/>
          <w:szCs w:val="24"/>
          <w:lang w:eastAsia="en-AU"/>
        </w:rPr>
        <w:t>.  In Australia, as in New Zealand, applications of this kind may only be made with the permission of the arbitral tribunal.</w:t>
      </w:r>
      <w:r w:rsidR="00BD5972" w:rsidRPr="009F46D4">
        <w:rPr>
          <w:rStyle w:val="FootnoteReference"/>
          <w:rFonts w:ascii="Times New Roman" w:hAnsi="Times New Roman"/>
          <w:sz w:val="24"/>
          <w:szCs w:val="24"/>
          <w:lang w:eastAsia="en-AU"/>
        </w:rPr>
        <w:footnoteReference w:id="36"/>
      </w:r>
      <w:r w:rsidR="00BD5972" w:rsidRPr="009F46D4">
        <w:rPr>
          <w:rFonts w:ascii="Times New Roman" w:hAnsi="Times New Roman"/>
          <w:sz w:val="24"/>
          <w:szCs w:val="24"/>
          <w:lang w:eastAsia="en-AU"/>
        </w:rPr>
        <w:t xml:space="preserve">  </w:t>
      </w:r>
    </w:p>
    <w:p w14:paraId="2ED893A2" w14:textId="4E141D6F" w:rsidR="00BD5972" w:rsidRPr="009F46D4" w:rsidRDefault="00BD5972" w:rsidP="00BD5972">
      <w:pPr>
        <w:spacing w:line="360" w:lineRule="auto"/>
        <w:jc w:val="both"/>
        <w:rPr>
          <w:rFonts w:ascii="Times New Roman" w:hAnsi="Times New Roman"/>
          <w:sz w:val="24"/>
          <w:szCs w:val="24"/>
        </w:rPr>
      </w:pPr>
      <w:r w:rsidRPr="009F46D4">
        <w:rPr>
          <w:rFonts w:ascii="Times New Roman" w:hAnsi="Times New Roman"/>
          <w:sz w:val="24"/>
          <w:szCs w:val="24"/>
        </w:rPr>
        <w:t>In</w:t>
      </w:r>
      <w:r w:rsidR="00B43A29" w:rsidRPr="009F46D4">
        <w:rPr>
          <w:rFonts w:ascii="Times New Roman" w:hAnsi="Times New Roman"/>
          <w:sz w:val="24"/>
          <w:szCs w:val="24"/>
        </w:rPr>
        <w:t xml:space="preserve"> another matter heard in the Arbitration List in 2015—</w:t>
      </w:r>
      <w:r w:rsidRPr="009F46D4">
        <w:rPr>
          <w:rFonts w:ascii="Times New Roman" w:hAnsi="Times New Roman"/>
          <w:i/>
          <w:sz w:val="24"/>
          <w:szCs w:val="24"/>
        </w:rPr>
        <w:t>Esposito Holdings Pty Ltd v UDP Holdings Pty Ltd</w:t>
      </w:r>
      <w:r w:rsidR="00B43A29" w:rsidRPr="009F46D4">
        <w:rPr>
          <w:rFonts w:ascii="Times New Roman" w:hAnsi="Times New Roman"/>
          <w:sz w:val="24"/>
          <w:szCs w:val="24"/>
        </w:rPr>
        <w:t>—</w:t>
      </w:r>
      <w:r w:rsidRPr="009F46D4">
        <w:rPr>
          <w:rFonts w:ascii="Times New Roman" w:hAnsi="Times New Roman"/>
          <w:sz w:val="24"/>
          <w:szCs w:val="24"/>
        </w:rPr>
        <w:t xml:space="preserve">Esposito applied for the issue of subpoenas to a number of corporate entities </w:t>
      </w:r>
      <w:r w:rsidRPr="009F46D4">
        <w:rPr>
          <w:rFonts w:ascii="Times New Roman" w:hAnsi="Times New Roman"/>
          <w:sz w:val="24"/>
          <w:szCs w:val="24"/>
        </w:rPr>
        <w:lastRenderedPageBreak/>
        <w:t>in relation to a domestic arbitration.</w:t>
      </w:r>
      <w:r w:rsidRPr="009F46D4">
        <w:rPr>
          <w:rStyle w:val="FootnoteReference"/>
          <w:rFonts w:ascii="Times New Roman" w:hAnsi="Times New Roman"/>
          <w:sz w:val="24"/>
          <w:szCs w:val="24"/>
        </w:rPr>
        <w:footnoteReference w:id="37"/>
      </w:r>
      <w:r w:rsidRPr="009F46D4">
        <w:rPr>
          <w:rFonts w:ascii="Times New Roman" w:hAnsi="Times New Roman"/>
          <w:sz w:val="24"/>
          <w:szCs w:val="24"/>
        </w:rPr>
        <w:t xml:space="preserve">  Before setting out the applicable principles, I reiterated </w:t>
      </w:r>
      <w:r w:rsidR="00B43A29" w:rsidRPr="009F46D4">
        <w:rPr>
          <w:rFonts w:ascii="Times New Roman" w:hAnsi="Times New Roman"/>
          <w:sz w:val="24"/>
          <w:szCs w:val="24"/>
        </w:rPr>
        <w:t>the</w:t>
      </w:r>
      <w:r w:rsidRPr="009F46D4">
        <w:rPr>
          <w:rFonts w:ascii="Times New Roman" w:hAnsi="Times New Roman"/>
          <w:sz w:val="24"/>
          <w:szCs w:val="24"/>
        </w:rPr>
        <w:t xml:space="preserve"> view</w:t>
      </w:r>
      <w:r w:rsidR="00B43A29" w:rsidRPr="009F46D4">
        <w:rPr>
          <w:rFonts w:ascii="Times New Roman" w:hAnsi="Times New Roman"/>
          <w:sz w:val="24"/>
          <w:szCs w:val="24"/>
        </w:rPr>
        <w:t xml:space="preserve"> that I had</w:t>
      </w:r>
      <w:r w:rsidRPr="009F46D4">
        <w:rPr>
          <w:rFonts w:ascii="Times New Roman" w:hAnsi="Times New Roman"/>
          <w:sz w:val="24"/>
          <w:szCs w:val="24"/>
        </w:rPr>
        <w:t xml:space="preserve"> expressed in the </w:t>
      </w:r>
      <w:r w:rsidRPr="009F46D4">
        <w:rPr>
          <w:rFonts w:ascii="Times New Roman" w:hAnsi="Times New Roman"/>
          <w:i/>
          <w:sz w:val="24"/>
          <w:szCs w:val="24"/>
        </w:rPr>
        <w:t xml:space="preserve">ASADA </w:t>
      </w:r>
      <w:r w:rsidRPr="009F46D4">
        <w:rPr>
          <w:rFonts w:ascii="Times New Roman" w:hAnsi="Times New Roman"/>
          <w:sz w:val="24"/>
          <w:szCs w:val="24"/>
        </w:rPr>
        <w:t>case</w:t>
      </w:r>
      <w:r w:rsidR="00B43A29" w:rsidRPr="009F46D4">
        <w:rPr>
          <w:rFonts w:ascii="Times New Roman" w:hAnsi="Times New Roman"/>
          <w:sz w:val="24"/>
          <w:szCs w:val="24"/>
        </w:rPr>
        <w:t>,</w:t>
      </w:r>
      <w:r w:rsidR="008D6267" w:rsidRPr="009F46D4">
        <w:rPr>
          <w:rStyle w:val="FootnoteReference"/>
          <w:rFonts w:ascii="Times New Roman" w:hAnsi="Times New Roman"/>
          <w:sz w:val="24"/>
          <w:szCs w:val="24"/>
        </w:rPr>
        <w:footnoteReference w:id="38"/>
      </w:r>
      <w:r w:rsidR="00B43A29" w:rsidRPr="009F46D4">
        <w:rPr>
          <w:rFonts w:ascii="Times New Roman" w:hAnsi="Times New Roman"/>
          <w:sz w:val="24"/>
          <w:szCs w:val="24"/>
        </w:rPr>
        <w:t xml:space="preserve"> namely</w:t>
      </w:r>
      <w:r w:rsidRPr="009F46D4">
        <w:rPr>
          <w:rFonts w:ascii="Times New Roman" w:hAnsi="Times New Roman"/>
          <w:sz w:val="24"/>
          <w:szCs w:val="24"/>
        </w:rPr>
        <w:t xml:space="preserve"> that it is—</w:t>
      </w:r>
      <w:r w:rsidRPr="009F46D4">
        <w:rPr>
          <w:rStyle w:val="FootnoteReference"/>
          <w:rFonts w:ascii="Times New Roman" w:hAnsi="Times New Roman"/>
          <w:sz w:val="24"/>
          <w:szCs w:val="24"/>
        </w:rPr>
        <w:footnoteReference w:id="39"/>
      </w:r>
    </w:p>
    <w:p w14:paraId="45A47628" w14:textId="77777777" w:rsidR="00BD5972" w:rsidRPr="009F46D4" w:rsidRDefault="00BD5972" w:rsidP="00BD5972">
      <w:pPr>
        <w:pStyle w:val="Quote1"/>
        <w:spacing w:line="240" w:lineRule="auto"/>
        <w:ind w:left="720"/>
        <w:rPr>
          <w:rFonts w:ascii="Times New Roman" w:hAnsi="Times New Roman"/>
          <w:sz w:val="24"/>
          <w:szCs w:val="24"/>
        </w:rPr>
      </w:pPr>
      <w:r w:rsidRPr="009F46D4">
        <w:rPr>
          <w:rFonts w:ascii="Times New Roman" w:hAnsi="Times New Roman"/>
          <w:sz w:val="24"/>
          <w:szCs w:val="24"/>
        </w:rPr>
        <w:t>clearly inappropriate for the Court, in an application … by a party to obtain subpoenas, to embark upon a process which would, in effect, “second guess” the arbitral tribunal which has already given permission for the application to obtain a subpoena …</w:t>
      </w:r>
    </w:p>
    <w:p w14:paraId="5155C13C" w14:textId="790A4589" w:rsidR="00BD5972" w:rsidRPr="009F46D4" w:rsidRDefault="00BD5972" w:rsidP="00BD5972">
      <w:pPr>
        <w:spacing w:line="360" w:lineRule="auto"/>
        <w:jc w:val="both"/>
        <w:rPr>
          <w:rFonts w:ascii="Times New Roman" w:hAnsi="Times New Roman"/>
          <w:sz w:val="24"/>
          <w:szCs w:val="24"/>
        </w:rPr>
      </w:pPr>
      <w:r w:rsidRPr="009F46D4">
        <w:rPr>
          <w:rFonts w:ascii="Times New Roman" w:hAnsi="Times New Roman"/>
          <w:sz w:val="24"/>
          <w:szCs w:val="24"/>
        </w:rPr>
        <w:t>In ordering that the proposed subpoenas be issued</w:t>
      </w:r>
      <w:r w:rsidR="00DC2FA7" w:rsidRPr="009F46D4">
        <w:rPr>
          <w:rFonts w:ascii="Times New Roman" w:hAnsi="Times New Roman"/>
          <w:sz w:val="24"/>
          <w:szCs w:val="24"/>
        </w:rPr>
        <w:t xml:space="preserve"> in the </w:t>
      </w:r>
      <w:r w:rsidR="00DC2FA7" w:rsidRPr="009F46D4">
        <w:rPr>
          <w:rFonts w:ascii="Times New Roman" w:hAnsi="Times New Roman"/>
          <w:i/>
          <w:sz w:val="24"/>
          <w:szCs w:val="24"/>
        </w:rPr>
        <w:t xml:space="preserve">Esposito </w:t>
      </w:r>
      <w:r w:rsidR="00DC2FA7" w:rsidRPr="009F46D4">
        <w:rPr>
          <w:rFonts w:ascii="Times New Roman" w:hAnsi="Times New Roman"/>
          <w:sz w:val="24"/>
          <w:szCs w:val="24"/>
        </w:rPr>
        <w:t>case</w:t>
      </w:r>
      <w:r w:rsidRPr="009F46D4">
        <w:rPr>
          <w:rFonts w:ascii="Times New Roman" w:hAnsi="Times New Roman"/>
          <w:sz w:val="24"/>
          <w:szCs w:val="24"/>
        </w:rPr>
        <w:t>, I noted that the principles applicable to the question of whether an arbitral tribunal should grant permiss</w:t>
      </w:r>
      <w:r w:rsidR="000224F9" w:rsidRPr="009F46D4">
        <w:rPr>
          <w:rFonts w:ascii="Times New Roman" w:hAnsi="Times New Roman"/>
          <w:sz w:val="24"/>
          <w:szCs w:val="24"/>
        </w:rPr>
        <w:t>ion to a party to apply to the c</w:t>
      </w:r>
      <w:r w:rsidRPr="009F46D4">
        <w:rPr>
          <w:rFonts w:ascii="Times New Roman" w:hAnsi="Times New Roman"/>
          <w:sz w:val="24"/>
          <w:szCs w:val="24"/>
        </w:rPr>
        <w:t>ourt</w:t>
      </w:r>
      <w:r w:rsidR="000224F9" w:rsidRPr="009F46D4">
        <w:rPr>
          <w:rFonts w:ascii="Times New Roman" w:hAnsi="Times New Roman"/>
          <w:sz w:val="24"/>
          <w:szCs w:val="24"/>
        </w:rPr>
        <w:t>s</w:t>
      </w:r>
      <w:r w:rsidRPr="009F46D4">
        <w:rPr>
          <w:rFonts w:ascii="Times New Roman" w:hAnsi="Times New Roman"/>
          <w:sz w:val="24"/>
          <w:szCs w:val="24"/>
        </w:rPr>
        <w:t xml:space="preserve"> for the issue of a subpoena are not necessarily the sa</w:t>
      </w:r>
      <w:r w:rsidR="000224F9" w:rsidRPr="009F46D4">
        <w:rPr>
          <w:rFonts w:ascii="Times New Roman" w:hAnsi="Times New Roman"/>
          <w:sz w:val="24"/>
          <w:szCs w:val="24"/>
        </w:rPr>
        <w:t>me as the principles which the c</w:t>
      </w:r>
      <w:r w:rsidRPr="009F46D4">
        <w:rPr>
          <w:rFonts w:ascii="Times New Roman" w:hAnsi="Times New Roman"/>
          <w:sz w:val="24"/>
          <w:szCs w:val="24"/>
        </w:rPr>
        <w:t>ourt</w:t>
      </w:r>
      <w:r w:rsidR="000224F9" w:rsidRPr="009F46D4">
        <w:rPr>
          <w:rFonts w:ascii="Times New Roman" w:hAnsi="Times New Roman"/>
          <w:sz w:val="24"/>
          <w:szCs w:val="24"/>
        </w:rPr>
        <w:t>s apply</w:t>
      </w:r>
      <w:r w:rsidRPr="009F46D4">
        <w:rPr>
          <w:rFonts w:ascii="Times New Roman" w:hAnsi="Times New Roman"/>
          <w:sz w:val="24"/>
          <w:szCs w:val="24"/>
        </w:rPr>
        <w:t xml:space="preserve"> in deciding whether to issue a subpoena.  Nevertheless, I remarked that there is “every reason why an arbitral tribunal should not grant permission in circumstances where it is reasonably clear that the court will … not issue the subpoena.”</w:t>
      </w:r>
      <w:r w:rsidRPr="009F46D4">
        <w:rPr>
          <w:rStyle w:val="FootnoteReference"/>
          <w:rFonts w:ascii="Times New Roman" w:hAnsi="Times New Roman"/>
          <w:sz w:val="24"/>
          <w:szCs w:val="24"/>
        </w:rPr>
        <w:footnoteReference w:id="40"/>
      </w:r>
    </w:p>
    <w:p w14:paraId="573BF84E" w14:textId="1A6F3D0D" w:rsidR="00BB12ED" w:rsidRPr="009F46D4" w:rsidRDefault="00BD5972" w:rsidP="006F5CF0">
      <w:pPr>
        <w:spacing w:line="360" w:lineRule="auto"/>
        <w:jc w:val="both"/>
        <w:rPr>
          <w:rFonts w:ascii="Times New Roman" w:hAnsi="Times New Roman"/>
          <w:sz w:val="24"/>
          <w:szCs w:val="24"/>
          <w:lang w:eastAsia="en-AU"/>
        </w:rPr>
      </w:pPr>
      <w:r w:rsidRPr="009F46D4">
        <w:rPr>
          <w:rFonts w:ascii="Times New Roman" w:hAnsi="Times New Roman"/>
          <w:sz w:val="24"/>
          <w:szCs w:val="24"/>
        </w:rPr>
        <w:t>In relation to the court’s role in this kind of application, practitioners and counsel ought be reminded that courts are not a mere rubber stamp on the determination of an arbitral tribunal to permit a</w:t>
      </w:r>
      <w:r w:rsidR="00DC2FA7" w:rsidRPr="009F46D4">
        <w:rPr>
          <w:rFonts w:ascii="Times New Roman" w:hAnsi="Times New Roman"/>
          <w:sz w:val="24"/>
          <w:szCs w:val="24"/>
        </w:rPr>
        <w:t xml:space="preserve"> party to apply to the court.  Under the Australian regime, c</w:t>
      </w:r>
      <w:r w:rsidRPr="009F46D4">
        <w:rPr>
          <w:rFonts w:ascii="Times New Roman" w:hAnsi="Times New Roman"/>
          <w:sz w:val="24"/>
          <w:szCs w:val="24"/>
        </w:rPr>
        <w:t xml:space="preserve">ourts retain a discretion whether to issue the subpoena and it is for the court, not the arbitral tribunal, to determine whether the coercive powers of the state to compel a person to do something should be exercised.  This gives rise to a relatively delicate balancing act whereby the court must exercise its discretion without “second guessing” the tribunal’s decision to allow the application to be made, or otherwise interfering with the substantive or procedural issues in the arbitration, or otherwise </w:t>
      </w:r>
      <w:r w:rsidR="00DC2FA7" w:rsidRPr="009F46D4">
        <w:rPr>
          <w:rFonts w:ascii="Times New Roman" w:hAnsi="Times New Roman"/>
          <w:sz w:val="24"/>
          <w:szCs w:val="24"/>
        </w:rPr>
        <w:t>succumbing to the temptation of</w:t>
      </w:r>
      <w:r w:rsidRPr="009F46D4">
        <w:rPr>
          <w:rFonts w:ascii="Times New Roman" w:hAnsi="Times New Roman"/>
          <w:sz w:val="24"/>
          <w:szCs w:val="24"/>
        </w:rPr>
        <w:t xml:space="preserve"> domesticity.  In light of this, it was particularly helpful in the </w:t>
      </w:r>
      <w:r w:rsidRPr="009F46D4">
        <w:rPr>
          <w:rFonts w:ascii="Times New Roman" w:hAnsi="Times New Roman"/>
          <w:i/>
          <w:sz w:val="24"/>
          <w:szCs w:val="24"/>
        </w:rPr>
        <w:t xml:space="preserve">Esposito </w:t>
      </w:r>
      <w:r w:rsidRPr="009F46D4">
        <w:rPr>
          <w:rFonts w:ascii="Times New Roman" w:hAnsi="Times New Roman"/>
          <w:sz w:val="24"/>
          <w:szCs w:val="24"/>
        </w:rPr>
        <w:t>case that the tribunal had furnished detailed reasons for its decision to permit the application</w:t>
      </w:r>
      <w:r w:rsidR="00EF79CC" w:rsidRPr="009F46D4">
        <w:rPr>
          <w:rFonts w:ascii="Times New Roman" w:hAnsi="Times New Roman"/>
          <w:sz w:val="24"/>
          <w:szCs w:val="24"/>
        </w:rPr>
        <w:t xml:space="preserve"> for the issue of subpoenas</w:t>
      </w:r>
      <w:r w:rsidRPr="009F46D4">
        <w:rPr>
          <w:rFonts w:ascii="Times New Roman" w:hAnsi="Times New Roman"/>
          <w:sz w:val="24"/>
          <w:szCs w:val="24"/>
        </w:rPr>
        <w:t xml:space="preserve"> to be made to the court.  As su</w:t>
      </w:r>
      <w:r w:rsidR="008960D3" w:rsidRPr="009F46D4">
        <w:rPr>
          <w:rFonts w:ascii="Times New Roman" w:hAnsi="Times New Roman"/>
          <w:sz w:val="24"/>
          <w:szCs w:val="24"/>
        </w:rPr>
        <w:t>ch, I was able to see that the t</w:t>
      </w:r>
      <w:r w:rsidRPr="009F46D4">
        <w:rPr>
          <w:rFonts w:ascii="Times New Roman" w:hAnsi="Times New Roman"/>
          <w:sz w:val="24"/>
          <w:szCs w:val="24"/>
        </w:rPr>
        <w:t>ribunal appeared to have accorded procedural fairness to the parties and that the principles applicable to the issue of subpoenas had been considered and applied.</w:t>
      </w:r>
    </w:p>
    <w:p w14:paraId="21911753" w14:textId="1B297F5E" w:rsidR="00BB12ED" w:rsidRPr="009F46D4" w:rsidRDefault="00BB12ED" w:rsidP="00BB12ED">
      <w:pPr>
        <w:pStyle w:val="Heading1"/>
        <w:numPr>
          <w:ilvl w:val="0"/>
          <w:numId w:val="12"/>
        </w:numPr>
        <w:tabs>
          <w:tab w:val="clear" w:pos="8280"/>
        </w:tabs>
        <w:ind w:hanging="720"/>
        <w:rPr>
          <w:sz w:val="28"/>
          <w:szCs w:val="28"/>
        </w:rPr>
      </w:pPr>
      <w:r w:rsidRPr="009F46D4">
        <w:rPr>
          <w:sz w:val="28"/>
          <w:szCs w:val="28"/>
        </w:rPr>
        <w:t xml:space="preserve">The </w:t>
      </w:r>
      <w:proofErr w:type="spellStart"/>
      <w:r w:rsidRPr="009F46D4">
        <w:rPr>
          <w:sz w:val="28"/>
          <w:szCs w:val="28"/>
        </w:rPr>
        <w:t>Gutnick</w:t>
      </w:r>
      <w:proofErr w:type="spellEnd"/>
      <w:r w:rsidRPr="009F46D4">
        <w:rPr>
          <w:sz w:val="28"/>
          <w:szCs w:val="28"/>
        </w:rPr>
        <w:t xml:space="preserve"> Case</w:t>
      </w:r>
    </w:p>
    <w:p w14:paraId="33EEA78C" w14:textId="648EFA6D" w:rsidR="000F469A" w:rsidRPr="009F46D4" w:rsidRDefault="00EB300C" w:rsidP="00EB300C">
      <w:pPr>
        <w:spacing w:line="360" w:lineRule="auto"/>
        <w:jc w:val="both"/>
        <w:rPr>
          <w:rFonts w:ascii="Times New Roman" w:hAnsi="Times New Roman"/>
          <w:sz w:val="24"/>
          <w:szCs w:val="24"/>
        </w:rPr>
      </w:pPr>
      <w:r w:rsidRPr="009F46D4">
        <w:rPr>
          <w:rFonts w:ascii="Times New Roman" w:hAnsi="Times New Roman"/>
          <w:sz w:val="24"/>
          <w:szCs w:val="24"/>
        </w:rPr>
        <w:lastRenderedPageBreak/>
        <w:t>Finally, I turn to a</w:t>
      </w:r>
      <w:r w:rsidR="009321F0" w:rsidRPr="009F46D4">
        <w:rPr>
          <w:rFonts w:ascii="Times New Roman" w:hAnsi="Times New Roman"/>
          <w:sz w:val="24"/>
          <w:szCs w:val="24"/>
        </w:rPr>
        <w:t xml:space="preserve">nother high-profile case </w:t>
      </w:r>
      <w:r w:rsidRPr="009F46D4">
        <w:rPr>
          <w:rFonts w:ascii="Times New Roman" w:hAnsi="Times New Roman"/>
          <w:sz w:val="24"/>
          <w:szCs w:val="24"/>
        </w:rPr>
        <w:t xml:space="preserve">heard in the Arbitration List late last year—an appeal from which was heard and determined by the Court of Appeal less than a month ago—the </w:t>
      </w:r>
      <w:proofErr w:type="spellStart"/>
      <w:r w:rsidRPr="009F46D4">
        <w:rPr>
          <w:rFonts w:ascii="Times New Roman" w:hAnsi="Times New Roman"/>
          <w:i/>
          <w:sz w:val="24"/>
          <w:szCs w:val="24"/>
        </w:rPr>
        <w:t>Gutnick</w:t>
      </w:r>
      <w:proofErr w:type="spellEnd"/>
      <w:r w:rsidRPr="009F46D4">
        <w:rPr>
          <w:rFonts w:ascii="Times New Roman" w:hAnsi="Times New Roman"/>
          <w:sz w:val="24"/>
          <w:szCs w:val="24"/>
        </w:rPr>
        <w:t xml:space="preserve"> case.</w:t>
      </w:r>
      <w:r w:rsidRPr="009F46D4">
        <w:rPr>
          <w:rStyle w:val="FootnoteReference"/>
          <w:rFonts w:ascii="Times New Roman" w:hAnsi="Times New Roman"/>
          <w:sz w:val="24"/>
          <w:szCs w:val="24"/>
        </w:rPr>
        <w:footnoteReference w:id="41"/>
      </w:r>
      <w:r w:rsidR="00BD0796" w:rsidRPr="009F46D4">
        <w:rPr>
          <w:rFonts w:ascii="Times New Roman" w:hAnsi="Times New Roman"/>
          <w:sz w:val="24"/>
          <w:szCs w:val="24"/>
        </w:rPr>
        <w:t xml:space="preserve">  </w:t>
      </w:r>
      <w:r w:rsidR="00297B2B" w:rsidRPr="009F46D4">
        <w:rPr>
          <w:rFonts w:ascii="Times New Roman" w:hAnsi="Times New Roman"/>
          <w:sz w:val="24"/>
          <w:szCs w:val="24"/>
        </w:rPr>
        <w:t xml:space="preserve">This case raised </w:t>
      </w:r>
      <w:r w:rsidR="009321F0" w:rsidRPr="009F46D4">
        <w:rPr>
          <w:rFonts w:ascii="Times New Roman" w:hAnsi="Times New Roman"/>
          <w:sz w:val="24"/>
          <w:szCs w:val="24"/>
        </w:rPr>
        <w:t xml:space="preserve">some </w:t>
      </w:r>
      <w:r w:rsidR="00297B2B" w:rsidRPr="009F46D4">
        <w:rPr>
          <w:rFonts w:ascii="Times New Roman" w:hAnsi="Times New Roman"/>
          <w:sz w:val="24"/>
          <w:szCs w:val="24"/>
        </w:rPr>
        <w:t xml:space="preserve">particularly interesting issues </w:t>
      </w:r>
      <w:r w:rsidR="009321F0" w:rsidRPr="009F46D4">
        <w:rPr>
          <w:rFonts w:ascii="Times New Roman" w:hAnsi="Times New Roman"/>
          <w:sz w:val="24"/>
          <w:szCs w:val="24"/>
        </w:rPr>
        <w:t>relevant to</w:t>
      </w:r>
      <w:r w:rsidR="00297B2B" w:rsidRPr="009F46D4">
        <w:rPr>
          <w:rFonts w:ascii="Times New Roman" w:hAnsi="Times New Roman"/>
          <w:sz w:val="24"/>
          <w:szCs w:val="24"/>
        </w:rPr>
        <w:t xml:space="preserve"> </w:t>
      </w:r>
      <w:r w:rsidR="009321F0" w:rsidRPr="009F46D4">
        <w:rPr>
          <w:rFonts w:ascii="Times New Roman" w:hAnsi="Times New Roman"/>
          <w:sz w:val="24"/>
          <w:szCs w:val="24"/>
        </w:rPr>
        <w:t>my paper this morning</w:t>
      </w:r>
      <w:r w:rsidR="009B3CE9" w:rsidRPr="009F46D4">
        <w:rPr>
          <w:rFonts w:ascii="Times New Roman" w:hAnsi="Times New Roman"/>
          <w:sz w:val="24"/>
          <w:szCs w:val="24"/>
        </w:rPr>
        <w:t>—issues which necessitated</w:t>
      </w:r>
      <w:r w:rsidR="00297B2B" w:rsidRPr="009F46D4">
        <w:rPr>
          <w:rFonts w:ascii="Times New Roman" w:hAnsi="Times New Roman"/>
          <w:sz w:val="24"/>
          <w:szCs w:val="24"/>
        </w:rPr>
        <w:t xml:space="preserve"> extended discussion in the judgment of the proper </w:t>
      </w:r>
      <w:r w:rsidR="009B3CE9" w:rsidRPr="009F46D4">
        <w:rPr>
          <w:rFonts w:ascii="Times New Roman" w:hAnsi="Times New Roman"/>
          <w:sz w:val="24"/>
          <w:szCs w:val="24"/>
        </w:rPr>
        <w:t xml:space="preserve">judicial </w:t>
      </w:r>
      <w:r w:rsidR="00297B2B" w:rsidRPr="009F46D4">
        <w:rPr>
          <w:rFonts w:ascii="Times New Roman" w:hAnsi="Times New Roman"/>
          <w:sz w:val="24"/>
          <w:szCs w:val="24"/>
        </w:rPr>
        <w:t xml:space="preserve">approach </w:t>
      </w:r>
      <w:r w:rsidR="009B3CE9" w:rsidRPr="009F46D4">
        <w:rPr>
          <w:rFonts w:ascii="Times New Roman" w:hAnsi="Times New Roman"/>
          <w:sz w:val="24"/>
          <w:szCs w:val="24"/>
        </w:rPr>
        <w:t>to be taken</w:t>
      </w:r>
      <w:r w:rsidR="00297B2B" w:rsidRPr="009F46D4">
        <w:rPr>
          <w:rFonts w:ascii="Times New Roman" w:hAnsi="Times New Roman"/>
          <w:sz w:val="24"/>
          <w:szCs w:val="24"/>
        </w:rPr>
        <w:t xml:space="preserve">.  </w:t>
      </w:r>
    </w:p>
    <w:p w14:paraId="4A08680B" w14:textId="6FDD6E91" w:rsidR="006C05DE" w:rsidRPr="009F46D4" w:rsidRDefault="009B3CE9" w:rsidP="00EB300C">
      <w:pPr>
        <w:spacing w:line="360" w:lineRule="auto"/>
        <w:jc w:val="both"/>
        <w:rPr>
          <w:rFonts w:ascii="Times New Roman" w:hAnsi="Times New Roman"/>
          <w:sz w:val="24"/>
          <w:szCs w:val="24"/>
        </w:rPr>
      </w:pPr>
      <w:r w:rsidRPr="009F46D4">
        <w:rPr>
          <w:rFonts w:ascii="Times New Roman" w:hAnsi="Times New Roman"/>
          <w:sz w:val="24"/>
          <w:szCs w:val="24"/>
        </w:rPr>
        <w:t xml:space="preserve">By way of factual background, </w:t>
      </w:r>
      <w:r w:rsidR="0087143E" w:rsidRPr="009F46D4">
        <w:rPr>
          <w:rFonts w:ascii="Times New Roman" w:hAnsi="Times New Roman"/>
          <w:sz w:val="24"/>
          <w:szCs w:val="24"/>
        </w:rPr>
        <w:t>the a</w:t>
      </w:r>
      <w:r w:rsidR="000F469A" w:rsidRPr="009F46D4">
        <w:rPr>
          <w:rFonts w:ascii="Times New Roman" w:hAnsi="Times New Roman"/>
          <w:sz w:val="24"/>
          <w:szCs w:val="24"/>
        </w:rPr>
        <w:t xml:space="preserve">pplicants—Indian Farmers Fertiliser Cooperative Ltd, or </w:t>
      </w:r>
      <w:proofErr w:type="spellStart"/>
      <w:r w:rsidR="000F469A" w:rsidRPr="009F46D4">
        <w:rPr>
          <w:rFonts w:ascii="Times New Roman" w:hAnsi="Times New Roman"/>
          <w:sz w:val="24"/>
          <w:szCs w:val="24"/>
        </w:rPr>
        <w:t>IFFCo</w:t>
      </w:r>
      <w:proofErr w:type="spellEnd"/>
      <w:r w:rsidR="000F469A" w:rsidRPr="009F46D4">
        <w:rPr>
          <w:rFonts w:ascii="Times New Roman" w:hAnsi="Times New Roman"/>
          <w:sz w:val="24"/>
          <w:szCs w:val="24"/>
        </w:rPr>
        <w:t xml:space="preserve">, and its subsidiary, </w:t>
      </w:r>
      <w:proofErr w:type="spellStart"/>
      <w:r w:rsidR="000F469A" w:rsidRPr="009F46D4">
        <w:rPr>
          <w:rFonts w:ascii="Times New Roman" w:hAnsi="Times New Roman"/>
          <w:sz w:val="24"/>
          <w:szCs w:val="24"/>
        </w:rPr>
        <w:t>Kisan</w:t>
      </w:r>
      <w:proofErr w:type="spellEnd"/>
      <w:r w:rsidR="000F469A" w:rsidRPr="009F46D4">
        <w:rPr>
          <w:rFonts w:ascii="Times New Roman" w:hAnsi="Times New Roman"/>
          <w:sz w:val="24"/>
          <w:szCs w:val="24"/>
        </w:rPr>
        <w:t xml:space="preserve"> International Trading</w:t>
      </w:r>
      <w:r w:rsidR="004D2249" w:rsidRPr="009F46D4">
        <w:rPr>
          <w:rFonts w:ascii="Times New Roman" w:hAnsi="Times New Roman"/>
          <w:sz w:val="24"/>
          <w:szCs w:val="24"/>
        </w:rPr>
        <w:t xml:space="preserve"> </w:t>
      </w:r>
      <w:proofErr w:type="spellStart"/>
      <w:r w:rsidR="004D2249" w:rsidRPr="009F46D4">
        <w:rPr>
          <w:rFonts w:ascii="Times New Roman" w:hAnsi="Times New Roman"/>
          <w:sz w:val="24"/>
          <w:szCs w:val="24"/>
        </w:rPr>
        <w:t>Fze</w:t>
      </w:r>
      <w:proofErr w:type="spellEnd"/>
      <w:r w:rsidR="000F469A" w:rsidRPr="009F46D4">
        <w:rPr>
          <w:rFonts w:ascii="Times New Roman" w:hAnsi="Times New Roman"/>
          <w:sz w:val="24"/>
          <w:szCs w:val="24"/>
        </w:rPr>
        <w:t>—</w:t>
      </w:r>
      <w:r w:rsidR="004D2249" w:rsidRPr="009F46D4">
        <w:rPr>
          <w:rFonts w:ascii="Times New Roman" w:hAnsi="Times New Roman"/>
          <w:sz w:val="24"/>
          <w:szCs w:val="24"/>
        </w:rPr>
        <w:t>sought enforcement in Australia of an arbitral award rendered under the SIAC R</w:t>
      </w:r>
      <w:r w:rsidR="0087143E" w:rsidRPr="009F46D4">
        <w:rPr>
          <w:rFonts w:ascii="Times New Roman" w:hAnsi="Times New Roman"/>
          <w:sz w:val="24"/>
          <w:szCs w:val="24"/>
        </w:rPr>
        <w:t>ules.</w:t>
      </w:r>
      <w:r w:rsidR="009E0E55" w:rsidRPr="009F46D4">
        <w:rPr>
          <w:rStyle w:val="FootnoteReference"/>
          <w:rFonts w:ascii="Times New Roman" w:hAnsi="Times New Roman"/>
          <w:sz w:val="24"/>
          <w:szCs w:val="24"/>
        </w:rPr>
        <w:footnoteReference w:id="42"/>
      </w:r>
      <w:r w:rsidR="0087143E" w:rsidRPr="009F46D4">
        <w:rPr>
          <w:rFonts w:ascii="Times New Roman" w:hAnsi="Times New Roman"/>
          <w:sz w:val="24"/>
          <w:szCs w:val="24"/>
        </w:rPr>
        <w:t xml:space="preserve">  In the arbitration, the r</w:t>
      </w:r>
      <w:r w:rsidR="004D2249" w:rsidRPr="009F46D4">
        <w:rPr>
          <w:rFonts w:ascii="Times New Roman" w:hAnsi="Times New Roman"/>
          <w:sz w:val="24"/>
          <w:szCs w:val="24"/>
        </w:rPr>
        <w:t xml:space="preserve">espondents, Joseph </w:t>
      </w:r>
      <w:proofErr w:type="spellStart"/>
      <w:r w:rsidR="004D2249" w:rsidRPr="009F46D4">
        <w:rPr>
          <w:rFonts w:ascii="Times New Roman" w:hAnsi="Times New Roman"/>
          <w:sz w:val="24"/>
          <w:szCs w:val="24"/>
        </w:rPr>
        <w:t>Gutnick</w:t>
      </w:r>
      <w:proofErr w:type="spellEnd"/>
      <w:r w:rsidR="00BA271B" w:rsidRPr="009F46D4">
        <w:rPr>
          <w:rFonts w:ascii="Times New Roman" w:hAnsi="Times New Roman"/>
          <w:sz w:val="24"/>
          <w:szCs w:val="24"/>
        </w:rPr>
        <w:t>,</w:t>
      </w:r>
      <w:r w:rsidR="004D2249" w:rsidRPr="009F46D4">
        <w:rPr>
          <w:rFonts w:ascii="Times New Roman" w:hAnsi="Times New Roman"/>
          <w:sz w:val="24"/>
          <w:szCs w:val="24"/>
        </w:rPr>
        <w:t xml:space="preserve"> and Legend International Holdings, </w:t>
      </w:r>
      <w:proofErr w:type="spellStart"/>
      <w:r w:rsidR="004D2249" w:rsidRPr="009F46D4">
        <w:rPr>
          <w:rFonts w:ascii="Times New Roman" w:hAnsi="Times New Roman"/>
          <w:sz w:val="24"/>
          <w:szCs w:val="24"/>
        </w:rPr>
        <w:t>Inc</w:t>
      </w:r>
      <w:proofErr w:type="spellEnd"/>
      <w:r w:rsidR="004D2249" w:rsidRPr="009F46D4">
        <w:rPr>
          <w:rFonts w:ascii="Times New Roman" w:hAnsi="Times New Roman"/>
          <w:sz w:val="24"/>
          <w:szCs w:val="24"/>
        </w:rPr>
        <w:t>, were found by a three member tribunal to have induced</w:t>
      </w:r>
      <w:r w:rsidR="00594E9F" w:rsidRPr="009F46D4">
        <w:rPr>
          <w:rFonts w:ascii="Times New Roman" w:hAnsi="Times New Roman"/>
          <w:sz w:val="24"/>
          <w:szCs w:val="24"/>
        </w:rPr>
        <w:t>,</w:t>
      </w:r>
      <w:r w:rsidR="004D2249" w:rsidRPr="009F46D4">
        <w:rPr>
          <w:rFonts w:ascii="Times New Roman" w:hAnsi="Times New Roman"/>
          <w:sz w:val="24"/>
          <w:szCs w:val="24"/>
        </w:rPr>
        <w:t xml:space="preserve"> by fraudulent misrepresentation</w:t>
      </w:r>
      <w:r w:rsidR="00645007" w:rsidRPr="009F46D4">
        <w:rPr>
          <w:rFonts w:ascii="Times New Roman" w:hAnsi="Times New Roman"/>
          <w:sz w:val="24"/>
          <w:szCs w:val="24"/>
        </w:rPr>
        <w:t>,</w:t>
      </w:r>
      <w:r w:rsidR="004D2249" w:rsidRPr="009F46D4">
        <w:rPr>
          <w:rFonts w:ascii="Times New Roman" w:hAnsi="Times New Roman"/>
          <w:sz w:val="24"/>
          <w:szCs w:val="24"/>
        </w:rPr>
        <w:t xml:space="preserve"> the purchase of certain shares in Legend.</w:t>
      </w:r>
      <w:r w:rsidR="006C05DE" w:rsidRPr="009F46D4">
        <w:rPr>
          <w:rFonts w:ascii="Times New Roman" w:hAnsi="Times New Roman"/>
          <w:sz w:val="24"/>
          <w:szCs w:val="24"/>
        </w:rPr>
        <w:t xml:space="preserve">  Amon</w:t>
      </w:r>
      <w:r w:rsidR="00EA7296" w:rsidRPr="009F46D4">
        <w:rPr>
          <w:rFonts w:ascii="Times New Roman" w:hAnsi="Times New Roman"/>
          <w:sz w:val="24"/>
          <w:szCs w:val="24"/>
        </w:rPr>
        <w:t xml:space="preserve">g other awards and orders, </w:t>
      </w:r>
      <w:r w:rsidR="00E112A8" w:rsidRPr="009F46D4">
        <w:rPr>
          <w:rFonts w:ascii="Times New Roman" w:hAnsi="Times New Roman"/>
          <w:sz w:val="24"/>
          <w:szCs w:val="24"/>
        </w:rPr>
        <w:t>the tribunal made</w:t>
      </w:r>
      <w:r w:rsidR="006C05DE" w:rsidRPr="009F46D4">
        <w:rPr>
          <w:rFonts w:ascii="Times New Roman" w:hAnsi="Times New Roman"/>
          <w:sz w:val="24"/>
          <w:szCs w:val="24"/>
        </w:rPr>
        <w:t xml:space="preserve"> a declaration that the relevant agre</w:t>
      </w:r>
      <w:r w:rsidR="00EA7296" w:rsidRPr="009F46D4">
        <w:rPr>
          <w:rFonts w:ascii="Times New Roman" w:hAnsi="Times New Roman"/>
          <w:sz w:val="24"/>
          <w:szCs w:val="24"/>
        </w:rPr>
        <w:t>ements “are rescinded”.  The t</w:t>
      </w:r>
      <w:r w:rsidR="006C05DE" w:rsidRPr="009F46D4">
        <w:rPr>
          <w:rFonts w:ascii="Times New Roman" w:hAnsi="Times New Roman"/>
          <w:sz w:val="24"/>
          <w:szCs w:val="24"/>
        </w:rPr>
        <w:t>ribunal als</w:t>
      </w:r>
      <w:r w:rsidR="00EA7296" w:rsidRPr="009F46D4">
        <w:rPr>
          <w:rFonts w:ascii="Times New Roman" w:hAnsi="Times New Roman"/>
          <w:sz w:val="24"/>
          <w:szCs w:val="24"/>
        </w:rPr>
        <w:t>o made express orders that the respondents pay the a</w:t>
      </w:r>
      <w:r w:rsidR="006C05DE" w:rsidRPr="009F46D4">
        <w:rPr>
          <w:rFonts w:ascii="Times New Roman" w:hAnsi="Times New Roman"/>
          <w:sz w:val="24"/>
          <w:szCs w:val="24"/>
        </w:rPr>
        <w:t>pplicants the purchase price of the shares with interest.  The ju</w:t>
      </w:r>
      <w:r w:rsidR="003B6C4A" w:rsidRPr="009F46D4">
        <w:rPr>
          <w:rFonts w:ascii="Times New Roman" w:hAnsi="Times New Roman"/>
          <w:sz w:val="24"/>
          <w:szCs w:val="24"/>
        </w:rPr>
        <w:t>ridic</w:t>
      </w:r>
      <w:r w:rsidR="006C05DE" w:rsidRPr="009F46D4">
        <w:rPr>
          <w:rFonts w:ascii="Times New Roman" w:hAnsi="Times New Roman"/>
          <w:sz w:val="24"/>
          <w:szCs w:val="24"/>
        </w:rPr>
        <w:t xml:space="preserve">al seat and venue of the arbitration was Singapore, and the governing law of the agreements was that of England—a </w:t>
      </w:r>
      <w:r w:rsidR="00B62931" w:rsidRPr="009F46D4">
        <w:rPr>
          <w:rFonts w:ascii="Times New Roman" w:hAnsi="Times New Roman"/>
          <w:sz w:val="24"/>
          <w:szCs w:val="24"/>
        </w:rPr>
        <w:t>position</w:t>
      </w:r>
      <w:r w:rsidR="00EA7296" w:rsidRPr="009F46D4">
        <w:rPr>
          <w:rFonts w:ascii="Times New Roman" w:hAnsi="Times New Roman"/>
          <w:sz w:val="24"/>
          <w:szCs w:val="24"/>
        </w:rPr>
        <w:t xml:space="preserve"> which gave rise to a somewhat u</w:t>
      </w:r>
      <w:r w:rsidR="0007199B" w:rsidRPr="009F46D4">
        <w:rPr>
          <w:rFonts w:ascii="Times New Roman" w:hAnsi="Times New Roman"/>
          <w:sz w:val="24"/>
          <w:szCs w:val="24"/>
        </w:rPr>
        <w:t>nu</w:t>
      </w:r>
      <w:r w:rsidR="00EA7296" w:rsidRPr="009F46D4">
        <w:rPr>
          <w:rFonts w:ascii="Times New Roman" w:hAnsi="Times New Roman"/>
          <w:sz w:val="24"/>
          <w:szCs w:val="24"/>
        </w:rPr>
        <w:t xml:space="preserve">sual state of affairs </w:t>
      </w:r>
      <w:r w:rsidR="006C05DE" w:rsidRPr="009F46D4">
        <w:rPr>
          <w:rFonts w:ascii="Times New Roman" w:hAnsi="Times New Roman"/>
          <w:sz w:val="24"/>
          <w:szCs w:val="24"/>
        </w:rPr>
        <w:t>to which I now turn.</w:t>
      </w:r>
    </w:p>
    <w:p w14:paraId="74C9C418" w14:textId="7DB26A09" w:rsidR="00B71533" w:rsidRPr="009F46D4" w:rsidRDefault="00EA7296" w:rsidP="00D9582E">
      <w:pPr>
        <w:spacing w:line="360" w:lineRule="auto"/>
        <w:jc w:val="both"/>
        <w:rPr>
          <w:rFonts w:ascii="Times New Roman" w:hAnsi="Times New Roman"/>
          <w:sz w:val="24"/>
          <w:szCs w:val="24"/>
        </w:rPr>
      </w:pPr>
      <w:r w:rsidRPr="009F46D4">
        <w:rPr>
          <w:rFonts w:ascii="Times New Roman" w:hAnsi="Times New Roman"/>
          <w:sz w:val="24"/>
          <w:szCs w:val="24"/>
        </w:rPr>
        <w:t>Before me, the r</w:t>
      </w:r>
      <w:r w:rsidR="006C05DE" w:rsidRPr="009F46D4">
        <w:rPr>
          <w:rFonts w:ascii="Times New Roman" w:hAnsi="Times New Roman"/>
          <w:sz w:val="24"/>
          <w:szCs w:val="24"/>
        </w:rPr>
        <w:t xml:space="preserve">espondents sought to resist enforcement </w:t>
      </w:r>
      <w:r w:rsidRPr="009F46D4">
        <w:rPr>
          <w:rFonts w:ascii="Times New Roman" w:hAnsi="Times New Roman"/>
          <w:sz w:val="24"/>
          <w:szCs w:val="24"/>
        </w:rPr>
        <w:t xml:space="preserve">of the award </w:t>
      </w:r>
      <w:r w:rsidR="006C05DE" w:rsidRPr="009F46D4">
        <w:rPr>
          <w:rFonts w:ascii="Times New Roman" w:hAnsi="Times New Roman"/>
          <w:sz w:val="24"/>
          <w:szCs w:val="24"/>
        </w:rPr>
        <w:t>on public poli</w:t>
      </w:r>
      <w:r w:rsidRPr="009F46D4">
        <w:rPr>
          <w:rFonts w:ascii="Times New Roman" w:hAnsi="Times New Roman"/>
          <w:sz w:val="24"/>
          <w:szCs w:val="24"/>
        </w:rPr>
        <w:t>cy grounds.  Specifically, the r</w:t>
      </w:r>
      <w:r w:rsidR="006C05DE" w:rsidRPr="009F46D4">
        <w:rPr>
          <w:rFonts w:ascii="Times New Roman" w:hAnsi="Times New Roman"/>
          <w:sz w:val="24"/>
          <w:szCs w:val="24"/>
        </w:rPr>
        <w:t>espondents a</w:t>
      </w:r>
      <w:r w:rsidRPr="009F46D4">
        <w:rPr>
          <w:rFonts w:ascii="Times New Roman" w:hAnsi="Times New Roman"/>
          <w:sz w:val="24"/>
          <w:szCs w:val="24"/>
        </w:rPr>
        <w:t>rgued that the t</w:t>
      </w:r>
      <w:r w:rsidR="006C05DE" w:rsidRPr="009F46D4">
        <w:rPr>
          <w:rFonts w:ascii="Times New Roman" w:hAnsi="Times New Roman"/>
          <w:sz w:val="24"/>
          <w:szCs w:val="24"/>
        </w:rPr>
        <w:t xml:space="preserve">ribunal’s </w:t>
      </w:r>
      <w:r w:rsidRPr="009F46D4">
        <w:rPr>
          <w:rFonts w:ascii="Times New Roman" w:hAnsi="Times New Roman"/>
          <w:sz w:val="24"/>
          <w:szCs w:val="24"/>
        </w:rPr>
        <w:t>awards and orders entitled the a</w:t>
      </w:r>
      <w:r w:rsidR="006C05DE" w:rsidRPr="009F46D4">
        <w:rPr>
          <w:rFonts w:ascii="Times New Roman" w:hAnsi="Times New Roman"/>
          <w:sz w:val="24"/>
          <w:szCs w:val="24"/>
        </w:rPr>
        <w:t>pplica</w:t>
      </w:r>
      <w:r w:rsidRPr="009F46D4">
        <w:rPr>
          <w:rFonts w:ascii="Times New Roman" w:hAnsi="Times New Roman"/>
          <w:sz w:val="24"/>
          <w:szCs w:val="24"/>
        </w:rPr>
        <w:t>n</w:t>
      </w:r>
      <w:r w:rsidR="006C05DE" w:rsidRPr="009F46D4">
        <w:rPr>
          <w:rFonts w:ascii="Times New Roman" w:hAnsi="Times New Roman"/>
          <w:sz w:val="24"/>
          <w:szCs w:val="24"/>
        </w:rPr>
        <w:t>t</w:t>
      </w:r>
      <w:r w:rsidRPr="009F46D4">
        <w:rPr>
          <w:rFonts w:ascii="Times New Roman" w:hAnsi="Times New Roman"/>
          <w:sz w:val="24"/>
          <w:szCs w:val="24"/>
        </w:rPr>
        <w:t>s</w:t>
      </w:r>
      <w:r w:rsidR="006C05DE" w:rsidRPr="009F46D4">
        <w:rPr>
          <w:rFonts w:ascii="Times New Roman" w:hAnsi="Times New Roman"/>
          <w:sz w:val="24"/>
          <w:szCs w:val="24"/>
        </w:rPr>
        <w:t xml:space="preserve"> to have their money back and yet keep the shares.  As a conse</w:t>
      </w:r>
      <w:r w:rsidR="0055125A" w:rsidRPr="009F46D4">
        <w:rPr>
          <w:rFonts w:ascii="Times New Roman" w:hAnsi="Times New Roman"/>
          <w:sz w:val="24"/>
          <w:szCs w:val="24"/>
        </w:rPr>
        <w:t>quence, it was argued that the a</w:t>
      </w:r>
      <w:r w:rsidR="006C05DE" w:rsidRPr="009F46D4">
        <w:rPr>
          <w:rFonts w:ascii="Times New Roman" w:hAnsi="Times New Roman"/>
          <w:sz w:val="24"/>
          <w:szCs w:val="24"/>
        </w:rPr>
        <w:t xml:space="preserve">ward offended a “‘universal’ and ‘cardinal’ principle that a plaintiff is not to be compensated for more than their loss”, and therefore that enforcement would be </w:t>
      </w:r>
      <w:r w:rsidR="006A6F08" w:rsidRPr="009F46D4">
        <w:rPr>
          <w:rFonts w:ascii="Times New Roman" w:hAnsi="Times New Roman"/>
          <w:sz w:val="24"/>
          <w:szCs w:val="24"/>
        </w:rPr>
        <w:t>“</w:t>
      </w:r>
      <w:r w:rsidR="006C05DE" w:rsidRPr="009F46D4">
        <w:rPr>
          <w:rFonts w:ascii="Times New Roman" w:hAnsi="Times New Roman"/>
          <w:sz w:val="24"/>
          <w:szCs w:val="24"/>
        </w:rPr>
        <w:t>contrary to a universal bedrock principle of justice and mo</w:t>
      </w:r>
      <w:r w:rsidR="006A6F08" w:rsidRPr="009F46D4">
        <w:rPr>
          <w:rFonts w:ascii="Times New Roman" w:hAnsi="Times New Roman"/>
          <w:sz w:val="24"/>
          <w:szCs w:val="24"/>
        </w:rPr>
        <w:t>r</w:t>
      </w:r>
      <w:r w:rsidR="006C05DE" w:rsidRPr="009F46D4">
        <w:rPr>
          <w:rFonts w:ascii="Times New Roman" w:hAnsi="Times New Roman"/>
          <w:sz w:val="24"/>
          <w:szCs w:val="24"/>
        </w:rPr>
        <w:t>ality</w:t>
      </w:r>
      <w:r w:rsidR="001C1C56" w:rsidRPr="009F46D4">
        <w:rPr>
          <w:rFonts w:ascii="Times New Roman" w:hAnsi="Times New Roman"/>
          <w:sz w:val="24"/>
          <w:szCs w:val="24"/>
        </w:rPr>
        <w:t>.</w:t>
      </w:r>
      <w:r w:rsidR="006C05DE" w:rsidRPr="009F46D4">
        <w:rPr>
          <w:rFonts w:ascii="Times New Roman" w:hAnsi="Times New Roman"/>
          <w:sz w:val="24"/>
          <w:szCs w:val="24"/>
        </w:rPr>
        <w:t>”</w:t>
      </w:r>
      <w:r w:rsidR="006A6F08" w:rsidRPr="009F46D4">
        <w:rPr>
          <w:rStyle w:val="FootnoteReference"/>
          <w:rFonts w:ascii="Times New Roman" w:hAnsi="Times New Roman"/>
          <w:sz w:val="24"/>
          <w:szCs w:val="24"/>
        </w:rPr>
        <w:footnoteReference w:id="43"/>
      </w:r>
      <w:r w:rsidR="00434606" w:rsidRPr="009F46D4">
        <w:rPr>
          <w:rFonts w:ascii="Times New Roman" w:hAnsi="Times New Roman"/>
          <w:sz w:val="24"/>
          <w:szCs w:val="24"/>
        </w:rPr>
        <w:t xml:space="preserve">  In other words, it was argued that enforcement would be contrar</w:t>
      </w:r>
      <w:r w:rsidR="0055125A" w:rsidRPr="009F46D4">
        <w:rPr>
          <w:rFonts w:ascii="Times New Roman" w:hAnsi="Times New Roman"/>
          <w:sz w:val="24"/>
          <w:szCs w:val="24"/>
        </w:rPr>
        <w:t>y to public policy because the a</w:t>
      </w:r>
      <w:r w:rsidR="00434606" w:rsidRPr="009F46D4">
        <w:rPr>
          <w:rFonts w:ascii="Times New Roman" w:hAnsi="Times New Roman"/>
          <w:sz w:val="24"/>
          <w:szCs w:val="24"/>
        </w:rPr>
        <w:t>ward allowed for dou</w:t>
      </w:r>
      <w:r w:rsidR="0055125A" w:rsidRPr="009F46D4">
        <w:rPr>
          <w:rFonts w:ascii="Times New Roman" w:hAnsi="Times New Roman"/>
          <w:sz w:val="24"/>
          <w:szCs w:val="24"/>
        </w:rPr>
        <w:t>ble recovery by the a</w:t>
      </w:r>
      <w:r w:rsidR="00434606" w:rsidRPr="009F46D4">
        <w:rPr>
          <w:rFonts w:ascii="Times New Roman" w:hAnsi="Times New Roman"/>
          <w:sz w:val="24"/>
          <w:szCs w:val="24"/>
        </w:rPr>
        <w:t>pplicants.</w:t>
      </w:r>
      <w:r w:rsidR="00B71533" w:rsidRPr="009F46D4">
        <w:rPr>
          <w:rFonts w:ascii="Times New Roman" w:hAnsi="Times New Roman"/>
          <w:sz w:val="24"/>
          <w:szCs w:val="24"/>
        </w:rPr>
        <w:t xml:space="preserve">  </w:t>
      </w:r>
      <w:r w:rsidR="00D34A2D" w:rsidRPr="009F46D4">
        <w:rPr>
          <w:rFonts w:ascii="Times New Roman" w:hAnsi="Times New Roman"/>
          <w:sz w:val="24"/>
          <w:szCs w:val="24"/>
        </w:rPr>
        <w:t xml:space="preserve">In </w:t>
      </w:r>
      <w:r w:rsidR="00175551" w:rsidRPr="009F46D4">
        <w:rPr>
          <w:rFonts w:ascii="Times New Roman" w:hAnsi="Times New Roman"/>
          <w:sz w:val="24"/>
          <w:szCs w:val="24"/>
        </w:rPr>
        <w:t>line</w:t>
      </w:r>
      <w:r w:rsidR="00D34A2D" w:rsidRPr="009F46D4">
        <w:rPr>
          <w:rFonts w:ascii="Times New Roman" w:hAnsi="Times New Roman"/>
          <w:sz w:val="24"/>
          <w:szCs w:val="24"/>
        </w:rPr>
        <w:t xml:space="preserve"> with the respondents’ submissions, </w:t>
      </w:r>
      <w:r w:rsidR="00434606" w:rsidRPr="009F46D4">
        <w:rPr>
          <w:rFonts w:ascii="Times New Roman" w:hAnsi="Times New Roman"/>
          <w:sz w:val="24"/>
          <w:szCs w:val="24"/>
        </w:rPr>
        <w:t>I was prepared to accept that enforcement of an award which allows for double recovery would likely be contrary to public policy.</w:t>
      </w:r>
      <w:r w:rsidR="00434606" w:rsidRPr="009F46D4">
        <w:rPr>
          <w:rStyle w:val="FootnoteReference"/>
          <w:rFonts w:ascii="Times New Roman" w:hAnsi="Times New Roman"/>
          <w:sz w:val="24"/>
          <w:szCs w:val="24"/>
        </w:rPr>
        <w:footnoteReference w:id="44"/>
      </w:r>
      <w:r w:rsidR="00434606" w:rsidRPr="009F46D4">
        <w:rPr>
          <w:rFonts w:ascii="Times New Roman" w:hAnsi="Times New Roman"/>
          <w:sz w:val="24"/>
          <w:szCs w:val="24"/>
        </w:rPr>
        <w:t xml:space="preserve">  </w:t>
      </w:r>
      <w:r w:rsidR="00087F72" w:rsidRPr="009F46D4">
        <w:rPr>
          <w:rFonts w:ascii="Times New Roman" w:hAnsi="Times New Roman"/>
          <w:sz w:val="24"/>
          <w:szCs w:val="24"/>
        </w:rPr>
        <w:t>However, I found that the award</w:t>
      </w:r>
      <w:r w:rsidR="00D34A2D" w:rsidRPr="009F46D4">
        <w:rPr>
          <w:rFonts w:ascii="Times New Roman" w:hAnsi="Times New Roman"/>
          <w:sz w:val="24"/>
          <w:szCs w:val="24"/>
        </w:rPr>
        <w:t xml:space="preserve"> did not in fact allow</w:t>
      </w:r>
      <w:r w:rsidR="00087F72" w:rsidRPr="009F46D4">
        <w:rPr>
          <w:rFonts w:ascii="Times New Roman" w:hAnsi="Times New Roman"/>
          <w:sz w:val="24"/>
          <w:szCs w:val="24"/>
        </w:rPr>
        <w:t xml:space="preserve"> for double </w:t>
      </w:r>
      <w:r w:rsidR="00D34A2D" w:rsidRPr="009F46D4">
        <w:rPr>
          <w:rFonts w:ascii="Times New Roman" w:hAnsi="Times New Roman"/>
          <w:sz w:val="24"/>
          <w:szCs w:val="24"/>
        </w:rPr>
        <w:t>recovery and so I enforced the a</w:t>
      </w:r>
      <w:r w:rsidR="00087F72" w:rsidRPr="009F46D4">
        <w:rPr>
          <w:rFonts w:ascii="Times New Roman" w:hAnsi="Times New Roman"/>
          <w:sz w:val="24"/>
          <w:szCs w:val="24"/>
        </w:rPr>
        <w:t>ward an</w:t>
      </w:r>
      <w:r w:rsidR="00D34A2D" w:rsidRPr="009F46D4">
        <w:rPr>
          <w:rFonts w:ascii="Times New Roman" w:hAnsi="Times New Roman"/>
          <w:sz w:val="24"/>
          <w:szCs w:val="24"/>
        </w:rPr>
        <w:t>d entered judgment against the r</w:t>
      </w:r>
      <w:r w:rsidR="00087F72" w:rsidRPr="009F46D4">
        <w:rPr>
          <w:rFonts w:ascii="Times New Roman" w:hAnsi="Times New Roman"/>
          <w:sz w:val="24"/>
          <w:szCs w:val="24"/>
        </w:rPr>
        <w:t xml:space="preserve">espondents </w:t>
      </w:r>
      <w:r w:rsidR="00512055" w:rsidRPr="009F46D4">
        <w:rPr>
          <w:rFonts w:ascii="Times New Roman" w:hAnsi="Times New Roman"/>
          <w:sz w:val="24"/>
          <w:szCs w:val="24"/>
        </w:rPr>
        <w:t>in the sum of</w:t>
      </w:r>
      <w:r w:rsidR="00087F72" w:rsidRPr="009F46D4">
        <w:rPr>
          <w:rFonts w:ascii="Times New Roman" w:hAnsi="Times New Roman"/>
          <w:sz w:val="24"/>
          <w:szCs w:val="24"/>
        </w:rPr>
        <w:t xml:space="preserve"> US$40.4 million with interest.  </w:t>
      </w:r>
    </w:p>
    <w:p w14:paraId="36F195DC" w14:textId="0A91F6D2" w:rsidR="00D9582E" w:rsidRPr="009F46D4" w:rsidRDefault="00087F72" w:rsidP="00D9582E">
      <w:pPr>
        <w:spacing w:line="360" w:lineRule="auto"/>
        <w:jc w:val="both"/>
        <w:rPr>
          <w:rFonts w:ascii="Times New Roman" w:hAnsi="Times New Roman"/>
          <w:sz w:val="24"/>
          <w:szCs w:val="24"/>
        </w:rPr>
      </w:pPr>
      <w:r w:rsidRPr="009F46D4">
        <w:rPr>
          <w:rFonts w:ascii="Times New Roman" w:hAnsi="Times New Roman"/>
          <w:sz w:val="24"/>
          <w:szCs w:val="24"/>
        </w:rPr>
        <w:lastRenderedPageBreak/>
        <w:t>The Court of Appeal, comprising the Chief Justice, Santamaria and Beach JJA, refused leave to appeal,</w:t>
      </w:r>
      <w:r w:rsidR="00175551" w:rsidRPr="009F46D4">
        <w:rPr>
          <w:rFonts w:ascii="Times New Roman" w:hAnsi="Times New Roman"/>
          <w:sz w:val="24"/>
          <w:szCs w:val="24"/>
        </w:rPr>
        <w:t xml:space="preserve"> upholding my decision and</w:t>
      </w:r>
      <w:r w:rsidRPr="009F46D4">
        <w:rPr>
          <w:rFonts w:ascii="Times New Roman" w:hAnsi="Times New Roman"/>
          <w:sz w:val="24"/>
          <w:szCs w:val="24"/>
        </w:rPr>
        <w:t xml:space="preserve"> finding that:</w:t>
      </w:r>
      <w:r w:rsidRPr="009F46D4">
        <w:rPr>
          <w:rStyle w:val="FootnoteReference"/>
          <w:rFonts w:ascii="Times New Roman" w:hAnsi="Times New Roman"/>
          <w:sz w:val="24"/>
          <w:szCs w:val="24"/>
        </w:rPr>
        <w:footnoteReference w:id="45"/>
      </w:r>
      <w:r w:rsidR="00EB300C" w:rsidRPr="009F46D4">
        <w:rPr>
          <w:rFonts w:ascii="Times New Roman" w:hAnsi="Times New Roman"/>
          <w:sz w:val="24"/>
          <w:szCs w:val="24"/>
        </w:rPr>
        <w:t xml:space="preserve"> </w:t>
      </w:r>
    </w:p>
    <w:p w14:paraId="6D0EDD67" w14:textId="7305405C" w:rsidR="00D9582E" w:rsidRPr="009F46D4" w:rsidRDefault="00D9582E" w:rsidP="00D9582E">
      <w:pPr>
        <w:pStyle w:val="Quote1"/>
        <w:spacing w:line="240" w:lineRule="auto"/>
        <w:ind w:left="720"/>
        <w:rPr>
          <w:rFonts w:ascii="Times New Roman" w:hAnsi="Times New Roman"/>
          <w:sz w:val="24"/>
          <w:szCs w:val="24"/>
        </w:rPr>
      </w:pPr>
      <w:r w:rsidRPr="009F46D4">
        <w:rPr>
          <w:rFonts w:ascii="Times New Roman" w:hAnsi="Times New Roman"/>
          <w:sz w:val="24"/>
          <w:szCs w:val="24"/>
        </w:rPr>
        <w:t>When the tribunal made its award declaring that the agreements had been rescinded, it did not declare that the respondents were entitled to retain ownership of the shares; nor did it say anything that implied such an entitlement.  It is plain from the award that the respondents’ case was a conventional claim for rescission involving the return of what was purchased with a refund of the purchase price.  The arbitral tribunal accepted those claims and made an award and order accordingly.  As the judge put it, “the declaration of rescission in the award necessarily entails the avoidance of the transactions from the beginning and the restoration of the parties to their previous positions”.   With respect, we agree.  Far from being contrary to public policy, we consider that the award conforms with the public policy of Australia.</w:t>
      </w:r>
    </w:p>
    <w:p w14:paraId="28D9B4AD" w14:textId="13E26478" w:rsidR="005264E8" w:rsidRPr="009F46D4" w:rsidRDefault="005264E8" w:rsidP="00175551">
      <w:pPr>
        <w:spacing w:line="360" w:lineRule="auto"/>
        <w:jc w:val="both"/>
        <w:rPr>
          <w:rFonts w:ascii="Times New Roman" w:hAnsi="Times New Roman"/>
          <w:sz w:val="24"/>
          <w:szCs w:val="24"/>
        </w:rPr>
      </w:pPr>
      <w:r w:rsidRPr="009F46D4">
        <w:rPr>
          <w:rFonts w:ascii="Times New Roman" w:hAnsi="Times New Roman"/>
          <w:sz w:val="24"/>
          <w:szCs w:val="24"/>
        </w:rPr>
        <w:t>In the course of its judgment, the Court of Appeal referred to my characterisation of the proper approach to be taken</w:t>
      </w:r>
      <w:r w:rsidR="002A346A" w:rsidRPr="009F46D4">
        <w:rPr>
          <w:rFonts w:ascii="Times New Roman" w:hAnsi="Times New Roman"/>
          <w:sz w:val="24"/>
          <w:szCs w:val="24"/>
        </w:rPr>
        <w:t xml:space="preserve"> by the Court</w:t>
      </w:r>
      <w:r w:rsidRPr="009F46D4">
        <w:rPr>
          <w:rFonts w:ascii="Times New Roman" w:hAnsi="Times New Roman"/>
          <w:sz w:val="24"/>
          <w:szCs w:val="24"/>
        </w:rPr>
        <w:t xml:space="preserve"> to the consideration of the parties’ submissions and noted that the </w:t>
      </w:r>
      <w:r w:rsidR="0071517C" w:rsidRPr="009F46D4">
        <w:rPr>
          <w:rFonts w:ascii="Times New Roman" w:hAnsi="Times New Roman"/>
          <w:sz w:val="24"/>
          <w:szCs w:val="24"/>
        </w:rPr>
        <w:t>parties had accepted that</w:t>
      </w:r>
      <w:r w:rsidRPr="009F46D4">
        <w:rPr>
          <w:rFonts w:ascii="Times New Roman" w:hAnsi="Times New Roman"/>
          <w:sz w:val="24"/>
          <w:szCs w:val="24"/>
        </w:rPr>
        <w:t xml:space="preserve"> approach.</w:t>
      </w:r>
      <w:r w:rsidRPr="009F46D4">
        <w:rPr>
          <w:rStyle w:val="FootnoteReference"/>
          <w:rFonts w:ascii="Times New Roman" w:hAnsi="Times New Roman"/>
          <w:sz w:val="24"/>
          <w:szCs w:val="24"/>
        </w:rPr>
        <w:footnoteReference w:id="46"/>
      </w:r>
      <w:r w:rsidR="00175551" w:rsidRPr="009F46D4">
        <w:rPr>
          <w:rFonts w:ascii="Times New Roman" w:hAnsi="Times New Roman"/>
          <w:sz w:val="24"/>
          <w:szCs w:val="24"/>
        </w:rPr>
        <w:t xml:space="preserve">  The question of the proper approach to be taken was particularly</w:t>
      </w:r>
      <w:r w:rsidRPr="009F46D4">
        <w:rPr>
          <w:rFonts w:ascii="Times New Roman" w:hAnsi="Times New Roman"/>
          <w:sz w:val="24"/>
          <w:szCs w:val="24"/>
        </w:rPr>
        <w:t xml:space="preserve"> interesting and somewhat unusual </w:t>
      </w:r>
      <w:r w:rsidR="00264E55" w:rsidRPr="009F46D4">
        <w:rPr>
          <w:rFonts w:ascii="Times New Roman" w:hAnsi="Times New Roman"/>
          <w:sz w:val="24"/>
          <w:szCs w:val="24"/>
        </w:rPr>
        <w:t xml:space="preserve">because </w:t>
      </w:r>
      <w:r w:rsidRPr="009F46D4">
        <w:rPr>
          <w:rFonts w:ascii="Times New Roman" w:hAnsi="Times New Roman"/>
          <w:sz w:val="24"/>
          <w:szCs w:val="24"/>
        </w:rPr>
        <w:t xml:space="preserve">the relevant aspects </w:t>
      </w:r>
      <w:r w:rsidR="006A6A04" w:rsidRPr="009F46D4">
        <w:rPr>
          <w:rFonts w:ascii="Times New Roman" w:hAnsi="Times New Roman"/>
          <w:sz w:val="24"/>
          <w:szCs w:val="24"/>
        </w:rPr>
        <w:t>of the governing law of the contract</w:t>
      </w:r>
      <w:r w:rsidR="00264E55" w:rsidRPr="009F46D4">
        <w:rPr>
          <w:rFonts w:ascii="Times New Roman" w:hAnsi="Times New Roman"/>
          <w:sz w:val="24"/>
          <w:szCs w:val="24"/>
        </w:rPr>
        <w:t xml:space="preserve"> </w:t>
      </w:r>
      <w:r w:rsidR="006A6A04" w:rsidRPr="009F46D4">
        <w:rPr>
          <w:rFonts w:ascii="Times New Roman" w:hAnsi="Times New Roman"/>
          <w:sz w:val="24"/>
          <w:szCs w:val="24"/>
        </w:rPr>
        <w:t xml:space="preserve">happened to align with the domestic law of the enforcement jurisdiction.   Moreover, the governing law, being English law, was informed by Australian case law with respect to rescission and the converse was also true.  Indeed, the relevant aspects of the </w:t>
      </w:r>
      <w:r w:rsidR="007458FB" w:rsidRPr="009F46D4">
        <w:rPr>
          <w:rFonts w:ascii="Times New Roman" w:hAnsi="Times New Roman"/>
          <w:sz w:val="24"/>
          <w:szCs w:val="24"/>
        </w:rPr>
        <w:t>governing law</w:t>
      </w:r>
      <w:r w:rsidR="006A6A04" w:rsidRPr="009F46D4">
        <w:rPr>
          <w:rFonts w:ascii="Times New Roman" w:hAnsi="Times New Roman"/>
          <w:sz w:val="24"/>
          <w:szCs w:val="24"/>
        </w:rPr>
        <w:t xml:space="preserve"> also happen</w:t>
      </w:r>
      <w:r w:rsidR="007458FB" w:rsidRPr="009F46D4">
        <w:rPr>
          <w:rFonts w:ascii="Times New Roman" w:hAnsi="Times New Roman"/>
          <w:sz w:val="24"/>
          <w:szCs w:val="24"/>
        </w:rPr>
        <w:t>ed</w:t>
      </w:r>
      <w:r w:rsidR="006A6A04" w:rsidRPr="009F46D4">
        <w:rPr>
          <w:rFonts w:ascii="Times New Roman" w:hAnsi="Times New Roman"/>
          <w:sz w:val="24"/>
          <w:szCs w:val="24"/>
        </w:rPr>
        <w:t xml:space="preserve"> to align with the domestic law of the seat of the arbitration, namely Singapore.</w:t>
      </w:r>
      <w:r w:rsidR="006A6A04" w:rsidRPr="009F46D4">
        <w:rPr>
          <w:rStyle w:val="FootnoteReference"/>
          <w:rFonts w:ascii="Times New Roman" w:hAnsi="Times New Roman"/>
          <w:sz w:val="24"/>
          <w:szCs w:val="24"/>
        </w:rPr>
        <w:footnoteReference w:id="47"/>
      </w:r>
      <w:r w:rsidR="00280D7D" w:rsidRPr="009F46D4">
        <w:rPr>
          <w:rFonts w:ascii="Times New Roman" w:hAnsi="Times New Roman"/>
          <w:sz w:val="24"/>
          <w:szCs w:val="24"/>
        </w:rPr>
        <w:t xml:space="preserve">  </w:t>
      </w:r>
    </w:p>
    <w:p w14:paraId="6F19E28D" w14:textId="31739745" w:rsidR="00280D7D" w:rsidRPr="009F46D4" w:rsidRDefault="00280D7D" w:rsidP="00D9582E">
      <w:pPr>
        <w:spacing w:line="360" w:lineRule="auto"/>
        <w:jc w:val="both"/>
        <w:rPr>
          <w:rFonts w:ascii="Times New Roman" w:hAnsi="Times New Roman"/>
          <w:sz w:val="24"/>
          <w:szCs w:val="24"/>
        </w:rPr>
      </w:pPr>
      <w:r w:rsidRPr="009F46D4">
        <w:rPr>
          <w:rFonts w:ascii="Times New Roman" w:hAnsi="Times New Roman"/>
          <w:sz w:val="24"/>
          <w:szCs w:val="24"/>
        </w:rPr>
        <w:t>This state of affairs made it particularly important to clearly define the Court’s role in order to explain why a significant portion of the judgment discusses rescission—a domestic, common law doctrine not found in the Model Law or the New York Convention.  As I explain in the judgment, this discussion was a consequence of the need to “read and understand the award</w:t>
      </w:r>
      <w:r w:rsidR="001D548D" w:rsidRPr="009F46D4">
        <w:rPr>
          <w:rFonts w:ascii="Times New Roman" w:hAnsi="Times New Roman"/>
          <w:sz w:val="24"/>
          <w:szCs w:val="24"/>
        </w:rPr>
        <w:t xml:space="preserve"> … in the context of its governing law.”</w:t>
      </w:r>
      <w:r w:rsidR="001D548D" w:rsidRPr="009F46D4">
        <w:rPr>
          <w:rStyle w:val="FootnoteReference"/>
          <w:rFonts w:ascii="Times New Roman" w:hAnsi="Times New Roman"/>
          <w:sz w:val="24"/>
          <w:szCs w:val="24"/>
        </w:rPr>
        <w:footnoteReference w:id="48"/>
      </w:r>
      <w:r w:rsidR="002C1D1A" w:rsidRPr="009F46D4">
        <w:rPr>
          <w:rFonts w:ascii="Times New Roman" w:hAnsi="Times New Roman"/>
          <w:sz w:val="24"/>
          <w:szCs w:val="24"/>
        </w:rPr>
        <w:t xml:space="preserve">  </w:t>
      </w:r>
      <w:r w:rsidR="00470054" w:rsidRPr="009F46D4">
        <w:rPr>
          <w:rFonts w:ascii="Times New Roman" w:hAnsi="Times New Roman"/>
          <w:sz w:val="24"/>
          <w:szCs w:val="24"/>
        </w:rPr>
        <w:t>In the context of this case, this was necessary in order to “</w:t>
      </w:r>
      <w:r w:rsidR="00FD6ED8" w:rsidRPr="009F46D4">
        <w:rPr>
          <w:rFonts w:ascii="Times New Roman" w:hAnsi="Times New Roman"/>
          <w:sz w:val="24"/>
          <w:szCs w:val="24"/>
        </w:rPr>
        <w:t>determine what effect the award</w:t>
      </w:r>
      <w:r w:rsidR="00470054" w:rsidRPr="009F46D4">
        <w:rPr>
          <w:rFonts w:ascii="Times New Roman" w:hAnsi="Times New Roman"/>
          <w:sz w:val="24"/>
          <w:szCs w:val="24"/>
        </w:rPr>
        <w:t xml:space="preserve"> may or may not have” had, and, more specifically, “in order to ascertain whether the </w:t>
      </w:r>
      <w:r w:rsidR="00FD6ED8" w:rsidRPr="009F46D4">
        <w:rPr>
          <w:rFonts w:ascii="Times New Roman" w:hAnsi="Times New Roman"/>
          <w:sz w:val="24"/>
          <w:szCs w:val="24"/>
        </w:rPr>
        <w:t>[a</w:t>
      </w:r>
      <w:r w:rsidR="00470054" w:rsidRPr="009F46D4">
        <w:rPr>
          <w:rFonts w:ascii="Times New Roman" w:hAnsi="Times New Roman"/>
          <w:sz w:val="24"/>
          <w:szCs w:val="24"/>
        </w:rPr>
        <w:t>war</w:t>
      </w:r>
      <w:r w:rsidR="00FD6ED8" w:rsidRPr="009F46D4">
        <w:rPr>
          <w:rFonts w:ascii="Times New Roman" w:hAnsi="Times New Roman"/>
          <w:sz w:val="24"/>
          <w:szCs w:val="24"/>
        </w:rPr>
        <w:t xml:space="preserve">d </w:t>
      </w:r>
      <w:r w:rsidR="00F42954" w:rsidRPr="009F46D4">
        <w:rPr>
          <w:rFonts w:ascii="Times New Roman" w:hAnsi="Times New Roman"/>
          <w:sz w:val="24"/>
          <w:szCs w:val="24"/>
        </w:rPr>
        <w:t>allowed] for double recovery</w:t>
      </w:r>
      <w:r w:rsidR="00470054" w:rsidRPr="009F46D4">
        <w:rPr>
          <w:rFonts w:ascii="Times New Roman" w:hAnsi="Times New Roman"/>
          <w:sz w:val="24"/>
          <w:szCs w:val="24"/>
        </w:rPr>
        <w:t>”</w:t>
      </w:r>
      <w:r w:rsidR="00F42954" w:rsidRPr="009F46D4">
        <w:rPr>
          <w:rFonts w:ascii="Times New Roman" w:hAnsi="Times New Roman"/>
          <w:sz w:val="24"/>
          <w:szCs w:val="24"/>
        </w:rPr>
        <w:t>.</w:t>
      </w:r>
      <w:r w:rsidR="00470054" w:rsidRPr="009F46D4">
        <w:rPr>
          <w:rStyle w:val="FootnoteReference"/>
          <w:rFonts w:ascii="Times New Roman" w:hAnsi="Times New Roman"/>
          <w:sz w:val="24"/>
          <w:szCs w:val="24"/>
        </w:rPr>
        <w:footnoteReference w:id="49"/>
      </w:r>
      <w:r w:rsidR="003A3653" w:rsidRPr="009F46D4">
        <w:rPr>
          <w:rFonts w:ascii="Times New Roman" w:hAnsi="Times New Roman"/>
          <w:sz w:val="24"/>
          <w:szCs w:val="24"/>
        </w:rPr>
        <w:t xml:space="preserve">  </w:t>
      </w:r>
    </w:p>
    <w:p w14:paraId="13FD219C" w14:textId="1244E89D" w:rsidR="00B932F1" w:rsidRPr="009F46D4" w:rsidRDefault="00CE1EF6" w:rsidP="00D9582E">
      <w:pPr>
        <w:spacing w:line="360" w:lineRule="auto"/>
        <w:jc w:val="both"/>
        <w:rPr>
          <w:rFonts w:ascii="Times New Roman" w:hAnsi="Times New Roman"/>
          <w:sz w:val="24"/>
          <w:szCs w:val="24"/>
        </w:rPr>
      </w:pPr>
      <w:r w:rsidRPr="009F46D4">
        <w:rPr>
          <w:rFonts w:ascii="Times New Roman" w:hAnsi="Times New Roman"/>
          <w:sz w:val="24"/>
          <w:szCs w:val="24"/>
        </w:rPr>
        <w:t xml:space="preserve">As a result, my consideration of the operation of the doctrine of rescission in English law does not demonstrate that I succumbed to the temptation of domesticity because these references </w:t>
      </w:r>
      <w:r w:rsidRPr="009F46D4">
        <w:rPr>
          <w:rFonts w:ascii="Times New Roman" w:hAnsi="Times New Roman"/>
          <w:sz w:val="24"/>
          <w:szCs w:val="24"/>
        </w:rPr>
        <w:lastRenderedPageBreak/>
        <w:t xml:space="preserve">were made </w:t>
      </w:r>
      <w:r w:rsidRPr="009F46D4">
        <w:rPr>
          <w:rFonts w:ascii="Times New Roman" w:hAnsi="Times New Roman"/>
          <w:i/>
          <w:sz w:val="24"/>
          <w:szCs w:val="24"/>
        </w:rPr>
        <w:t>only</w:t>
      </w:r>
      <w:r w:rsidRPr="009F46D4">
        <w:rPr>
          <w:rFonts w:ascii="Times New Roman" w:hAnsi="Times New Roman"/>
          <w:sz w:val="24"/>
          <w:szCs w:val="24"/>
        </w:rPr>
        <w:t xml:space="preserve">—and for that matter, </w:t>
      </w:r>
      <w:r w:rsidRPr="009F46D4">
        <w:rPr>
          <w:rFonts w:ascii="Times New Roman" w:hAnsi="Times New Roman"/>
          <w:i/>
          <w:sz w:val="24"/>
          <w:szCs w:val="24"/>
        </w:rPr>
        <w:t>necessarily</w:t>
      </w:r>
      <w:r w:rsidR="00AE1B25" w:rsidRPr="009F46D4">
        <w:rPr>
          <w:rFonts w:ascii="Times New Roman" w:hAnsi="Times New Roman"/>
          <w:sz w:val="24"/>
          <w:szCs w:val="24"/>
        </w:rPr>
        <w:t>—by way of understanding the t</w:t>
      </w:r>
      <w:r w:rsidRPr="009F46D4">
        <w:rPr>
          <w:rFonts w:ascii="Times New Roman" w:hAnsi="Times New Roman"/>
          <w:sz w:val="24"/>
          <w:szCs w:val="24"/>
        </w:rPr>
        <w:t xml:space="preserve">ribunal’s declaration that the agreements were rescinded.  </w:t>
      </w:r>
      <w:r w:rsidR="00A8310C" w:rsidRPr="009F46D4">
        <w:rPr>
          <w:rFonts w:ascii="Times New Roman" w:hAnsi="Times New Roman"/>
          <w:sz w:val="24"/>
          <w:szCs w:val="24"/>
        </w:rPr>
        <w:t>Accordingly, this detailed discussion of rescission does not inform the question of whether enforcement would have been contrary to public policy—it only goes to the questi</w:t>
      </w:r>
      <w:r w:rsidR="009873D7" w:rsidRPr="009F46D4">
        <w:rPr>
          <w:rFonts w:ascii="Times New Roman" w:hAnsi="Times New Roman"/>
          <w:sz w:val="24"/>
          <w:szCs w:val="24"/>
        </w:rPr>
        <w:t>on of whether the award provided</w:t>
      </w:r>
      <w:r w:rsidR="00A8310C" w:rsidRPr="009F46D4">
        <w:rPr>
          <w:rFonts w:ascii="Times New Roman" w:hAnsi="Times New Roman"/>
          <w:sz w:val="24"/>
          <w:szCs w:val="24"/>
        </w:rPr>
        <w:t xml:space="preserve"> for double recovery.  To help demonstrate the point, it may be noted that this discussion does not canvass whether the tribunal correctly applied the</w:t>
      </w:r>
      <w:r w:rsidR="009873D7" w:rsidRPr="009F46D4">
        <w:rPr>
          <w:rFonts w:ascii="Times New Roman" w:hAnsi="Times New Roman"/>
          <w:sz w:val="24"/>
          <w:szCs w:val="24"/>
        </w:rPr>
        <w:t xml:space="preserve"> relevant legal</w:t>
      </w:r>
      <w:r w:rsidR="00A8310C" w:rsidRPr="009F46D4">
        <w:rPr>
          <w:rFonts w:ascii="Times New Roman" w:hAnsi="Times New Roman"/>
          <w:sz w:val="24"/>
          <w:szCs w:val="24"/>
        </w:rPr>
        <w:t xml:space="preserve"> doctrine, as reasoning</w:t>
      </w:r>
      <w:r w:rsidR="00960B94" w:rsidRPr="009F46D4">
        <w:rPr>
          <w:rFonts w:ascii="Times New Roman" w:hAnsi="Times New Roman"/>
          <w:sz w:val="24"/>
          <w:szCs w:val="24"/>
        </w:rPr>
        <w:t xml:space="preserve"> of that kind would have constituted an impermissible interference with the determination of the tribunal.</w:t>
      </w:r>
    </w:p>
    <w:p w14:paraId="785005FD" w14:textId="049FA532" w:rsidR="00AE4744" w:rsidRPr="009F46D4" w:rsidRDefault="00AE4744" w:rsidP="00AE4744">
      <w:pPr>
        <w:spacing w:line="360" w:lineRule="auto"/>
        <w:jc w:val="both"/>
        <w:rPr>
          <w:rFonts w:ascii="Times New Roman" w:hAnsi="Times New Roman"/>
          <w:sz w:val="24"/>
          <w:szCs w:val="24"/>
          <w:lang w:eastAsia="en-AU"/>
        </w:rPr>
      </w:pPr>
      <w:r w:rsidRPr="009F46D4">
        <w:rPr>
          <w:rFonts w:ascii="Times New Roman" w:hAnsi="Times New Roman"/>
          <w:b/>
          <w:i/>
          <w:sz w:val="24"/>
          <w:szCs w:val="24"/>
          <w:lang w:eastAsia="en-AU"/>
        </w:rPr>
        <w:t>a)</w:t>
      </w:r>
      <w:r w:rsidRPr="009F46D4">
        <w:rPr>
          <w:rFonts w:ascii="Times New Roman" w:hAnsi="Times New Roman"/>
          <w:b/>
          <w:i/>
          <w:sz w:val="24"/>
          <w:szCs w:val="24"/>
          <w:lang w:eastAsia="en-AU"/>
        </w:rPr>
        <w:tab/>
      </w:r>
      <w:r w:rsidR="00D57B04" w:rsidRPr="009F46D4">
        <w:rPr>
          <w:rFonts w:ascii="Times New Roman" w:hAnsi="Times New Roman"/>
          <w:b/>
          <w:i/>
          <w:sz w:val="24"/>
          <w:szCs w:val="24"/>
          <w:lang w:eastAsia="en-AU"/>
        </w:rPr>
        <w:t xml:space="preserve">Residual </w:t>
      </w:r>
      <w:r w:rsidRPr="009F46D4">
        <w:rPr>
          <w:rFonts w:ascii="Times New Roman" w:hAnsi="Times New Roman"/>
          <w:b/>
          <w:i/>
          <w:sz w:val="24"/>
          <w:szCs w:val="24"/>
          <w:lang w:eastAsia="en-AU"/>
        </w:rPr>
        <w:t xml:space="preserve">Discretion </w:t>
      </w:r>
      <w:r w:rsidR="00D57B04" w:rsidRPr="009F46D4">
        <w:rPr>
          <w:rFonts w:ascii="Times New Roman" w:hAnsi="Times New Roman"/>
          <w:b/>
          <w:i/>
          <w:sz w:val="24"/>
          <w:szCs w:val="24"/>
          <w:lang w:eastAsia="en-AU"/>
        </w:rPr>
        <w:t>to Enforce</w:t>
      </w:r>
    </w:p>
    <w:p w14:paraId="286C6E4A" w14:textId="2819AFAB" w:rsidR="00AE4744" w:rsidRPr="009F46D4" w:rsidRDefault="00AE4744" w:rsidP="00AE4744">
      <w:pPr>
        <w:spacing w:line="360" w:lineRule="auto"/>
        <w:jc w:val="both"/>
        <w:rPr>
          <w:rFonts w:ascii="Times New Roman" w:hAnsi="Times New Roman"/>
          <w:sz w:val="24"/>
          <w:szCs w:val="24"/>
        </w:rPr>
      </w:pPr>
      <w:r w:rsidRPr="009F46D4">
        <w:rPr>
          <w:rFonts w:ascii="Times New Roman" w:hAnsi="Times New Roman"/>
          <w:sz w:val="24"/>
          <w:szCs w:val="24"/>
          <w:lang w:eastAsia="en-AU"/>
        </w:rPr>
        <w:t>Another interes</w:t>
      </w:r>
      <w:r w:rsidR="000A5E4A" w:rsidRPr="009F46D4">
        <w:rPr>
          <w:rFonts w:ascii="Times New Roman" w:hAnsi="Times New Roman"/>
          <w:sz w:val="24"/>
          <w:szCs w:val="24"/>
          <w:lang w:eastAsia="en-AU"/>
        </w:rPr>
        <w:t xml:space="preserve">ting issue raised by the </w:t>
      </w:r>
      <w:proofErr w:type="spellStart"/>
      <w:r w:rsidR="000A5E4A" w:rsidRPr="009F46D4">
        <w:rPr>
          <w:rFonts w:ascii="Times New Roman" w:hAnsi="Times New Roman"/>
          <w:i/>
          <w:sz w:val="24"/>
          <w:szCs w:val="24"/>
          <w:lang w:eastAsia="en-AU"/>
        </w:rPr>
        <w:t>Gutnick</w:t>
      </w:r>
      <w:proofErr w:type="spellEnd"/>
      <w:r w:rsidR="000A5E4A" w:rsidRPr="009F46D4">
        <w:rPr>
          <w:rFonts w:ascii="Times New Roman" w:hAnsi="Times New Roman"/>
          <w:i/>
          <w:sz w:val="24"/>
          <w:szCs w:val="24"/>
          <w:lang w:eastAsia="en-AU"/>
        </w:rPr>
        <w:t xml:space="preserve"> </w:t>
      </w:r>
      <w:r w:rsidR="000A5E4A" w:rsidRPr="009F46D4">
        <w:rPr>
          <w:rFonts w:ascii="Times New Roman" w:hAnsi="Times New Roman"/>
          <w:sz w:val="24"/>
          <w:szCs w:val="24"/>
          <w:lang w:eastAsia="en-AU"/>
        </w:rPr>
        <w:t>case was whether a court can enforce an award even if to do so would be contrary to public policy.</w:t>
      </w:r>
      <w:r w:rsidR="000A5E4A" w:rsidRPr="009F46D4">
        <w:rPr>
          <w:rStyle w:val="FootnoteReference"/>
          <w:rFonts w:ascii="Times New Roman" w:hAnsi="Times New Roman"/>
          <w:sz w:val="24"/>
          <w:szCs w:val="24"/>
        </w:rPr>
        <w:footnoteReference w:id="50"/>
      </w:r>
      <w:r w:rsidR="00B102F1" w:rsidRPr="009F46D4">
        <w:rPr>
          <w:rFonts w:ascii="Times New Roman" w:hAnsi="Times New Roman"/>
          <w:sz w:val="24"/>
          <w:szCs w:val="24"/>
          <w:lang w:eastAsia="en-AU"/>
        </w:rPr>
        <w:t xml:space="preserve">  </w:t>
      </w:r>
      <w:r w:rsidR="002C011D" w:rsidRPr="009F46D4">
        <w:rPr>
          <w:rFonts w:ascii="Times New Roman" w:hAnsi="Times New Roman"/>
          <w:sz w:val="24"/>
          <w:szCs w:val="24"/>
          <w:lang w:eastAsia="en-AU"/>
        </w:rPr>
        <w:t>Although it was not necessary for me to decide this point, I expressed the view that under the New York Convention and the Model Law</w:t>
      </w:r>
      <w:r w:rsidR="00AE1B25" w:rsidRPr="009F46D4">
        <w:rPr>
          <w:rFonts w:ascii="Times New Roman" w:hAnsi="Times New Roman"/>
          <w:sz w:val="24"/>
          <w:szCs w:val="24"/>
          <w:lang w:eastAsia="en-AU"/>
        </w:rPr>
        <w:t xml:space="preserve"> enforcement is discretionary, not mandatory. </w:t>
      </w:r>
      <w:r w:rsidR="007B09E4" w:rsidRPr="009F46D4">
        <w:rPr>
          <w:rFonts w:ascii="Times New Roman" w:hAnsi="Times New Roman"/>
          <w:sz w:val="24"/>
          <w:szCs w:val="24"/>
          <w:lang w:eastAsia="en-AU"/>
        </w:rPr>
        <w:t xml:space="preserve">  However,</w:t>
      </w:r>
      <w:r w:rsidR="009E4FB0" w:rsidRPr="009F46D4">
        <w:rPr>
          <w:rFonts w:ascii="Times New Roman" w:hAnsi="Times New Roman"/>
          <w:sz w:val="24"/>
          <w:szCs w:val="24"/>
          <w:lang w:eastAsia="en-AU"/>
        </w:rPr>
        <w:t xml:space="preserve"> I observed, as others have done, that</w:t>
      </w:r>
      <w:r w:rsidR="007B09E4" w:rsidRPr="009F46D4">
        <w:rPr>
          <w:rFonts w:ascii="Times New Roman" w:hAnsi="Times New Roman"/>
          <w:sz w:val="24"/>
          <w:szCs w:val="24"/>
        </w:rPr>
        <w:t xml:space="preserve"> </w:t>
      </w:r>
      <w:r w:rsidR="002C011D" w:rsidRPr="009F46D4">
        <w:rPr>
          <w:rFonts w:ascii="Times New Roman" w:hAnsi="Times New Roman"/>
          <w:sz w:val="24"/>
          <w:szCs w:val="24"/>
        </w:rPr>
        <w:t>“given the nature of the public policy ground for refusing enforcement … this discretion would only fall to be exercised in favour of enforcement in the most exceptional of cases.”</w:t>
      </w:r>
      <w:r w:rsidR="002C011D" w:rsidRPr="009F46D4">
        <w:rPr>
          <w:rStyle w:val="FootnoteReference"/>
          <w:rFonts w:ascii="Times New Roman" w:hAnsi="Times New Roman"/>
          <w:sz w:val="24"/>
          <w:szCs w:val="24"/>
        </w:rPr>
        <w:footnoteReference w:id="51"/>
      </w:r>
      <w:r w:rsidR="00BA7FC0" w:rsidRPr="009F46D4">
        <w:rPr>
          <w:rFonts w:ascii="Times New Roman" w:hAnsi="Times New Roman"/>
          <w:sz w:val="24"/>
          <w:szCs w:val="24"/>
        </w:rPr>
        <w:t xml:space="preserve">  That is, it is only in the most exceptional of cases that a court would find that enforcement would be contrary to public policy but then go ahead and enforce the award anyway. </w:t>
      </w:r>
      <w:r w:rsidR="00E15F4A" w:rsidRPr="009F46D4">
        <w:rPr>
          <w:rFonts w:ascii="Times New Roman" w:hAnsi="Times New Roman"/>
          <w:sz w:val="24"/>
          <w:szCs w:val="24"/>
        </w:rPr>
        <w:t xml:space="preserve">  </w:t>
      </w:r>
    </w:p>
    <w:p w14:paraId="65F5E377" w14:textId="36A5CA37" w:rsidR="00DE1296" w:rsidRPr="009F46D4" w:rsidRDefault="00143603" w:rsidP="00AE4744">
      <w:pPr>
        <w:spacing w:line="360" w:lineRule="auto"/>
        <w:jc w:val="both"/>
        <w:rPr>
          <w:rFonts w:ascii="Times New Roman" w:hAnsi="Times New Roman"/>
          <w:sz w:val="24"/>
          <w:szCs w:val="24"/>
        </w:rPr>
      </w:pPr>
      <w:r w:rsidRPr="009F46D4">
        <w:rPr>
          <w:rFonts w:ascii="Times New Roman" w:hAnsi="Times New Roman"/>
          <w:sz w:val="24"/>
          <w:szCs w:val="24"/>
        </w:rPr>
        <w:t xml:space="preserve">This case did not meet this description and I was not satisfied that </w:t>
      </w:r>
      <w:r w:rsidR="00DE1296" w:rsidRPr="009F46D4">
        <w:rPr>
          <w:rFonts w:ascii="Times New Roman" w:hAnsi="Times New Roman"/>
          <w:sz w:val="24"/>
          <w:szCs w:val="24"/>
        </w:rPr>
        <w:t>the fact that the a</w:t>
      </w:r>
      <w:r w:rsidR="00EB30F1" w:rsidRPr="009F46D4">
        <w:rPr>
          <w:rFonts w:ascii="Times New Roman" w:hAnsi="Times New Roman"/>
          <w:sz w:val="24"/>
          <w:szCs w:val="24"/>
        </w:rPr>
        <w:t xml:space="preserve">ward </w:t>
      </w:r>
      <w:r w:rsidRPr="009F46D4">
        <w:rPr>
          <w:rFonts w:ascii="Times New Roman" w:hAnsi="Times New Roman"/>
          <w:sz w:val="24"/>
          <w:szCs w:val="24"/>
        </w:rPr>
        <w:t xml:space="preserve">had already been enforced in Singapore, or that the </w:t>
      </w:r>
      <w:r w:rsidR="00EB30F1" w:rsidRPr="009F46D4">
        <w:rPr>
          <w:rFonts w:ascii="Times New Roman" w:hAnsi="Times New Roman"/>
          <w:sz w:val="24"/>
          <w:szCs w:val="24"/>
        </w:rPr>
        <w:t>SIAC Rules</w:t>
      </w:r>
      <w:r w:rsidR="001B5EC6" w:rsidRPr="009F46D4">
        <w:rPr>
          <w:rFonts w:ascii="Times New Roman" w:hAnsi="Times New Roman"/>
          <w:sz w:val="24"/>
          <w:szCs w:val="24"/>
        </w:rPr>
        <w:t xml:space="preserve"> </w:t>
      </w:r>
      <w:r w:rsidRPr="009F46D4">
        <w:rPr>
          <w:rFonts w:ascii="Times New Roman" w:hAnsi="Times New Roman"/>
          <w:sz w:val="24"/>
          <w:szCs w:val="24"/>
        </w:rPr>
        <w:t>may or may not have allowed</w:t>
      </w:r>
      <w:r w:rsidR="00DE1296" w:rsidRPr="009F46D4">
        <w:rPr>
          <w:rFonts w:ascii="Times New Roman" w:hAnsi="Times New Roman"/>
          <w:sz w:val="24"/>
          <w:szCs w:val="24"/>
        </w:rPr>
        <w:t xml:space="preserve"> for recourse to be had to the t</w:t>
      </w:r>
      <w:r w:rsidRPr="009F46D4">
        <w:rPr>
          <w:rFonts w:ascii="Times New Roman" w:hAnsi="Times New Roman"/>
          <w:sz w:val="24"/>
          <w:szCs w:val="24"/>
        </w:rPr>
        <w:t>ribunal</w:t>
      </w:r>
      <w:r w:rsidR="00EB30F1" w:rsidRPr="009F46D4">
        <w:rPr>
          <w:rFonts w:ascii="Times New Roman" w:hAnsi="Times New Roman"/>
          <w:sz w:val="24"/>
          <w:szCs w:val="24"/>
        </w:rPr>
        <w:t xml:space="preserve"> to re</w:t>
      </w:r>
      <w:r w:rsidR="00DE1296" w:rsidRPr="009F46D4">
        <w:rPr>
          <w:rFonts w:ascii="Times New Roman" w:hAnsi="Times New Roman"/>
          <w:sz w:val="24"/>
          <w:szCs w:val="24"/>
        </w:rPr>
        <w:t>quest an interpretation of the a</w:t>
      </w:r>
      <w:r w:rsidR="00EB30F1" w:rsidRPr="009F46D4">
        <w:rPr>
          <w:rFonts w:ascii="Times New Roman" w:hAnsi="Times New Roman"/>
          <w:sz w:val="24"/>
          <w:szCs w:val="24"/>
        </w:rPr>
        <w:t>ward</w:t>
      </w:r>
      <w:r w:rsidRPr="009F46D4">
        <w:rPr>
          <w:rFonts w:ascii="Times New Roman" w:hAnsi="Times New Roman"/>
          <w:sz w:val="24"/>
          <w:szCs w:val="24"/>
        </w:rPr>
        <w:t>, would have been relevant discretionary considerations in the circumstances.</w:t>
      </w:r>
      <w:r w:rsidR="00EB30F1" w:rsidRPr="009F46D4">
        <w:rPr>
          <w:rStyle w:val="FootnoteReference"/>
          <w:rFonts w:ascii="Times New Roman" w:hAnsi="Times New Roman"/>
          <w:sz w:val="24"/>
          <w:szCs w:val="24"/>
        </w:rPr>
        <w:footnoteReference w:id="52"/>
      </w:r>
      <w:r w:rsidR="00EB30F1" w:rsidRPr="009F46D4">
        <w:rPr>
          <w:rFonts w:ascii="Times New Roman" w:hAnsi="Times New Roman"/>
          <w:sz w:val="24"/>
          <w:szCs w:val="24"/>
        </w:rPr>
        <w:t xml:space="preserve">  Further, I gave as an example of “domesticity” an alternative su</w:t>
      </w:r>
      <w:r w:rsidR="00DE1296" w:rsidRPr="009F46D4">
        <w:rPr>
          <w:rFonts w:ascii="Times New Roman" w:hAnsi="Times New Roman"/>
          <w:sz w:val="24"/>
          <w:szCs w:val="24"/>
        </w:rPr>
        <w:t>bmission of the a</w:t>
      </w:r>
      <w:r w:rsidR="00636A98" w:rsidRPr="009F46D4">
        <w:rPr>
          <w:rFonts w:ascii="Times New Roman" w:hAnsi="Times New Roman"/>
          <w:sz w:val="24"/>
          <w:szCs w:val="24"/>
        </w:rPr>
        <w:t>pplicants that</w:t>
      </w:r>
      <w:r w:rsidR="00EB30F1" w:rsidRPr="009F46D4">
        <w:rPr>
          <w:rFonts w:ascii="Times New Roman" w:hAnsi="Times New Roman"/>
          <w:sz w:val="24"/>
          <w:szCs w:val="24"/>
        </w:rPr>
        <w:t xml:space="preserve"> the Court could “ameliorate the effects of any conflict with public policy by making enforcement conditional upon the return of the shares, and that, therefore, the Court should exercise</w:t>
      </w:r>
      <w:r w:rsidR="00DE1296" w:rsidRPr="009F46D4">
        <w:rPr>
          <w:rFonts w:ascii="Times New Roman" w:hAnsi="Times New Roman"/>
          <w:sz w:val="24"/>
          <w:szCs w:val="24"/>
        </w:rPr>
        <w:t xml:space="preserve"> its discretion to enforce the [a</w:t>
      </w:r>
      <w:r w:rsidR="00EB30F1" w:rsidRPr="009F46D4">
        <w:rPr>
          <w:rFonts w:ascii="Times New Roman" w:hAnsi="Times New Roman"/>
          <w:sz w:val="24"/>
          <w:szCs w:val="24"/>
        </w:rPr>
        <w:t>ward</w:t>
      </w:r>
      <w:r w:rsidR="00DE1296" w:rsidRPr="009F46D4">
        <w:rPr>
          <w:rFonts w:ascii="Times New Roman" w:hAnsi="Times New Roman"/>
          <w:sz w:val="24"/>
          <w:szCs w:val="24"/>
        </w:rPr>
        <w:t>]</w:t>
      </w:r>
      <w:r w:rsidR="00636A98" w:rsidRPr="009F46D4">
        <w:rPr>
          <w:rFonts w:ascii="Times New Roman" w:hAnsi="Times New Roman"/>
          <w:sz w:val="24"/>
          <w:szCs w:val="24"/>
        </w:rPr>
        <w:t>.”</w:t>
      </w:r>
      <w:r w:rsidR="00636A98" w:rsidRPr="009F46D4">
        <w:rPr>
          <w:rStyle w:val="FootnoteReference"/>
          <w:rFonts w:ascii="Times New Roman" w:hAnsi="Times New Roman"/>
          <w:sz w:val="24"/>
          <w:szCs w:val="24"/>
        </w:rPr>
        <w:footnoteReference w:id="53"/>
      </w:r>
      <w:r w:rsidR="00831091" w:rsidRPr="009F46D4">
        <w:rPr>
          <w:rFonts w:ascii="Times New Roman" w:hAnsi="Times New Roman"/>
          <w:sz w:val="24"/>
          <w:szCs w:val="24"/>
        </w:rPr>
        <w:t xml:space="preserve">  </w:t>
      </w:r>
      <w:r w:rsidR="001B609E" w:rsidRPr="009F46D4">
        <w:rPr>
          <w:rFonts w:ascii="Times New Roman" w:hAnsi="Times New Roman"/>
          <w:sz w:val="24"/>
          <w:szCs w:val="24"/>
        </w:rPr>
        <w:t>Indeed, I noted that</w:t>
      </w:r>
      <w:r w:rsidR="00DE1296" w:rsidRPr="009F46D4">
        <w:rPr>
          <w:rFonts w:ascii="Times New Roman" w:hAnsi="Times New Roman"/>
          <w:sz w:val="24"/>
          <w:szCs w:val="24"/>
        </w:rPr>
        <w:t>—</w:t>
      </w:r>
      <w:r w:rsidR="00DE1296" w:rsidRPr="009F46D4">
        <w:rPr>
          <w:rStyle w:val="FootnoteReference"/>
          <w:rFonts w:ascii="Times New Roman" w:hAnsi="Times New Roman"/>
          <w:sz w:val="24"/>
          <w:szCs w:val="24"/>
        </w:rPr>
        <w:footnoteReference w:id="54"/>
      </w:r>
    </w:p>
    <w:p w14:paraId="382FE36C" w14:textId="771F544B" w:rsidR="00DE1296" w:rsidRPr="009F46D4" w:rsidRDefault="001B609E" w:rsidP="00DE1296">
      <w:pPr>
        <w:pStyle w:val="Quote1"/>
        <w:spacing w:line="240" w:lineRule="auto"/>
        <w:ind w:left="720"/>
        <w:rPr>
          <w:rFonts w:ascii="Times New Roman" w:hAnsi="Times New Roman"/>
          <w:sz w:val="24"/>
          <w:szCs w:val="24"/>
        </w:rPr>
      </w:pPr>
      <w:r w:rsidRPr="009F46D4">
        <w:rPr>
          <w:rFonts w:ascii="Times New Roman" w:hAnsi="Times New Roman"/>
          <w:sz w:val="24"/>
          <w:szCs w:val="24"/>
        </w:rPr>
        <w:t>it is difficult to see how a court would be enforcing a foreign award … in a manner consistent with authority if enforcement were made conditional on some extraneous matter not contemplated by, or not provide</w:t>
      </w:r>
      <w:r w:rsidR="00DE1296" w:rsidRPr="009F46D4">
        <w:rPr>
          <w:rFonts w:ascii="Times New Roman" w:hAnsi="Times New Roman"/>
          <w:sz w:val="24"/>
          <w:szCs w:val="24"/>
        </w:rPr>
        <w:t>d for by the arbitral tribunal.</w:t>
      </w:r>
      <w:r w:rsidR="00A9494D" w:rsidRPr="009F46D4">
        <w:rPr>
          <w:rFonts w:ascii="Times New Roman" w:hAnsi="Times New Roman"/>
          <w:sz w:val="24"/>
          <w:szCs w:val="24"/>
        </w:rPr>
        <w:t xml:space="preserve"> </w:t>
      </w:r>
    </w:p>
    <w:p w14:paraId="4A664AE6" w14:textId="07F1B23E" w:rsidR="00B567CE" w:rsidRPr="009F46D4" w:rsidRDefault="00C50FAC" w:rsidP="00AE4744">
      <w:pPr>
        <w:spacing w:line="360" w:lineRule="auto"/>
        <w:jc w:val="both"/>
        <w:rPr>
          <w:rFonts w:ascii="Times New Roman" w:hAnsi="Times New Roman"/>
          <w:sz w:val="24"/>
          <w:szCs w:val="24"/>
        </w:rPr>
      </w:pPr>
      <w:proofErr w:type="spellStart"/>
      <w:r w:rsidRPr="009F46D4">
        <w:rPr>
          <w:rFonts w:ascii="Times New Roman" w:hAnsi="Times New Roman"/>
          <w:sz w:val="24"/>
          <w:szCs w:val="24"/>
        </w:rPr>
        <w:lastRenderedPageBreak/>
        <w:t>IFFCo</w:t>
      </w:r>
      <w:proofErr w:type="spellEnd"/>
      <w:r w:rsidRPr="009F46D4">
        <w:rPr>
          <w:rFonts w:ascii="Times New Roman" w:hAnsi="Times New Roman"/>
          <w:sz w:val="24"/>
          <w:szCs w:val="24"/>
        </w:rPr>
        <w:t xml:space="preserve"> and </w:t>
      </w:r>
      <w:proofErr w:type="spellStart"/>
      <w:r w:rsidRPr="009F46D4">
        <w:rPr>
          <w:rFonts w:ascii="Times New Roman" w:hAnsi="Times New Roman"/>
          <w:sz w:val="24"/>
          <w:szCs w:val="24"/>
        </w:rPr>
        <w:t>Kisan</w:t>
      </w:r>
      <w:proofErr w:type="spellEnd"/>
      <w:r w:rsidRPr="009F46D4">
        <w:rPr>
          <w:rFonts w:ascii="Times New Roman" w:hAnsi="Times New Roman"/>
          <w:sz w:val="24"/>
          <w:szCs w:val="24"/>
        </w:rPr>
        <w:t xml:space="preserve"> </w:t>
      </w:r>
      <w:r w:rsidR="0069171F" w:rsidRPr="009F46D4">
        <w:rPr>
          <w:rFonts w:ascii="Times New Roman" w:hAnsi="Times New Roman"/>
          <w:sz w:val="24"/>
          <w:szCs w:val="24"/>
        </w:rPr>
        <w:t>pursued this point on appeal by way of a notice of contention; however, given the Court of Appeal’s conclusion that enforcement was not contrary to public policy, it was not necessary for it to rule on the notice and it declined to do so.</w:t>
      </w:r>
      <w:r w:rsidR="00B567CE" w:rsidRPr="009F46D4">
        <w:rPr>
          <w:rStyle w:val="FootnoteReference"/>
          <w:rFonts w:ascii="Times New Roman" w:hAnsi="Times New Roman"/>
          <w:sz w:val="24"/>
          <w:szCs w:val="24"/>
        </w:rPr>
        <w:footnoteReference w:id="55"/>
      </w:r>
    </w:p>
    <w:p w14:paraId="54805694" w14:textId="10DB7B57" w:rsidR="00CE4C78" w:rsidRPr="009F46D4" w:rsidRDefault="00CE4C78" w:rsidP="00CE4C78">
      <w:pPr>
        <w:spacing w:line="360" w:lineRule="auto"/>
        <w:jc w:val="both"/>
        <w:rPr>
          <w:rFonts w:ascii="Times New Roman" w:hAnsi="Times New Roman"/>
          <w:b/>
          <w:i/>
          <w:sz w:val="24"/>
          <w:szCs w:val="24"/>
          <w:lang w:eastAsia="en-AU"/>
        </w:rPr>
      </w:pPr>
      <w:r w:rsidRPr="009F46D4">
        <w:rPr>
          <w:rFonts w:ascii="Times New Roman" w:hAnsi="Times New Roman"/>
          <w:b/>
          <w:i/>
          <w:sz w:val="24"/>
          <w:szCs w:val="24"/>
          <w:lang w:eastAsia="en-AU"/>
        </w:rPr>
        <w:t>b)</w:t>
      </w:r>
      <w:r w:rsidRPr="009F46D4">
        <w:rPr>
          <w:rFonts w:ascii="Times New Roman" w:hAnsi="Times New Roman"/>
          <w:b/>
          <w:i/>
          <w:sz w:val="24"/>
          <w:szCs w:val="24"/>
          <w:lang w:eastAsia="en-AU"/>
        </w:rPr>
        <w:tab/>
        <w:t xml:space="preserve">Stay of Enforcement </w:t>
      </w:r>
      <w:r w:rsidR="00764CBA" w:rsidRPr="009F46D4">
        <w:rPr>
          <w:rFonts w:ascii="Times New Roman" w:hAnsi="Times New Roman"/>
          <w:b/>
          <w:i/>
          <w:sz w:val="24"/>
          <w:szCs w:val="24"/>
          <w:lang w:eastAsia="en-AU"/>
        </w:rPr>
        <w:t>Judgment</w:t>
      </w:r>
    </w:p>
    <w:p w14:paraId="45389B14" w14:textId="10C08C89" w:rsidR="007E1A83" w:rsidRPr="009F46D4" w:rsidRDefault="00B7252F" w:rsidP="00CE4C78">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Finally, as part of the </w:t>
      </w:r>
      <w:proofErr w:type="spellStart"/>
      <w:r w:rsidRPr="009F46D4">
        <w:rPr>
          <w:rFonts w:ascii="Times New Roman" w:hAnsi="Times New Roman"/>
          <w:sz w:val="24"/>
          <w:szCs w:val="24"/>
          <w:lang w:eastAsia="en-AU"/>
        </w:rPr>
        <w:t>Gutnick</w:t>
      </w:r>
      <w:proofErr w:type="spellEnd"/>
      <w:r w:rsidRPr="009F46D4">
        <w:rPr>
          <w:rFonts w:ascii="Times New Roman" w:hAnsi="Times New Roman"/>
          <w:sz w:val="24"/>
          <w:szCs w:val="24"/>
          <w:lang w:eastAsia="en-AU"/>
        </w:rPr>
        <w:t xml:space="preserve"> enforcement proceedings, I also had cause to consider the applicab</w:t>
      </w:r>
      <w:r w:rsidR="00AF00AF" w:rsidRPr="009F46D4">
        <w:rPr>
          <w:rFonts w:ascii="Times New Roman" w:hAnsi="Times New Roman"/>
          <w:sz w:val="24"/>
          <w:szCs w:val="24"/>
          <w:lang w:eastAsia="en-AU"/>
        </w:rPr>
        <w:t xml:space="preserve">le principles </w:t>
      </w:r>
      <w:r w:rsidRPr="009F46D4">
        <w:rPr>
          <w:rFonts w:ascii="Times New Roman" w:hAnsi="Times New Roman"/>
          <w:sz w:val="24"/>
          <w:szCs w:val="24"/>
          <w:lang w:eastAsia="en-AU"/>
        </w:rPr>
        <w:t>t</w:t>
      </w:r>
      <w:r w:rsidR="00AF00AF" w:rsidRPr="009F46D4">
        <w:rPr>
          <w:rFonts w:ascii="Times New Roman" w:hAnsi="Times New Roman"/>
          <w:sz w:val="24"/>
          <w:szCs w:val="24"/>
          <w:lang w:eastAsia="en-AU"/>
        </w:rPr>
        <w:t>o</w:t>
      </w:r>
      <w:r w:rsidRPr="009F46D4">
        <w:rPr>
          <w:rFonts w:ascii="Times New Roman" w:hAnsi="Times New Roman"/>
          <w:sz w:val="24"/>
          <w:szCs w:val="24"/>
          <w:lang w:eastAsia="en-AU"/>
        </w:rPr>
        <w:t xml:space="preserve"> the grant of a stay of execution of </w:t>
      </w:r>
      <w:r w:rsidR="004D4FDD" w:rsidRPr="009F46D4">
        <w:rPr>
          <w:rFonts w:ascii="Times New Roman" w:hAnsi="Times New Roman"/>
          <w:sz w:val="24"/>
          <w:szCs w:val="24"/>
          <w:lang w:eastAsia="en-AU"/>
        </w:rPr>
        <w:t>a judgment enforcing an arbitral award.  The r</w:t>
      </w:r>
      <w:r w:rsidRPr="009F46D4">
        <w:rPr>
          <w:rFonts w:ascii="Times New Roman" w:hAnsi="Times New Roman"/>
          <w:sz w:val="24"/>
          <w:szCs w:val="24"/>
          <w:lang w:eastAsia="en-AU"/>
        </w:rPr>
        <w:t>esp</w:t>
      </w:r>
      <w:r w:rsidR="004D4FDD" w:rsidRPr="009F46D4">
        <w:rPr>
          <w:rFonts w:ascii="Times New Roman" w:hAnsi="Times New Roman"/>
          <w:sz w:val="24"/>
          <w:szCs w:val="24"/>
          <w:lang w:eastAsia="en-AU"/>
        </w:rPr>
        <w:t>ondents sought a stay on the ba</w:t>
      </w:r>
      <w:r w:rsidRPr="009F46D4">
        <w:rPr>
          <w:rFonts w:ascii="Times New Roman" w:hAnsi="Times New Roman"/>
          <w:sz w:val="24"/>
          <w:szCs w:val="24"/>
          <w:lang w:eastAsia="en-AU"/>
        </w:rPr>
        <w:t>s</w:t>
      </w:r>
      <w:r w:rsidR="004D4FDD" w:rsidRPr="009F46D4">
        <w:rPr>
          <w:rFonts w:ascii="Times New Roman" w:hAnsi="Times New Roman"/>
          <w:sz w:val="24"/>
          <w:szCs w:val="24"/>
          <w:lang w:eastAsia="en-AU"/>
        </w:rPr>
        <w:t>i</w:t>
      </w:r>
      <w:r w:rsidRPr="009F46D4">
        <w:rPr>
          <w:rFonts w:ascii="Times New Roman" w:hAnsi="Times New Roman"/>
          <w:sz w:val="24"/>
          <w:szCs w:val="24"/>
          <w:lang w:eastAsia="en-AU"/>
        </w:rPr>
        <w:t xml:space="preserve">s that a proposed appeal would be rendered nugatory unless a stay were granted.  The stay application was heard and written reasons were </w:t>
      </w:r>
      <w:r w:rsidR="004D4FDD" w:rsidRPr="009F46D4">
        <w:rPr>
          <w:rFonts w:ascii="Times New Roman" w:hAnsi="Times New Roman"/>
          <w:sz w:val="24"/>
          <w:szCs w:val="24"/>
          <w:lang w:eastAsia="en-AU"/>
        </w:rPr>
        <w:t xml:space="preserve">published on 22 December 2015, the day after I had handed down the enforcement judgment. </w:t>
      </w:r>
    </w:p>
    <w:p w14:paraId="26E0C5A7" w14:textId="03D3A7D6" w:rsidR="00BB1EB4" w:rsidRPr="009F46D4" w:rsidRDefault="004D4FDD" w:rsidP="00CE4C78">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In support of the application, the respondents relied on the relevant provision of the Supreme Court Rules which allows the court to stay execution of a judgment, and submitted that the same principles were applicable as in any other application for a stay pending appeal.</w:t>
      </w:r>
      <w:r w:rsidR="009B60AB" w:rsidRPr="009F46D4">
        <w:rPr>
          <w:rStyle w:val="FootnoteReference"/>
          <w:rFonts w:ascii="Times New Roman" w:hAnsi="Times New Roman"/>
          <w:sz w:val="24"/>
          <w:szCs w:val="24"/>
          <w:lang w:eastAsia="en-AU"/>
        </w:rPr>
        <w:footnoteReference w:id="56"/>
      </w:r>
      <w:r w:rsidRPr="009F46D4">
        <w:rPr>
          <w:rFonts w:ascii="Times New Roman" w:hAnsi="Times New Roman"/>
          <w:sz w:val="24"/>
          <w:szCs w:val="24"/>
          <w:lang w:eastAsia="en-AU"/>
        </w:rPr>
        <w:t xml:space="preserve">  This argument gives rise to an interesting conundrum in light of the </w:t>
      </w:r>
      <w:r w:rsidR="00C33BE9" w:rsidRPr="009F46D4">
        <w:rPr>
          <w:rFonts w:ascii="Times New Roman" w:hAnsi="Times New Roman"/>
          <w:sz w:val="24"/>
          <w:szCs w:val="24"/>
          <w:lang w:eastAsia="en-AU"/>
        </w:rPr>
        <w:t>challenge</w:t>
      </w:r>
      <w:r w:rsidRPr="009F46D4">
        <w:rPr>
          <w:rFonts w:ascii="Times New Roman" w:hAnsi="Times New Roman"/>
          <w:sz w:val="24"/>
          <w:szCs w:val="24"/>
          <w:lang w:eastAsia="en-AU"/>
        </w:rPr>
        <w:t xml:space="preserve"> that I have been discussing this morning.  The whole point of enforcement is that an arbitral award can be enforced as an order of the court.  Accordingly, the court should be entitled to stay execution of</w:t>
      </w:r>
      <w:r w:rsidR="00BD64E0" w:rsidRPr="009F46D4">
        <w:rPr>
          <w:rFonts w:ascii="Times New Roman" w:hAnsi="Times New Roman"/>
          <w:sz w:val="24"/>
          <w:szCs w:val="24"/>
          <w:lang w:eastAsia="en-AU"/>
        </w:rPr>
        <w:t xml:space="preserve"> those orders if appropriate,</w:t>
      </w:r>
      <w:r w:rsidRPr="009F46D4">
        <w:rPr>
          <w:rFonts w:ascii="Times New Roman" w:hAnsi="Times New Roman"/>
          <w:sz w:val="24"/>
          <w:szCs w:val="24"/>
          <w:lang w:eastAsia="en-AU"/>
        </w:rPr>
        <w:t xml:space="preserve"> pursuant to the usual principles.</w:t>
      </w:r>
      <w:r w:rsidR="00BD64E0" w:rsidRPr="009F46D4">
        <w:rPr>
          <w:rFonts w:ascii="Times New Roman" w:hAnsi="Times New Roman"/>
          <w:sz w:val="24"/>
          <w:szCs w:val="24"/>
          <w:lang w:eastAsia="en-AU"/>
        </w:rPr>
        <w:t xml:space="preserve">  However, on face value, the application of these principles appears to </w:t>
      </w:r>
      <w:r w:rsidR="00801E00" w:rsidRPr="009F46D4">
        <w:rPr>
          <w:rFonts w:ascii="Times New Roman" w:hAnsi="Times New Roman"/>
          <w:sz w:val="24"/>
          <w:szCs w:val="24"/>
          <w:lang w:eastAsia="en-AU"/>
        </w:rPr>
        <w:t>be indicative of domesticity</w:t>
      </w:r>
      <w:r w:rsidR="00BB1EB4" w:rsidRPr="009F46D4">
        <w:rPr>
          <w:rFonts w:ascii="Times New Roman" w:hAnsi="Times New Roman"/>
          <w:sz w:val="24"/>
          <w:szCs w:val="24"/>
          <w:lang w:eastAsia="en-AU"/>
        </w:rPr>
        <w:t xml:space="preserve"> in the sense that provision is not made for the grant of stay of execution in either the New York Convention or the Model Law.</w:t>
      </w:r>
      <w:r w:rsidR="002A3E39" w:rsidRPr="009F46D4">
        <w:rPr>
          <w:rFonts w:ascii="Times New Roman" w:hAnsi="Times New Roman"/>
          <w:sz w:val="24"/>
          <w:szCs w:val="24"/>
          <w:lang w:eastAsia="en-AU"/>
        </w:rPr>
        <w:t xml:space="preserve">  Indeed, as</w:t>
      </w:r>
      <w:r w:rsidR="00FE3863" w:rsidRPr="009F46D4">
        <w:rPr>
          <w:rFonts w:ascii="Times New Roman" w:hAnsi="Times New Roman"/>
          <w:sz w:val="24"/>
          <w:szCs w:val="24"/>
          <w:lang w:eastAsia="en-AU"/>
        </w:rPr>
        <w:t xml:space="preserve"> </w:t>
      </w:r>
      <w:proofErr w:type="spellStart"/>
      <w:r w:rsidR="00FE3863" w:rsidRPr="009F46D4">
        <w:rPr>
          <w:rFonts w:ascii="Times New Roman" w:hAnsi="Times New Roman"/>
          <w:sz w:val="24"/>
          <w:szCs w:val="24"/>
          <w:lang w:eastAsia="en-AU"/>
        </w:rPr>
        <w:t>Allsop</w:t>
      </w:r>
      <w:proofErr w:type="spellEnd"/>
      <w:r w:rsidR="00FE3863" w:rsidRPr="009F46D4">
        <w:rPr>
          <w:rFonts w:ascii="Times New Roman" w:hAnsi="Times New Roman"/>
          <w:sz w:val="24"/>
          <w:szCs w:val="24"/>
          <w:lang w:eastAsia="en-AU"/>
        </w:rPr>
        <w:t xml:space="preserve"> CJ put it in the case of </w:t>
      </w:r>
      <w:r w:rsidR="00FE3863" w:rsidRPr="009F46D4">
        <w:rPr>
          <w:rFonts w:ascii="Times New Roman" w:hAnsi="Times New Roman"/>
          <w:i/>
          <w:sz w:val="24"/>
          <w:szCs w:val="24"/>
          <w:lang w:eastAsia="en-AU"/>
        </w:rPr>
        <w:t>Elders International Australia Pty Ltd v Beijing Be Green Import &amp; Export Co Ltd</w:t>
      </w:r>
      <w:r w:rsidR="00FE3863" w:rsidRPr="009F46D4">
        <w:rPr>
          <w:rFonts w:ascii="Times New Roman" w:hAnsi="Times New Roman"/>
          <w:sz w:val="24"/>
          <w:szCs w:val="24"/>
          <w:lang w:eastAsia="en-AU"/>
        </w:rPr>
        <w:t>:</w:t>
      </w:r>
      <w:r w:rsidR="00FE3863" w:rsidRPr="009F46D4">
        <w:rPr>
          <w:rStyle w:val="FootnoteReference"/>
          <w:rFonts w:ascii="Times New Roman" w:hAnsi="Times New Roman"/>
          <w:sz w:val="24"/>
          <w:szCs w:val="24"/>
          <w:lang w:eastAsia="en-AU"/>
        </w:rPr>
        <w:footnoteReference w:id="57"/>
      </w:r>
      <w:r w:rsidR="00BB1EB4" w:rsidRPr="009F46D4">
        <w:rPr>
          <w:rFonts w:ascii="Times New Roman" w:hAnsi="Times New Roman"/>
          <w:sz w:val="24"/>
          <w:szCs w:val="24"/>
          <w:lang w:eastAsia="en-AU"/>
        </w:rPr>
        <w:t xml:space="preserve"> </w:t>
      </w:r>
    </w:p>
    <w:p w14:paraId="6FDAF2C4" w14:textId="6472823D" w:rsidR="00FE3863" w:rsidRPr="009F46D4" w:rsidRDefault="00FE3863" w:rsidP="00FE3863">
      <w:pPr>
        <w:pStyle w:val="Quote1"/>
        <w:spacing w:line="240" w:lineRule="auto"/>
        <w:ind w:left="720"/>
        <w:rPr>
          <w:rFonts w:ascii="Times New Roman" w:hAnsi="Times New Roman"/>
          <w:sz w:val="24"/>
          <w:szCs w:val="24"/>
        </w:rPr>
      </w:pPr>
      <w:r w:rsidRPr="009F46D4">
        <w:rPr>
          <w:rFonts w:ascii="Times New Roman" w:hAnsi="Times New Roman"/>
          <w:sz w:val="24"/>
          <w:szCs w:val="24"/>
        </w:rPr>
        <w:t xml:space="preserve">A clear, express and demonstrated public policy of the Australian Parliament is contained within the Act for the facilitation of the enforcement of international arbitral awards.  That facilitation means their proper, efficient and timeous facilitation and recognition.  To grant a stay would delay enforcement. </w:t>
      </w:r>
    </w:p>
    <w:p w14:paraId="3B9CD44C" w14:textId="0CED7E56" w:rsidR="00BB1EB4" w:rsidRPr="009F46D4" w:rsidRDefault="00FE3863" w:rsidP="00BB1EB4">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After referring to</w:t>
      </w:r>
      <w:r w:rsidR="00801E00" w:rsidRPr="009F46D4">
        <w:rPr>
          <w:rFonts w:ascii="Times New Roman" w:hAnsi="Times New Roman"/>
          <w:sz w:val="24"/>
          <w:szCs w:val="24"/>
          <w:lang w:eastAsia="en-AU"/>
        </w:rPr>
        <w:t xml:space="preserve"> this passage</w:t>
      </w:r>
      <w:r w:rsidR="00BB1EB4" w:rsidRPr="009F46D4">
        <w:rPr>
          <w:rFonts w:ascii="Times New Roman" w:hAnsi="Times New Roman"/>
          <w:sz w:val="24"/>
          <w:szCs w:val="24"/>
          <w:lang w:eastAsia="en-AU"/>
        </w:rPr>
        <w:t xml:space="preserve"> and other authorities, including from Singapore, I found that “the policy underlying the [International Arbitration] Act speaks strongly against staying execution of a judgment enforcing a foreign arbitral award.”</w:t>
      </w:r>
      <w:r w:rsidR="00BB1EB4" w:rsidRPr="009F46D4">
        <w:rPr>
          <w:rStyle w:val="FootnoteReference"/>
          <w:rFonts w:ascii="Times New Roman" w:hAnsi="Times New Roman"/>
          <w:sz w:val="24"/>
          <w:szCs w:val="24"/>
          <w:lang w:eastAsia="en-AU"/>
        </w:rPr>
        <w:footnoteReference w:id="58"/>
      </w:r>
      <w:r w:rsidR="00BB1EB4" w:rsidRPr="009F46D4">
        <w:rPr>
          <w:rFonts w:ascii="Times New Roman" w:hAnsi="Times New Roman"/>
          <w:sz w:val="24"/>
          <w:szCs w:val="24"/>
          <w:lang w:eastAsia="en-AU"/>
        </w:rPr>
        <w:t xml:space="preserve">  As the </w:t>
      </w:r>
      <w:r w:rsidR="00801E00" w:rsidRPr="009F46D4">
        <w:rPr>
          <w:rFonts w:ascii="Times New Roman" w:hAnsi="Times New Roman"/>
          <w:sz w:val="24"/>
          <w:szCs w:val="24"/>
          <w:lang w:eastAsia="en-AU"/>
        </w:rPr>
        <w:t xml:space="preserve">Chief Justice went on to say </w:t>
      </w:r>
      <w:r w:rsidR="00BB1EB4" w:rsidRPr="009F46D4">
        <w:rPr>
          <w:rFonts w:ascii="Times New Roman" w:hAnsi="Times New Roman"/>
          <w:sz w:val="24"/>
          <w:szCs w:val="24"/>
          <w:lang w:eastAsia="en-AU"/>
        </w:rPr>
        <w:t xml:space="preserve">in </w:t>
      </w:r>
      <w:r w:rsidR="00BB1EB4" w:rsidRPr="009F46D4">
        <w:rPr>
          <w:rFonts w:ascii="Times New Roman" w:hAnsi="Times New Roman"/>
          <w:i/>
          <w:sz w:val="24"/>
          <w:szCs w:val="24"/>
          <w:lang w:eastAsia="en-AU"/>
        </w:rPr>
        <w:t>Elders</w:t>
      </w:r>
      <w:r w:rsidR="00BB1EB4" w:rsidRPr="009F46D4">
        <w:rPr>
          <w:rFonts w:ascii="Times New Roman" w:hAnsi="Times New Roman"/>
          <w:sz w:val="24"/>
          <w:szCs w:val="24"/>
          <w:lang w:eastAsia="en-AU"/>
        </w:rPr>
        <w:t xml:space="preserve"> though, this does not mean that “a stay of a judgment based on an international </w:t>
      </w:r>
      <w:r w:rsidR="00BB1EB4" w:rsidRPr="009F46D4">
        <w:rPr>
          <w:rFonts w:ascii="Times New Roman" w:hAnsi="Times New Roman"/>
          <w:sz w:val="24"/>
          <w:szCs w:val="24"/>
          <w:lang w:eastAsia="en-AU"/>
        </w:rPr>
        <w:lastRenderedPageBreak/>
        <w:t>arbitration award should never be given”.</w:t>
      </w:r>
      <w:r w:rsidR="00BB1EB4" w:rsidRPr="009F46D4">
        <w:rPr>
          <w:rStyle w:val="FootnoteReference"/>
          <w:rFonts w:ascii="Times New Roman" w:hAnsi="Times New Roman"/>
          <w:sz w:val="24"/>
          <w:szCs w:val="24"/>
          <w:lang w:eastAsia="en-AU"/>
        </w:rPr>
        <w:footnoteReference w:id="59"/>
      </w:r>
      <w:r w:rsidR="00BB1EB4" w:rsidRPr="009F46D4">
        <w:rPr>
          <w:rFonts w:ascii="Times New Roman" w:hAnsi="Times New Roman"/>
          <w:sz w:val="24"/>
          <w:szCs w:val="24"/>
          <w:lang w:eastAsia="en-AU"/>
        </w:rPr>
        <w:t xml:space="preserve">  </w:t>
      </w:r>
      <w:r w:rsidR="00F947D2" w:rsidRPr="009F46D4">
        <w:rPr>
          <w:rFonts w:ascii="Times New Roman" w:hAnsi="Times New Roman"/>
          <w:sz w:val="24"/>
          <w:szCs w:val="24"/>
          <w:lang w:eastAsia="en-AU"/>
        </w:rPr>
        <w:t>However, in my view, this does suggest that the court must exercise its discretion to grant a stay sparingly.</w:t>
      </w:r>
    </w:p>
    <w:p w14:paraId="19DE865C" w14:textId="21445588" w:rsidR="00CE4C78" w:rsidRPr="009F46D4" w:rsidRDefault="00BB1EB4" w:rsidP="00CE4C78">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 xml:space="preserve">In the circumstances of the </w:t>
      </w:r>
      <w:proofErr w:type="spellStart"/>
      <w:r w:rsidRPr="009F46D4">
        <w:rPr>
          <w:rFonts w:ascii="Times New Roman" w:hAnsi="Times New Roman"/>
          <w:i/>
          <w:sz w:val="24"/>
          <w:szCs w:val="24"/>
          <w:lang w:eastAsia="en-AU"/>
        </w:rPr>
        <w:t>Gutnick</w:t>
      </w:r>
      <w:proofErr w:type="spellEnd"/>
      <w:r w:rsidRPr="009F46D4">
        <w:rPr>
          <w:rFonts w:ascii="Times New Roman" w:hAnsi="Times New Roman"/>
          <w:i/>
          <w:sz w:val="24"/>
          <w:szCs w:val="24"/>
          <w:lang w:eastAsia="en-AU"/>
        </w:rPr>
        <w:t xml:space="preserve"> </w:t>
      </w:r>
      <w:r w:rsidRPr="009F46D4">
        <w:rPr>
          <w:rFonts w:ascii="Times New Roman" w:hAnsi="Times New Roman"/>
          <w:sz w:val="24"/>
          <w:szCs w:val="24"/>
          <w:lang w:eastAsia="en-AU"/>
        </w:rPr>
        <w:t xml:space="preserve">case, I was prepared to grant an interim stay of no more than five court days during a Law Term, </w:t>
      </w:r>
      <w:r w:rsidR="00F947D2" w:rsidRPr="009F46D4">
        <w:rPr>
          <w:rFonts w:ascii="Times New Roman" w:hAnsi="Times New Roman"/>
          <w:sz w:val="24"/>
          <w:szCs w:val="24"/>
          <w:lang w:eastAsia="en-AU"/>
        </w:rPr>
        <w:t>subject to the direction of the Court of Appeal</w:t>
      </w:r>
      <w:r w:rsidRPr="009F46D4">
        <w:rPr>
          <w:rFonts w:ascii="Times New Roman" w:hAnsi="Times New Roman"/>
          <w:sz w:val="24"/>
          <w:szCs w:val="24"/>
          <w:lang w:eastAsia="en-AU"/>
        </w:rPr>
        <w:t>.</w:t>
      </w:r>
      <w:r w:rsidRPr="009F46D4">
        <w:rPr>
          <w:rStyle w:val="FootnoteReference"/>
          <w:rFonts w:ascii="Times New Roman" w:hAnsi="Times New Roman"/>
          <w:sz w:val="24"/>
          <w:szCs w:val="24"/>
        </w:rPr>
        <w:footnoteReference w:id="60"/>
      </w:r>
      <w:r w:rsidRPr="009F46D4">
        <w:rPr>
          <w:rFonts w:ascii="Times New Roman" w:hAnsi="Times New Roman"/>
          <w:sz w:val="24"/>
          <w:szCs w:val="24"/>
          <w:lang w:eastAsia="en-AU"/>
        </w:rPr>
        <w:t xml:space="preserve">  Given the time of year, this meant that </w:t>
      </w:r>
      <w:r w:rsidR="00F947D2" w:rsidRPr="009F46D4">
        <w:rPr>
          <w:rFonts w:ascii="Times New Roman" w:hAnsi="Times New Roman"/>
          <w:sz w:val="24"/>
          <w:szCs w:val="24"/>
          <w:lang w:eastAsia="en-AU"/>
        </w:rPr>
        <w:t>the respondents obtained a</w:t>
      </w:r>
      <w:r w:rsidRPr="009F46D4">
        <w:rPr>
          <w:rFonts w:ascii="Times New Roman" w:hAnsi="Times New Roman"/>
          <w:sz w:val="24"/>
          <w:szCs w:val="24"/>
          <w:lang w:eastAsia="en-AU"/>
        </w:rPr>
        <w:t xml:space="preserve"> stay</w:t>
      </w:r>
      <w:r w:rsidR="00D26736" w:rsidRPr="009F46D4">
        <w:rPr>
          <w:rFonts w:ascii="Times New Roman" w:hAnsi="Times New Roman"/>
          <w:sz w:val="24"/>
          <w:szCs w:val="24"/>
          <w:lang w:eastAsia="en-AU"/>
        </w:rPr>
        <w:t xml:space="preserve"> of</w:t>
      </w:r>
      <w:r w:rsidR="00F066A3" w:rsidRPr="009F46D4">
        <w:rPr>
          <w:rFonts w:ascii="Times New Roman" w:hAnsi="Times New Roman"/>
          <w:sz w:val="24"/>
          <w:szCs w:val="24"/>
          <w:lang w:eastAsia="en-AU"/>
        </w:rPr>
        <w:t xml:space="preserve"> </w:t>
      </w:r>
      <w:r w:rsidRPr="009F46D4">
        <w:rPr>
          <w:rFonts w:ascii="Times New Roman" w:hAnsi="Times New Roman"/>
          <w:sz w:val="24"/>
          <w:szCs w:val="24"/>
          <w:lang w:eastAsia="en-AU"/>
        </w:rPr>
        <w:t>execution of the judgment un</w:t>
      </w:r>
      <w:r w:rsidR="00F947D2" w:rsidRPr="009F46D4">
        <w:rPr>
          <w:rFonts w:ascii="Times New Roman" w:hAnsi="Times New Roman"/>
          <w:sz w:val="24"/>
          <w:szCs w:val="24"/>
          <w:lang w:eastAsia="en-AU"/>
        </w:rPr>
        <w:t>til the first week of February this year.</w:t>
      </w:r>
      <w:r w:rsidR="00AF55C1" w:rsidRPr="009F46D4">
        <w:rPr>
          <w:rFonts w:ascii="Times New Roman" w:hAnsi="Times New Roman"/>
          <w:sz w:val="24"/>
          <w:szCs w:val="24"/>
          <w:lang w:eastAsia="en-AU"/>
        </w:rPr>
        <w:t xml:space="preserve">  </w:t>
      </w:r>
      <w:r w:rsidR="00E42962" w:rsidRPr="009F46D4">
        <w:rPr>
          <w:rFonts w:ascii="Times New Roman" w:hAnsi="Times New Roman"/>
          <w:sz w:val="24"/>
          <w:szCs w:val="24"/>
          <w:lang w:eastAsia="en-AU"/>
        </w:rPr>
        <w:t>The</w:t>
      </w:r>
      <w:r w:rsidR="006552D2" w:rsidRPr="009F46D4">
        <w:rPr>
          <w:rFonts w:ascii="Times New Roman" w:hAnsi="Times New Roman"/>
          <w:sz w:val="24"/>
          <w:szCs w:val="24"/>
          <w:lang w:eastAsia="en-AU"/>
        </w:rPr>
        <w:t xml:space="preserve"> application for leave to appeal was filed promptly</w:t>
      </w:r>
      <w:r w:rsidR="00AF55C1" w:rsidRPr="009F46D4">
        <w:rPr>
          <w:rFonts w:ascii="Times New Roman" w:hAnsi="Times New Roman"/>
          <w:sz w:val="24"/>
          <w:szCs w:val="24"/>
          <w:lang w:eastAsia="en-AU"/>
        </w:rPr>
        <w:t xml:space="preserve"> following the grant of the stay</w:t>
      </w:r>
      <w:r w:rsidR="006552D2" w:rsidRPr="009F46D4">
        <w:rPr>
          <w:rFonts w:ascii="Times New Roman" w:hAnsi="Times New Roman"/>
          <w:sz w:val="24"/>
          <w:szCs w:val="24"/>
          <w:lang w:eastAsia="en-AU"/>
        </w:rPr>
        <w:t>, and the Court of Appeal heard t</w:t>
      </w:r>
      <w:r w:rsidR="00AF55C1" w:rsidRPr="009F46D4">
        <w:rPr>
          <w:rFonts w:ascii="Times New Roman" w:hAnsi="Times New Roman"/>
          <w:sz w:val="24"/>
          <w:szCs w:val="24"/>
          <w:lang w:eastAsia="en-AU"/>
        </w:rPr>
        <w:t>hat application and the appeal (as if leave had been granted)</w:t>
      </w:r>
      <w:r w:rsidR="00EF7F7B" w:rsidRPr="009F46D4">
        <w:rPr>
          <w:rFonts w:ascii="Times New Roman" w:hAnsi="Times New Roman"/>
          <w:sz w:val="24"/>
          <w:szCs w:val="24"/>
          <w:lang w:eastAsia="en-AU"/>
        </w:rPr>
        <w:t xml:space="preserve"> on the final day of the stay</w:t>
      </w:r>
      <w:r w:rsidR="006552D2" w:rsidRPr="009F46D4">
        <w:rPr>
          <w:rFonts w:ascii="Times New Roman" w:hAnsi="Times New Roman"/>
          <w:sz w:val="24"/>
          <w:szCs w:val="24"/>
          <w:lang w:eastAsia="en-AU"/>
        </w:rPr>
        <w:t xml:space="preserve">, </w:t>
      </w:r>
      <w:r w:rsidR="00FF1E73" w:rsidRPr="009F46D4">
        <w:rPr>
          <w:rFonts w:ascii="Times New Roman" w:hAnsi="Times New Roman"/>
          <w:sz w:val="24"/>
          <w:szCs w:val="24"/>
          <w:lang w:eastAsia="en-AU"/>
        </w:rPr>
        <w:t>which was</w:t>
      </w:r>
      <w:r w:rsidR="00E42962" w:rsidRPr="009F46D4">
        <w:rPr>
          <w:rFonts w:ascii="Times New Roman" w:hAnsi="Times New Roman"/>
          <w:sz w:val="24"/>
          <w:szCs w:val="24"/>
          <w:lang w:eastAsia="en-AU"/>
        </w:rPr>
        <w:t xml:space="preserve"> </w:t>
      </w:r>
      <w:r w:rsidR="006552D2" w:rsidRPr="009F46D4">
        <w:rPr>
          <w:rFonts w:ascii="Times New Roman" w:hAnsi="Times New Roman"/>
          <w:sz w:val="24"/>
          <w:szCs w:val="24"/>
          <w:lang w:eastAsia="en-AU"/>
        </w:rPr>
        <w:t>a Friday.  As I have already mentioned, the Court of Appeal refused leave to appeal and delivered its</w:t>
      </w:r>
      <w:r w:rsidR="00E42962" w:rsidRPr="009F46D4">
        <w:rPr>
          <w:rFonts w:ascii="Times New Roman" w:hAnsi="Times New Roman"/>
          <w:sz w:val="24"/>
          <w:szCs w:val="24"/>
          <w:lang w:eastAsia="en-AU"/>
        </w:rPr>
        <w:t xml:space="preserve"> judgment the following Tuesday</w:t>
      </w:r>
      <w:r w:rsidR="006552D2" w:rsidRPr="009F46D4">
        <w:rPr>
          <w:rFonts w:ascii="Times New Roman" w:hAnsi="Times New Roman"/>
          <w:sz w:val="24"/>
          <w:szCs w:val="24"/>
          <w:lang w:eastAsia="en-AU"/>
        </w:rPr>
        <w:t xml:space="preserve">.  Once again, upon judgment </w:t>
      </w:r>
      <w:proofErr w:type="spellStart"/>
      <w:r w:rsidR="006552D2" w:rsidRPr="009F46D4">
        <w:rPr>
          <w:rFonts w:ascii="Times New Roman" w:hAnsi="Times New Roman"/>
          <w:sz w:val="24"/>
          <w:szCs w:val="24"/>
          <w:lang w:eastAsia="en-AU"/>
        </w:rPr>
        <w:t>Gutnick</w:t>
      </w:r>
      <w:proofErr w:type="spellEnd"/>
      <w:r w:rsidR="006552D2" w:rsidRPr="009F46D4">
        <w:rPr>
          <w:rFonts w:ascii="Times New Roman" w:hAnsi="Times New Roman"/>
          <w:sz w:val="24"/>
          <w:szCs w:val="24"/>
          <w:lang w:eastAsia="en-AU"/>
        </w:rPr>
        <w:t xml:space="preserve"> and Legend indicated their intention to appeal and sought an extension of the stay.  </w:t>
      </w:r>
      <w:proofErr w:type="spellStart"/>
      <w:r w:rsidR="006552D2" w:rsidRPr="009F46D4">
        <w:rPr>
          <w:rFonts w:ascii="Times New Roman" w:hAnsi="Times New Roman"/>
          <w:sz w:val="24"/>
          <w:szCs w:val="24"/>
          <w:lang w:eastAsia="en-AU"/>
        </w:rPr>
        <w:t>IFFCo</w:t>
      </w:r>
      <w:proofErr w:type="spellEnd"/>
      <w:r w:rsidR="006552D2" w:rsidRPr="009F46D4">
        <w:rPr>
          <w:rFonts w:ascii="Times New Roman" w:hAnsi="Times New Roman"/>
          <w:sz w:val="24"/>
          <w:szCs w:val="24"/>
          <w:lang w:eastAsia="en-AU"/>
        </w:rPr>
        <w:t xml:space="preserve"> and </w:t>
      </w:r>
      <w:proofErr w:type="spellStart"/>
      <w:r w:rsidR="006552D2" w:rsidRPr="009F46D4">
        <w:rPr>
          <w:rFonts w:ascii="Times New Roman" w:hAnsi="Times New Roman"/>
          <w:sz w:val="24"/>
          <w:szCs w:val="24"/>
          <w:lang w:eastAsia="en-AU"/>
        </w:rPr>
        <w:t>Kisan</w:t>
      </w:r>
      <w:proofErr w:type="spellEnd"/>
      <w:r w:rsidR="006552D2" w:rsidRPr="009F46D4">
        <w:rPr>
          <w:rFonts w:ascii="Times New Roman" w:hAnsi="Times New Roman"/>
          <w:sz w:val="24"/>
          <w:szCs w:val="24"/>
          <w:lang w:eastAsia="en-AU"/>
        </w:rPr>
        <w:t xml:space="preserve"> opposed this application but</w:t>
      </w:r>
      <w:r w:rsidR="00E42962" w:rsidRPr="009F46D4">
        <w:rPr>
          <w:rFonts w:ascii="Times New Roman" w:hAnsi="Times New Roman"/>
          <w:sz w:val="24"/>
          <w:szCs w:val="24"/>
          <w:lang w:eastAsia="en-AU"/>
        </w:rPr>
        <w:t xml:space="preserve"> ultimately</w:t>
      </w:r>
      <w:r w:rsidR="006552D2" w:rsidRPr="009F46D4">
        <w:rPr>
          <w:rFonts w:ascii="Times New Roman" w:hAnsi="Times New Roman"/>
          <w:sz w:val="24"/>
          <w:szCs w:val="24"/>
          <w:lang w:eastAsia="en-AU"/>
        </w:rPr>
        <w:t xml:space="preserve"> conceded that there would be no prejudice to them should the stay be extended to the end of that week.  </w:t>
      </w:r>
      <w:r w:rsidR="00E42962" w:rsidRPr="009F46D4">
        <w:rPr>
          <w:rFonts w:ascii="Times New Roman" w:hAnsi="Times New Roman"/>
          <w:sz w:val="24"/>
          <w:szCs w:val="24"/>
          <w:lang w:eastAsia="en-AU"/>
        </w:rPr>
        <w:t>As a result</w:t>
      </w:r>
      <w:r w:rsidR="006552D2" w:rsidRPr="009F46D4">
        <w:rPr>
          <w:rFonts w:ascii="Times New Roman" w:hAnsi="Times New Roman"/>
          <w:sz w:val="24"/>
          <w:szCs w:val="24"/>
          <w:lang w:eastAsia="en-AU"/>
        </w:rPr>
        <w:t xml:space="preserve">, the Court of Appeal made orders extending the stay </w:t>
      </w:r>
      <w:r w:rsidR="00E42962" w:rsidRPr="009F46D4">
        <w:rPr>
          <w:rFonts w:ascii="Times New Roman" w:hAnsi="Times New Roman"/>
          <w:sz w:val="24"/>
          <w:szCs w:val="24"/>
          <w:lang w:eastAsia="en-AU"/>
        </w:rPr>
        <w:t>to</w:t>
      </w:r>
      <w:r w:rsidR="006552D2" w:rsidRPr="009F46D4">
        <w:rPr>
          <w:rFonts w:ascii="Times New Roman" w:hAnsi="Times New Roman"/>
          <w:sz w:val="24"/>
          <w:szCs w:val="24"/>
          <w:lang w:eastAsia="en-AU"/>
        </w:rPr>
        <w:t xml:space="preserve"> 12 February, or until such other time as might otherwise be ordered by it or the High Court</w:t>
      </w:r>
      <w:r w:rsidR="006344CA" w:rsidRPr="009F46D4">
        <w:rPr>
          <w:rFonts w:ascii="Times New Roman" w:hAnsi="Times New Roman"/>
          <w:sz w:val="24"/>
          <w:szCs w:val="24"/>
          <w:lang w:eastAsia="en-AU"/>
        </w:rPr>
        <w:t xml:space="preserve"> of Australia</w:t>
      </w:r>
      <w:r w:rsidR="006338D3" w:rsidRPr="009F46D4">
        <w:rPr>
          <w:rFonts w:ascii="Times New Roman" w:hAnsi="Times New Roman"/>
          <w:sz w:val="24"/>
          <w:szCs w:val="24"/>
          <w:lang w:eastAsia="en-AU"/>
        </w:rPr>
        <w:t>.</w:t>
      </w:r>
      <w:r w:rsidR="002F191C" w:rsidRPr="009F46D4">
        <w:rPr>
          <w:rFonts w:ascii="Times New Roman" w:hAnsi="Times New Roman"/>
          <w:sz w:val="24"/>
          <w:szCs w:val="24"/>
          <w:lang w:eastAsia="en-AU"/>
        </w:rPr>
        <w:t xml:space="preserve">  To date, I have not been made aware of any application for special leave to appeal to the High Court, or to extend the stay further.</w:t>
      </w:r>
    </w:p>
    <w:p w14:paraId="0BE72EB6" w14:textId="3F4909B1" w:rsidR="007E1A83" w:rsidRPr="009F46D4" w:rsidRDefault="007E1A83" w:rsidP="007E1A83">
      <w:pPr>
        <w:pStyle w:val="Heading1"/>
        <w:numPr>
          <w:ilvl w:val="0"/>
          <w:numId w:val="12"/>
        </w:numPr>
        <w:tabs>
          <w:tab w:val="clear" w:pos="8280"/>
        </w:tabs>
        <w:ind w:hanging="720"/>
        <w:rPr>
          <w:sz w:val="28"/>
          <w:szCs w:val="28"/>
        </w:rPr>
      </w:pPr>
      <w:r w:rsidRPr="009F46D4">
        <w:rPr>
          <w:sz w:val="28"/>
          <w:szCs w:val="28"/>
        </w:rPr>
        <w:t>Conclusion</w:t>
      </w:r>
    </w:p>
    <w:p w14:paraId="1363DF4B" w14:textId="4C0712F4" w:rsidR="00CD7E23" w:rsidRPr="009F46D4" w:rsidRDefault="00EF7F7B" w:rsidP="00CD7E23">
      <w:pPr>
        <w:spacing w:line="360" w:lineRule="auto"/>
        <w:jc w:val="both"/>
        <w:rPr>
          <w:rFonts w:ascii="Times New Roman" w:hAnsi="Times New Roman"/>
          <w:sz w:val="24"/>
          <w:szCs w:val="24"/>
          <w:lang w:eastAsia="en-AU"/>
        </w:rPr>
      </w:pPr>
      <w:r w:rsidRPr="009F46D4">
        <w:rPr>
          <w:rFonts w:ascii="Times New Roman" w:hAnsi="Times New Roman"/>
          <w:sz w:val="24"/>
          <w:szCs w:val="24"/>
          <w:lang w:eastAsia="en-AU"/>
        </w:rPr>
        <w:t>In closing, and as I have discussed this morning, the</w:t>
      </w:r>
      <w:r w:rsidR="008510BC" w:rsidRPr="009F46D4">
        <w:rPr>
          <w:rFonts w:ascii="Times New Roman" w:hAnsi="Times New Roman"/>
          <w:sz w:val="24"/>
          <w:szCs w:val="24"/>
          <w:lang w:eastAsia="en-AU"/>
        </w:rPr>
        <w:t xml:space="preserve"> challenge of resisting the</w:t>
      </w:r>
      <w:r w:rsidRPr="009F46D4">
        <w:rPr>
          <w:rFonts w:ascii="Times New Roman" w:hAnsi="Times New Roman"/>
          <w:sz w:val="24"/>
          <w:szCs w:val="24"/>
          <w:lang w:eastAsia="en-AU"/>
        </w:rPr>
        <w:t xml:space="preserve"> temptation </w:t>
      </w:r>
      <w:r w:rsidR="008510BC" w:rsidRPr="009F46D4">
        <w:rPr>
          <w:rFonts w:ascii="Times New Roman" w:hAnsi="Times New Roman"/>
          <w:sz w:val="24"/>
          <w:szCs w:val="24"/>
          <w:lang w:eastAsia="en-AU"/>
        </w:rPr>
        <w:t>of domesticity is significant.  Practitioners and courts alike must remain vigilant in order to ensure that due regard is had to the international provenance of domestic legislation based on the New York Convention and the Model Law</w:t>
      </w:r>
      <w:r w:rsidR="00984DE6" w:rsidRPr="009F46D4">
        <w:rPr>
          <w:rFonts w:ascii="Times New Roman" w:hAnsi="Times New Roman"/>
          <w:sz w:val="24"/>
          <w:szCs w:val="24"/>
          <w:lang w:eastAsia="en-AU"/>
        </w:rPr>
        <w:t xml:space="preserve">, and in order to promote </w:t>
      </w:r>
      <w:r w:rsidR="008510BC" w:rsidRPr="009F46D4">
        <w:rPr>
          <w:rFonts w:ascii="Times New Roman" w:hAnsi="Times New Roman"/>
          <w:sz w:val="24"/>
          <w:szCs w:val="24"/>
          <w:lang w:eastAsia="en-AU"/>
        </w:rPr>
        <w:t>international uniformity in international commercial arbitration practice</w:t>
      </w:r>
      <w:r w:rsidR="00984DE6" w:rsidRPr="009F46D4">
        <w:rPr>
          <w:rFonts w:ascii="Times New Roman" w:hAnsi="Times New Roman"/>
          <w:sz w:val="24"/>
          <w:szCs w:val="24"/>
          <w:lang w:eastAsia="en-AU"/>
        </w:rPr>
        <w:t>.</w:t>
      </w:r>
    </w:p>
    <w:sectPr w:rsidR="00CD7E23" w:rsidRPr="009F46D4" w:rsidSect="00AA7E2B">
      <w:headerReference w:type="default" r:id="rId14"/>
      <w:pgSz w:w="11906" w:h="16838"/>
      <w:pgMar w:top="1440" w:right="1440" w:bottom="1440" w:left="1440"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7F3E9" w14:textId="77777777" w:rsidR="004D16C8" w:rsidRDefault="004D16C8" w:rsidP="00663F79">
      <w:pPr>
        <w:spacing w:after="0" w:line="240" w:lineRule="auto"/>
      </w:pPr>
      <w:r>
        <w:separator/>
      </w:r>
    </w:p>
  </w:endnote>
  <w:endnote w:type="continuationSeparator" w:id="0">
    <w:p w14:paraId="72284CD4" w14:textId="77777777" w:rsidR="004D16C8" w:rsidRDefault="004D16C8" w:rsidP="0066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6061" w14:textId="77777777" w:rsidR="007E6E71" w:rsidRPr="009F46D4" w:rsidRDefault="007E6E71">
    <w:pPr>
      <w:pStyle w:val="Footer"/>
      <w:jc w:val="right"/>
      <w:rPr>
        <w:lang w:val="en-AU"/>
      </w:rPr>
    </w:pPr>
    <w:r w:rsidRPr="009F46D4">
      <w:t xml:space="preserve">Page </w:t>
    </w:r>
    <w:r w:rsidRPr="009F46D4">
      <w:rPr>
        <w:b/>
        <w:bCs/>
        <w:sz w:val="24"/>
        <w:szCs w:val="24"/>
      </w:rPr>
      <w:fldChar w:fldCharType="begin"/>
    </w:r>
    <w:r w:rsidRPr="009F46D4">
      <w:rPr>
        <w:b/>
        <w:bCs/>
      </w:rPr>
      <w:instrText xml:space="preserve"> PAGE </w:instrText>
    </w:r>
    <w:r w:rsidRPr="009F46D4">
      <w:rPr>
        <w:b/>
        <w:bCs/>
        <w:sz w:val="24"/>
        <w:szCs w:val="24"/>
      </w:rPr>
      <w:fldChar w:fldCharType="separate"/>
    </w:r>
    <w:r w:rsidR="009F46D4">
      <w:rPr>
        <w:b/>
        <w:bCs/>
        <w:noProof/>
      </w:rPr>
      <w:t>16</w:t>
    </w:r>
    <w:r w:rsidRPr="009F46D4">
      <w:rPr>
        <w:b/>
        <w:bCs/>
        <w:sz w:val="24"/>
        <w:szCs w:val="24"/>
      </w:rPr>
      <w:fldChar w:fldCharType="end"/>
    </w:r>
  </w:p>
  <w:p w14:paraId="20BC319F" w14:textId="77777777" w:rsidR="007E6E71" w:rsidRDefault="007E6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9B0E" w14:textId="1E52529C" w:rsidR="007E6E71" w:rsidRPr="006F4865" w:rsidRDefault="007E6E71" w:rsidP="00BC0D4D">
    <w:pPr>
      <w:pStyle w:val="FootnoteText"/>
      <w:ind w:left="540" w:hanging="540"/>
      <w:rPr>
        <w:sz w:val="22"/>
        <w:szCs w:val="22"/>
      </w:rPr>
    </w:pPr>
    <w:r w:rsidRPr="006F4865">
      <w:rPr>
        <w:rStyle w:val="FootnoteReference"/>
        <w:sz w:val="22"/>
        <w:szCs w:val="22"/>
      </w:rPr>
      <w:sym w:font="Symbol" w:char="F02A"/>
    </w:r>
    <w:r w:rsidRPr="006F4865">
      <w:rPr>
        <w:sz w:val="22"/>
        <w:szCs w:val="22"/>
      </w:rPr>
      <w:tab/>
    </w:r>
    <w:r w:rsidRPr="006F4865">
      <w:rPr>
        <w:sz w:val="22"/>
        <w:szCs w:val="22"/>
      </w:rPr>
      <w:t xml:space="preserve">A paper </w:t>
    </w:r>
    <w:r>
      <w:rPr>
        <w:sz w:val="22"/>
        <w:szCs w:val="22"/>
        <w:lang w:val="en-AU"/>
      </w:rPr>
      <w:t xml:space="preserve">prepared for </w:t>
    </w:r>
    <w:r w:rsidR="00224CBC">
      <w:rPr>
        <w:sz w:val="22"/>
        <w:szCs w:val="22"/>
        <w:lang w:val="en-AU"/>
      </w:rPr>
      <w:t xml:space="preserve">the </w:t>
    </w:r>
    <w:r w:rsidR="00BB6F25">
      <w:rPr>
        <w:sz w:val="22"/>
        <w:szCs w:val="22"/>
        <w:lang w:val="en-AU"/>
      </w:rPr>
      <w:t>Arbitrators’ and Mediators’ Institute of New Zealand 2016 Conference: Dispute Resolution on the Edge (Queenstown, New Zealand, 5 March 2016)</w:t>
    </w:r>
    <w:r>
      <w:rPr>
        <w:sz w:val="22"/>
        <w:szCs w:val="22"/>
      </w:rPr>
      <w:t>.</w:t>
    </w:r>
    <w:r w:rsidR="00BB6F25">
      <w:rPr>
        <w:sz w:val="22"/>
        <w:szCs w:val="22"/>
        <w:lang w:val="en-AU"/>
      </w:rPr>
      <w:t xml:space="preserve"> </w:t>
    </w:r>
    <w:r>
      <w:rPr>
        <w:sz w:val="22"/>
        <w:szCs w:val="22"/>
        <w:lang w:val="en-AU"/>
      </w:rPr>
      <w:t xml:space="preserve"> I would like to thank my Senior Associate, Mr Martin John, LLB (Hons), BA (Monash), for his assistance in the preparation of this paper. </w:t>
    </w:r>
    <w:r w:rsidRPr="006F4865">
      <w:rPr>
        <w:sz w:val="22"/>
        <w:szCs w:val="22"/>
      </w:rPr>
      <w:t xml:space="preserve"> </w:t>
    </w:r>
  </w:p>
  <w:p w14:paraId="47492BBF" w14:textId="77777777" w:rsidR="007E6E71" w:rsidRPr="00BC0D4D" w:rsidRDefault="007E6E71" w:rsidP="00BC0D4D">
    <w:pPr>
      <w:pStyle w:val="FootnoteText"/>
      <w:ind w:left="540" w:hanging="540"/>
      <w:rPr>
        <w:lang w:val="en-AU"/>
      </w:rPr>
    </w:pPr>
    <w:r>
      <w:rPr>
        <w:sz w:val="22"/>
        <w:szCs w:val="22"/>
        <w:lang w:val="en-AU"/>
      </w:rPr>
      <w:t>^</w:t>
    </w:r>
    <w:r>
      <w:rPr>
        <w:sz w:val="22"/>
        <w:szCs w:val="22"/>
      </w:rPr>
      <w:tab/>
    </w:r>
    <w:r w:rsidRPr="006F4865">
      <w:rPr>
        <w:sz w:val="22"/>
        <w:szCs w:val="22"/>
      </w:rPr>
      <w:t xml:space="preserve">B </w:t>
    </w:r>
    <w:proofErr w:type="spellStart"/>
    <w:r w:rsidRPr="006F4865">
      <w:rPr>
        <w:sz w:val="22"/>
        <w:szCs w:val="22"/>
      </w:rPr>
      <w:t>Ec</w:t>
    </w:r>
    <w:proofErr w:type="spellEnd"/>
    <w:r w:rsidRPr="006F4865">
      <w:rPr>
        <w:sz w:val="22"/>
        <w:szCs w:val="22"/>
      </w:rPr>
      <w:t xml:space="preserve"> LLM (Monash), PhD (Cambridge), LFACICA, LFIAMA, JFAMINZ, </w:t>
    </w:r>
    <w:proofErr w:type="spellStart"/>
    <w:r w:rsidRPr="006F4865">
      <w:rPr>
        <w:sz w:val="22"/>
        <w:szCs w:val="22"/>
      </w:rPr>
      <w:t>FCIArb</w:t>
    </w:r>
    <w:proofErr w:type="spellEnd"/>
    <w:r w:rsidRPr="006F4865">
      <w:rPr>
        <w:sz w:val="22"/>
        <w:szCs w:val="22"/>
      </w:rPr>
      <w:t xml:space="preserve"> – Judge in charge of a Commercial List, the Arbitration List and the Taxation List in the Commercial Court of the Supreme Court of Victoria.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C8CF4" w14:textId="77777777" w:rsidR="004D16C8" w:rsidRDefault="004D16C8" w:rsidP="00663F79">
      <w:pPr>
        <w:spacing w:after="0" w:line="240" w:lineRule="auto"/>
      </w:pPr>
      <w:r>
        <w:separator/>
      </w:r>
    </w:p>
  </w:footnote>
  <w:footnote w:type="continuationSeparator" w:id="0">
    <w:p w14:paraId="4BA54170" w14:textId="77777777" w:rsidR="004D16C8" w:rsidRDefault="004D16C8" w:rsidP="00663F79">
      <w:pPr>
        <w:spacing w:after="0" w:line="240" w:lineRule="auto"/>
      </w:pPr>
      <w:r>
        <w:continuationSeparator/>
      </w:r>
    </w:p>
  </w:footnote>
  <w:footnote w:id="1">
    <w:p w14:paraId="3D95AB16" w14:textId="482B153C" w:rsidR="00593C13" w:rsidRPr="009F46D4" w:rsidRDefault="00593C13" w:rsidP="00593C13">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t xml:space="preserve">Past speeches and papers are accessible on the Supreme Court of </w:t>
      </w:r>
      <w:r w:rsidR="002D0C47" w:rsidRPr="009F46D4">
        <w:rPr>
          <w:rFonts w:asciiTheme="majorHAnsi" w:hAnsiTheme="majorHAnsi" w:cstheme="majorHAnsi"/>
          <w:lang w:val="en-AU"/>
        </w:rPr>
        <w:t>Victoria’s website &lt;http://www.</w:t>
      </w:r>
      <w:r w:rsidRPr="009F46D4">
        <w:rPr>
          <w:rFonts w:asciiTheme="majorHAnsi" w:hAnsiTheme="majorHAnsi" w:cstheme="majorHAnsi"/>
          <w:lang w:val="en-AU"/>
        </w:rPr>
        <w:t>supremecourt.vic.gov.au/home/contact+us/speeches/speeches+-+justice+croft&gt;.</w:t>
      </w:r>
    </w:p>
  </w:footnote>
  <w:footnote w:id="2">
    <w:p w14:paraId="0DDF6DEB" w14:textId="04BCDE22" w:rsidR="008545BE" w:rsidRPr="009F46D4" w:rsidRDefault="008545BE" w:rsidP="003674C8">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3674C8" w:rsidRPr="009F46D4">
        <w:rPr>
          <w:rFonts w:asciiTheme="majorHAnsi" w:hAnsiTheme="majorHAnsi" w:cstheme="majorHAnsi"/>
          <w:i/>
          <w:lang w:val="en-AU"/>
        </w:rPr>
        <w:t>Chief Executive Officer of the Australian Sports Anti-Doping Authority</w:t>
      </w:r>
      <w:r w:rsidR="00593C13" w:rsidRPr="009F46D4">
        <w:rPr>
          <w:rFonts w:asciiTheme="majorHAnsi" w:hAnsiTheme="majorHAnsi" w:cstheme="majorHAnsi"/>
          <w:i/>
        </w:rPr>
        <w:t xml:space="preserve"> v 34 Players </w:t>
      </w:r>
      <w:r w:rsidR="00593C13" w:rsidRPr="009F46D4">
        <w:rPr>
          <w:rFonts w:asciiTheme="majorHAnsi" w:hAnsiTheme="majorHAnsi" w:cstheme="majorHAnsi"/>
        </w:rPr>
        <w:t>[2014] VSC 635</w:t>
      </w:r>
      <w:r w:rsidR="00593C13" w:rsidRPr="009F46D4">
        <w:rPr>
          <w:rFonts w:asciiTheme="majorHAnsi" w:hAnsiTheme="majorHAnsi" w:cstheme="majorHAnsi"/>
          <w:lang w:val="en-AU"/>
        </w:rPr>
        <w:t xml:space="preserve"> (19 December 2014).</w:t>
      </w:r>
    </w:p>
  </w:footnote>
  <w:footnote w:id="3">
    <w:p w14:paraId="4926BBFF" w14:textId="2AA541D9" w:rsidR="008545BE" w:rsidRPr="009F46D4" w:rsidRDefault="008545BE" w:rsidP="00170D8E">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proofErr w:type="spellStart"/>
      <w:r w:rsidR="00170D8E" w:rsidRPr="009F46D4">
        <w:rPr>
          <w:rFonts w:asciiTheme="majorHAnsi" w:hAnsiTheme="majorHAnsi" w:cstheme="majorHAnsi"/>
          <w:i/>
        </w:rPr>
        <w:t>Giedo</w:t>
      </w:r>
      <w:proofErr w:type="spellEnd"/>
      <w:r w:rsidR="00170D8E" w:rsidRPr="009F46D4">
        <w:rPr>
          <w:rFonts w:asciiTheme="majorHAnsi" w:hAnsiTheme="majorHAnsi" w:cstheme="majorHAnsi"/>
          <w:i/>
        </w:rPr>
        <w:t xml:space="preserve"> van der </w:t>
      </w:r>
      <w:proofErr w:type="spellStart"/>
      <w:r w:rsidR="00170D8E" w:rsidRPr="009F46D4">
        <w:rPr>
          <w:rFonts w:asciiTheme="majorHAnsi" w:hAnsiTheme="majorHAnsi" w:cstheme="majorHAnsi"/>
          <w:i/>
        </w:rPr>
        <w:t>Garde</w:t>
      </w:r>
      <w:proofErr w:type="spellEnd"/>
      <w:r w:rsidR="00170D8E" w:rsidRPr="009F46D4">
        <w:rPr>
          <w:rFonts w:asciiTheme="majorHAnsi" w:hAnsiTheme="majorHAnsi" w:cstheme="majorHAnsi"/>
          <w:i/>
        </w:rPr>
        <w:t xml:space="preserve"> BV v </w:t>
      </w:r>
      <w:proofErr w:type="spellStart"/>
      <w:r w:rsidR="00170D8E" w:rsidRPr="009F46D4">
        <w:rPr>
          <w:rFonts w:asciiTheme="majorHAnsi" w:hAnsiTheme="majorHAnsi" w:cstheme="majorHAnsi"/>
          <w:i/>
        </w:rPr>
        <w:t>Sauber</w:t>
      </w:r>
      <w:proofErr w:type="spellEnd"/>
      <w:r w:rsidR="00170D8E" w:rsidRPr="009F46D4">
        <w:rPr>
          <w:rFonts w:asciiTheme="majorHAnsi" w:hAnsiTheme="majorHAnsi" w:cstheme="majorHAnsi"/>
          <w:i/>
        </w:rPr>
        <w:t xml:space="preserve"> Motorsport AG</w:t>
      </w:r>
      <w:r w:rsidR="00170D8E" w:rsidRPr="009F46D4">
        <w:rPr>
          <w:rFonts w:asciiTheme="majorHAnsi" w:hAnsiTheme="majorHAnsi" w:cstheme="majorHAnsi"/>
        </w:rPr>
        <w:t xml:space="preserve"> (2015) 317 ALR 792</w:t>
      </w:r>
      <w:r w:rsidR="00170D8E" w:rsidRPr="009F46D4">
        <w:rPr>
          <w:rFonts w:asciiTheme="majorHAnsi" w:hAnsiTheme="majorHAnsi" w:cstheme="majorHAnsi"/>
          <w:lang w:val="en-AU"/>
        </w:rPr>
        <w:t xml:space="preserve">; </w:t>
      </w:r>
      <w:proofErr w:type="spellStart"/>
      <w:r w:rsidR="00170D8E" w:rsidRPr="009F46D4">
        <w:rPr>
          <w:rFonts w:asciiTheme="majorHAnsi" w:hAnsiTheme="majorHAnsi" w:cstheme="majorHAnsi"/>
          <w:i/>
        </w:rPr>
        <w:t>Sauber</w:t>
      </w:r>
      <w:proofErr w:type="spellEnd"/>
      <w:r w:rsidR="00170D8E" w:rsidRPr="009F46D4">
        <w:rPr>
          <w:rFonts w:asciiTheme="majorHAnsi" w:hAnsiTheme="majorHAnsi" w:cstheme="majorHAnsi"/>
          <w:i/>
        </w:rPr>
        <w:t xml:space="preserve"> Motorsport AG v </w:t>
      </w:r>
      <w:proofErr w:type="spellStart"/>
      <w:r w:rsidR="00170D8E" w:rsidRPr="009F46D4">
        <w:rPr>
          <w:rFonts w:asciiTheme="majorHAnsi" w:hAnsiTheme="majorHAnsi" w:cstheme="majorHAnsi"/>
          <w:i/>
        </w:rPr>
        <w:t>Giedo</w:t>
      </w:r>
      <w:proofErr w:type="spellEnd"/>
      <w:r w:rsidR="00170D8E" w:rsidRPr="009F46D4">
        <w:rPr>
          <w:rFonts w:asciiTheme="majorHAnsi" w:hAnsiTheme="majorHAnsi" w:cstheme="majorHAnsi"/>
          <w:i/>
        </w:rPr>
        <w:t xml:space="preserve"> van der </w:t>
      </w:r>
      <w:proofErr w:type="spellStart"/>
      <w:r w:rsidR="00170D8E" w:rsidRPr="009F46D4">
        <w:rPr>
          <w:rFonts w:asciiTheme="majorHAnsi" w:hAnsiTheme="majorHAnsi" w:cstheme="majorHAnsi"/>
          <w:i/>
        </w:rPr>
        <w:t>Garde</w:t>
      </w:r>
      <w:proofErr w:type="spellEnd"/>
      <w:r w:rsidR="00170D8E" w:rsidRPr="009F46D4">
        <w:rPr>
          <w:rFonts w:asciiTheme="majorHAnsi" w:hAnsiTheme="majorHAnsi" w:cstheme="majorHAnsi"/>
          <w:i/>
        </w:rPr>
        <w:t xml:space="preserve"> BV </w:t>
      </w:r>
      <w:r w:rsidR="00170D8E" w:rsidRPr="009F46D4">
        <w:rPr>
          <w:rFonts w:asciiTheme="majorHAnsi" w:hAnsiTheme="majorHAnsi" w:cstheme="majorHAnsi"/>
        </w:rPr>
        <w:t>(2015) 317 ALR 786</w:t>
      </w:r>
      <w:r w:rsidR="0096544F" w:rsidRPr="009F46D4">
        <w:rPr>
          <w:rFonts w:asciiTheme="majorHAnsi" w:hAnsiTheme="majorHAnsi" w:cstheme="majorHAnsi"/>
          <w:lang w:val="en-AU"/>
        </w:rPr>
        <w:t xml:space="preserve"> (collectively, “the </w:t>
      </w:r>
      <w:proofErr w:type="spellStart"/>
      <w:r w:rsidR="0096544F" w:rsidRPr="009F46D4">
        <w:rPr>
          <w:rFonts w:asciiTheme="majorHAnsi" w:hAnsiTheme="majorHAnsi" w:cstheme="majorHAnsi"/>
          <w:i/>
          <w:lang w:val="en-AU"/>
        </w:rPr>
        <w:t>Sauber</w:t>
      </w:r>
      <w:proofErr w:type="spellEnd"/>
      <w:r w:rsidR="0096544F" w:rsidRPr="009F46D4">
        <w:rPr>
          <w:rFonts w:asciiTheme="majorHAnsi" w:hAnsiTheme="majorHAnsi" w:cstheme="majorHAnsi"/>
          <w:i/>
          <w:lang w:val="en-AU"/>
        </w:rPr>
        <w:t xml:space="preserve"> </w:t>
      </w:r>
      <w:r w:rsidR="0096544F" w:rsidRPr="009F46D4">
        <w:rPr>
          <w:rFonts w:asciiTheme="majorHAnsi" w:hAnsiTheme="majorHAnsi" w:cstheme="majorHAnsi"/>
          <w:lang w:val="en-AU"/>
        </w:rPr>
        <w:t>case”)</w:t>
      </w:r>
      <w:r w:rsidR="00170D8E" w:rsidRPr="009F46D4">
        <w:rPr>
          <w:rFonts w:asciiTheme="majorHAnsi" w:hAnsiTheme="majorHAnsi" w:cstheme="majorHAnsi"/>
          <w:lang w:val="en-AU"/>
        </w:rPr>
        <w:t>.</w:t>
      </w:r>
    </w:p>
  </w:footnote>
  <w:footnote w:id="4">
    <w:p w14:paraId="5C1A6E18" w14:textId="32DF8261" w:rsidR="00EE07BB" w:rsidRPr="009F46D4" w:rsidRDefault="00EE07BB" w:rsidP="00EE07BB">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w:t>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(No 2)</w:t>
      </w:r>
      <w:r w:rsidRPr="009F46D4">
        <w:rPr>
          <w:rFonts w:asciiTheme="majorHAnsi" w:hAnsiTheme="majorHAnsi" w:cstheme="majorHAnsi"/>
          <w:lang w:val="en-AU"/>
        </w:rPr>
        <w:t xml:space="preserve"> [2015] VSC 770 (22 December 2015);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v Indian Farmers Fertiliser Cooperative Ltd </w:t>
      </w:r>
      <w:r w:rsidRPr="009F46D4">
        <w:rPr>
          <w:rFonts w:asciiTheme="majorHAnsi" w:hAnsiTheme="majorHAnsi" w:cstheme="majorHAnsi"/>
          <w:lang w:val="en-AU"/>
        </w:rPr>
        <w:t xml:space="preserve">[2016] VSCA 5 (9 February 2016) (collectively, “the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w:t>
      </w:r>
      <w:r w:rsidRPr="009F46D4">
        <w:rPr>
          <w:rFonts w:asciiTheme="majorHAnsi" w:hAnsiTheme="majorHAnsi" w:cstheme="majorHAnsi"/>
          <w:lang w:val="en-AU"/>
        </w:rPr>
        <w:t>case).</w:t>
      </w:r>
    </w:p>
  </w:footnote>
  <w:footnote w:id="5">
    <w:p w14:paraId="244377B6" w14:textId="15161483" w:rsidR="00A03817" w:rsidRPr="008607C2" w:rsidRDefault="00A03817" w:rsidP="008607C2">
      <w:pPr>
        <w:pStyle w:val="FootnoteText"/>
        <w:ind w:left="709" w:hanging="709"/>
        <w:rPr>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AB1148" w:rsidRPr="009F46D4">
        <w:rPr>
          <w:rFonts w:asciiTheme="majorHAnsi" w:hAnsiTheme="majorHAnsi" w:cstheme="majorHAnsi"/>
          <w:lang w:val="en-AU"/>
        </w:rPr>
        <w:t>See</w:t>
      </w:r>
      <w:r w:rsidR="008607C2" w:rsidRPr="009F46D4">
        <w:rPr>
          <w:rFonts w:asciiTheme="majorHAnsi" w:hAnsiTheme="majorHAnsi" w:cstheme="majorHAnsi"/>
          <w:lang w:val="en-AU"/>
        </w:rPr>
        <w:t xml:space="preserve"> </w:t>
      </w:r>
      <w:proofErr w:type="spellStart"/>
      <w:r w:rsidR="008607C2" w:rsidRPr="009F46D4">
        <w:rPr>
          <w:rFonts w:asciiTheme="majorHAnsi" w:hAnsiTheme="majorHAnsi" w:cstheme="majorHAnsi"/>
          <w:i/>
        </w:rPr>
        <w:t>Robotunits</w:t>
      </w:r>
      <w:proofErr w:type="spellEnd"/>
      <w:r w:rsidR="008607C2" w:rsidRPr="009F46D4">
        <w:rPr>
          <w:rFonts w:asciiTheme="majorHAnsi" w:hAnsiTheme="majorHAnsi" w:cstheme="majorHAnsi"/>
          <w:i/>
        </w:rPr>
        <w:t xml:space="preserve"> Pty Ltd v </w:t>
      </w:r>
      <w:proofErr w:type="spellStart"/>
      <w:r w:rsidR="008607C2" w:rsidRPr="009F46D4">
        <w:rPr>
          <w:rFonts w:asciiTheme="majorHAnsi" w:hAnsiTheme="majorHAnsi" w:cstheme="majorHAnsi"/>
          <w:i/>
        </w:rPr>
        <w:t>Mennel</w:t>
      </w:r>
      <w:proofErr w:type="spellEnd"/>
      <w:r w:rsidR="008607C2" w:rsidRPr="009F46D4">
        <w:rPr>
          <w:rFonts w:asciiTheme="majorHAnsi" w:hAnsiTheme="majorHAnsi" w:cstheme="majorHAnsi"/>
          <w:i/>
        </w:rPr>
        <w:t xml:space="preserve"> </w:t>
      </w:r>
      <w:r w:rsidR="008607C2" w:rsidRPr="009F46D4">
        <w:rPr>
          <w:rFonts w:asciiTheme="majorHAnsi" w:hAnsiTheme="majorHAnsi" w:cstheme="majorHAnsi"/>
        </w:rPr>
        <w:t>(2015) 297 FLR 300, 321</w:t>
      </w:r>
      <w:r w:rsidR="008607C2" w:rsidRPr="009F46D4">
        <w:rPr>
          <w:rFonts w:asciiTheme="majorHAnsi" w:hAnsiTheme="majorHAnsi" w:cstheme="majorHAnsi"/>
          <w:lang w:val="en-AU"/>
        </w:rPr>
        <w:t xml:space="preserve">; </w:t>
      </w:r>
      <w:r w:rsidR="008607C2" w:rsidRPr="009F46D4">
        <w:rPr>
          <w:rFonts w:asciiTheme="majorHAnsi" w:hAnsiTheme="majorHAnsi" w:cstheme="majorHAnsi"/>
          <w:i/>
          <w:lang w:val="en-AU"/>
        </w:rPr>
        <w:t xml:space="preserve">Indian Farmers Fertiliser Cooperative Ltd v </w:t>
      </w:r>
      <w:proofErr w:type="spellStart"/>
      <w:r w:rsidR="008607C2" w:rsidRPr="009F46D4">
        <w:rPr>
          <w:rFonts w:asciiTheme="majorHAnsi" w:hAnsiTheme="majorHAnsi" w:cstheme="majorHAnsi"/>
          <w:i/>
          <w:lang w:val="en-AU"/>
        </w:rPr>
        <w:t>Gutnick</w:t>
      </w:r>
      <w:proofErr w:type="spellEnd"/>
      <w:r w:rsidR="008607C2" w:rsidRPr="009F46D4">
        <w:rPr>
          <w:rFonts w:asciiTheme="majorHAnsi" w:hAnsiTheme="majorHAnsi" w:cstheme="majorHAnsi"/>
          <w:lang w:val="en-AU"/>
        </w:rPr>
        <w:t xml:space="preserve"> [2015] VSC 724 (21 December 2015) </w:t>
      </w:r>
      <w:r w:rsidR="00701C38" w:rsidRPr="009F46D4">
        <w:rPr>
          <w:rFonts w:asciiTheme="majorHAnsi" w:hAnsiTheme="majorHAnsi" w:cstheme="majorHAnsi"/>
          <w:lang w:val="en-AU"/>
        </w:rPr>
        <w:t>[12]–[24], [43]–[49]</w:t>
      </w:r>
      <w:r w:rsidR="008607C2" w:rsidRPr="009F46D4">
        <w:rPr>
          <w:rFonts w:asciiTheme="majorHAnsi" w:hAnsiTheme="majorHAnsi" w:cstheme="majorHAnsi"/>
          <w:lang w:val="en-AU"/>
        </w:rPr>
        <w:t xml:space="preserve">; </w:t>
      </w:r>
      <w:r w:rsidR="008607C2" w:rsidRPr="009F46D4">
        <w:rPr>
          <w:rFonts w:asciiTheme="majorHAnsi" w:hAnsiTheme="majorHAnsi" w:cstheme="majorHAnsi"/>
        </w:rPr>
        <w:t xml:space="preserve">Justice Clyde Croft, “The ‘Temptation of Domesticity’ and the Role of the Courts in Australia’s Arbitration Regime” (2015) 89 </w:t>
      </w:r>
      <w:r w:rsidR="008607C2" w:rsidRPr="009F46D4">
        <w:rPr>
          <w:rFonts w:asciiTheme="majorHAnsi" w:hAnsiTheme="majorHAnsi" w:cstheme="majorHAnsi"/>
          <w:i/>
        </w:rPr>
        <w:t>Australian Law Journal</w:t>
      </w:r>
      <w:r w:rsidR="008607C2" w:rsidRPr="009F46D4">
        <w:rPr>
          <w:rFonts w:asciiTheme="majorHAnsi" w:hAnsiTheme="majorHAnsi" w:cstheme="majorHAnsi"/>
          <w:lang w:val="en-AU"/>
        </w:rPr>
        <w:t xml:space="preserve"> 684; Chief Justice James </w:t>
      </w:r>
      <w:proofErr w:type="spellStart"/>
      <w:r w:rsidR="008607C2" w:rsidRPr="009F46D4">
        <w:rPr>
          <w:rFonts w:asciiTheme="majorHAnsi" w:hAnsiTheme="majorHAnsi" w:cstheme="majorHAnsi"/>
          <w:lang w:val="en-AU"/>
        </w:rPr>
        <w:t>Allsop</w:t>
      </w:r>
      <w:proofErr w:type="spellEnd"/>
      <w:r w:rsidR="008607C2" w:rsidRPr="009F46D4">
        <w:rPr>
          <w:rFonts w:asciiTheme="majorHAnsi" w:hAnsiTheme="majorHAnsi" w:cstheme="majorHAnsi"/>
          <w:lang w:val="en-AU"/>
        </w:rPr>
        <w:t xml:space="preserve"> and Justice Clyde Croft, “The Role of the Courts in Australia’s Arbitration Regime” (Paper presented at the Commercial CPD Series, 11 November 2015).</w:t>
      </w:r>
    </w:p>
  </w:footnote>
  <w:footnote w:id="6">
    <w:p w14:paraId="2FCE4972" w14:textId="649E8CB5" w:rsidR="00FB6788" w:rsidRPr="009F46D4" w:rsidRDefault="00FB6788" w:rsidP="00FB6788">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rPr>
        <w:t>Convention on the Recognition and Enforcement of Foreign Arbitral Awards</w:t>
      </w:r>
      <w:r w:rsidRPr="009F46D4">
        <w:rPr>
          <w:rFonts w:asciiTheme="majorHAnsi" w:hAnsiTheme="majorHAnsi" w:cstheme="majorHAnsi"/>
        </w:rPr>
        <w:t>, opened for signature 10 June 1958, 330 UNTS 3 (entered into force 7 June 1959)</w:t>
      </w:r>
      <w:r w:rsidRPr="009F46D4">
        <w:rPr>
          <w:rFonts w:asciiTheme="majorHAnsi" w:hAnsiTheme="majorHAnsi" w:cstheme="majorHAnsi"/>
          <w:lang w:val="en-AU"/>
        </w:rPr>
        <w:t xml:space="preserve"> (“the New York Convention”)</w:t>
      </w:r>
      <w:r w:rsidRPr="009F46D4">
        <w:rPr>
          <w:rFonts w:asciiTheme="majorHAnsi" w:hAnsiTheme="majorHAnsi" w:cstheme="majorHAnsi"/>
        </w:rPr>
        <w:t>.</w:t>
      </w:r>
    </w:p>
  </w:footnote>
  <w:footnote w:id="7">
    <w:p w14:paraId="5D3E7A71" w14:textId="2621AEF7" w:rsidR="00FB6788" w:rsidRPr="009F46D4" w:rsidRDefault="00FB6788" w:rsidP="00B70172">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B70172" w:rsidRPr="009F46D4">
        <w:rPr>
          <w:rFonts w:asciiTheme="majorHAnsi" w:hAnsiTheme="majorHAnsi" w:cstheme="majorHAnsi"/>
          <w:i/>
          <w:lang w:val="en-AU"/>
        </w:rPr>
        <w:t>UNCITRAL Model Law on International Commercial Arbitration</w:t>
      </w:r>
      <w:r w:rsidR="00B70172" w:rsidRPr="009F46D4">
        <w:rPr>
          <w:rFonts w:asciiTheme="majorHAnsi" w:hAnsiTheme="majorHAnsi" w:cstheme="majorHAnsi"/>
          <w:lang w:val="en-AU"/>
        </w:rPr>
        <w:t xml:space="preserve"> (As adopted by the United Nations Commission on International Trade Law on 21 June 1985, and as amended by the United Nations Commission on International Trade Law on 7 July 2006) </w:t>
      </w:r>
      <w:r w:rsidR="009E4A91" w:rsidRPr="009F46D4">
        <w:rPr>
          <w:rFonts w:asciiTheme="majorHAnsi" w:hAnsiTheme="majorHAnsi" w:cstheme="majorHAnsi"/>
          <w:lang w:val="en-AU"/>
        </w:rPr>
        <w:t>(“the Model Law”).</w:t>
      </w:r>
    </w:p>
  </w:footnote>
  <w:footnote w:id="8">
    <w:p w14:paraId="0CDE43D2" w14:textId="473A7644" w:rsidR="00BB12ED" w:rsidRPr="009F46D4" w:rsidRDefault="00BB12ED">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International Arbitration Act </w:t>
      </w:r>
      <w:r w:rsidRPr="009F46D4">
        <w:rPr>
          <w:rFonts w:asciiTheme="majorHAnsi" w:hAnsiTheme="majorHAnsi" w:cstheme="majorHAnsi"/>
          <w:lang w:val="en-AU"/>
        </w:rPr>
        <w:t>1974 (</w:t>
      </w:r>
      <w:proofErr w:type="spellStart"/>
      <w:r w:rsidRPr="009F46D4">
        <w:rPr>
          <w:rFonts w:asciiTheme="majorHAnsi" w:hAnsiTheme="majorHAnsi" w:cstheme="majorHAnsi"/>
          <w:lang w:val="en-AU"/>
        </w:rPr>
        <w:t>Cth</w:t>
      </w:r>
      <w:proofErr w:type="spellEnd"/>
      <w:r w:rsidRPr="009F46D4">
        <w:rPr>
          <w:rFonts w:asciiTheme="majorHAnsi" w:hAnsiTheme="majorHAnsi" w:cstheme="majorHAnsi"/>
          <w:lang w:val="en-AU"/>
        </w:rPr>
        <w:t xml:space="preserve">) s </w:t>
      </w:r>
      <w:r w:rsidR="003424CB" w:rsidRPr="009F46D4">
        <w:rPr>
          <w:rFonts w:asciiTheme="majorHAnsi" w:hAnsiTheme="majorHAnsi" w:cstheme="majorHAnsi"/>
          <w:lang w:val="en-AU"/>
        </w:rPr>
        <w:t>16(1).</w:t>
      </w:r>
    </w:p>
  </w:footnote>
  <w:footnote w:id="9">
    <w:p w14:paraId="7B912A3A" w14:textId="5061DB2A" w:rsidR="003424CB" w:rsidRPr="00A902FE" w:rsidRDefault="003424CB" w:rsidP="003424CB">
      <w:pPr>
        <w:pStyle w:val="FootnoteText"/>
        <w:ind w:left="709" w:hanging="709"/>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3A3592" w:rsidRPr="009F46D4">
        <w:rPr>
          <w:rFonts w:asciiTheme="majorHAnsi" w:hAnsiTheme="majorHAnsi" w:cstheme="majorHAnsi"/>
          <w:lang w:val="en-AU"/>
        </w:rPr>
        <w:t xml:space="preserve">The Uniform Commercial Arbitration Acts are enacted in each State and Territory other than the Australian Capital Territory.  </w:t>
      </w:r>
      <w:r w:rsidRPr="009F46D4">
        <w:rPr>
          <w:rFonts w:asciiTheme="majorHAnsi" w:hAnsiTheme="majorHAnsi" w:cstheme="majorHAnsi"/>
          <w:lang w:val="en-AU"/>
        </w:rPr>
        <w:t xml:space="preserve">See </w:t>
      </w:r>
      <w:r w:rsidRPr="009F46D4">
        <w:rPr>
          <w:rFonts w:asciiTheme="majorHAnsi" w:hAnsiTheme="majorHAnsi" w:cstheme="majorHAnsi"/>
          <w:i/>
        </w:rPr>
        <w:t xml:space="preserve">Commercial Arbitration Act </w:t>
      </w:r>
      <w:r w:rsidRPr="009F46D4">
        <w:rPr>
          <w:rFonts w:asciiTheme="majorHAnsi" w:hAnsiTheme="majorHAnsi" w:cstheme="majorHAnsi"/>
        </w:rPr>
        <w:t>2010</w:t>
      </w:r>
      <w:r w:rsidRPr="009F46D4">
        <w:rPr>
          <w:rFonts w:asciiTheme="majorHAnsi" w:hAnsiTheme="majorHAnsi" w:cstheme="majorHAnsi"/>
          <w:i/>
        </w:rPr>
        <w:t xml:space="preserve"> </w:t>
      </w:r>
      <w:r w:rsidRPr="009F46D4">
        <w:rPr>
          <w:rFonts w:asciiTheme="majorHAnsi" w:hAnsiTheme="majorHAnsi" w:cstheme="majorHAnsi"/>
        </w:rPr>
        <w:t xml:space="preserve">(NSW); </w:t>
      </w:r>
      <w:r w:rsidRPr="009F46D4">
        <w:rPr>
          <w:rFonts w:asciiTheme="majorHAnsi" w:hAnsiTheme="majorHAnsi" w:cstheme="majorHAnsi"/>
          <w:i/>
        </w:rPr>
        <w:t xml:space="preserve">Commercial Arbitration Act </w:t>
      </w:r>
      <w:r w:rsidRPr="009F46D4">
        <w:rPr>
          <w:rFonts w:asciiTheme="majorHAnsi" w:hAnsiTheme="majorHAnsi" w:cstheme="majorHAnsi"/>
        </w:rPr>
        <w:t>2011</w:t>
      </w:r>
      <w:r w:rsidRPr="009F46D4">
        <w:rPr>
          <w:rFonts w:asciiTheme="majorHAnsi" w:hAnsiTheme="majorHAnsi" w:cstheme="majorHAnsi"/>
          <w:i/>
        </w:rPr>
        <w:t xml:space="preserve"> </w:t>
      </w:r>
      <w:r w:rsidRPr="009F46D4">
        <w:rPr>
          <w:rFonts w:asciiTheme="majorHAnsi" w:hAnsiTheme="majorHAnsi" w:cstheme="majorHAnsi"/>
        </w:rPr>
        <w:t xml:space="preserve">(SA); </w:t>
      </w:r>
      <w:r w:rsidRPr="009F46D4">
        <w:rPr>
          <w:rFonts w:asciiTheme="majorHAnsi" w:hAnsiTheme="majorHAnsi" w:cstheme="majorHAnsi"/>
          <w:i/>
        </w:rPr>
        <w:t xml:space="preserve">Commercial Arbitration (National Uniform Legislation Act </w:t>
      </w:r>
      <w:r w:rsidRPr="009F46D4">
        <w:rPr>
          <w:rFonts w:asciiTheme="majorHAnsi" w:hAnsiTheme="majorHAnsi" w:cstheme="majorHAnsi"/>
        </w:rPr>
        <w:t>2011</w:t>
      </w:r>
      <w:r w:rsidRPr="009F46D4">
        <w:rPr>
          <w:rFonts w:asciiTheme="majorHAnsi" w:hAnsiTheme="majorHAnsi" w:cstheme="majorHAnsi"/>
          <w:i/>
        </w:rPr>
        <w:t xml:space="preserve"> </w:t>
      </w:r>
      <w:r w:rsidRPr="009F46D4">
        <w:rPr>
          <w:rFonts w:asciiTheme="majorHAnsi" w:hAnsiTheme="majorHAnsi" w:cstheme="majorHAnsi"/>
        </w:rPr>
        <w:t xml:space="preserve">(NT); </w:t>
      </w:r>
      <w:r w:rsidRPr="009F46D4">
        <w:rPr>
          <w:rFonts w:asciiTheme="majorHAnsi" w:hAnsiTheme="majorHAnsi" w:cstheme="majorHAnsi"/>
          <w:i/>
        </w:rPr>
        <w:t xml:space="preserve">Commercial Arbitration Act </w:t>
      </w:r>
      <w:r w:rsidRPr="009F46D4">
        <w:rPr>
          <w:rFonts w:asciiTheme="majorHAnsi" w:hAnsiTheme="majorHAnsi" w:cstheme="majorHAnsi"/>
        </w:rPr>
        <w:t>2011</w:t>
      </w:r>
      <w:r w:rsidRPr="009F46D4">
        <w:rPr>
          <w:rFonts w:asciiTheme="majorHAnsi" w:hAnsiTheme="majorHAnsi" w:cstheme="majorHAnsi"/>
          <w:i/>
        </w:rPr>
        <w:t xml:space="preserve"> </w:t>
      </w:r>
      <w:r w:rsidRPr="009F46D4">
        <w:rPr>
          <w:rFonts w:asciiTheme="majorHAnsi" w:hAnsiTheme="majorHAnsi" w:cstheme="majorHAnsi"/>
        </w:rPr>
        <w:t>(</w:t>
      </w:r>
      <w:proofErr w:type="spellStart"/>
      <w:proofErr w:type="gramStart"/>
      <w:r w:rsidRPr="009F46D4">
        <w:rPr>
          <w:rFonts w:asciiTheme="majorHAnsi" w:hAnsiTheme="majorHAnsi" w:cstheme="majorHAnsi"/>
        </w:rPr>
        <w:t>Tas</w:t>
      </w:r>
      <w:proofErr w:type="spellEnd"/>
      <w:proofErr w:type="gramEnd"/>
      <w:r w:rsidRPr="009F46D4">
        <w:rPr>
          <w:rFonts w:asciiTheme="majorHAnsi" w:hAnsiTheme="majorHAnsi" w:cstheme="majorHAnsi"/>
        </w:rPr>
        <w:t xml:space="preserve">); </w:t>
      </w:r>
      <w:r w:rsidRPr="009F46D4">
        <w:rPr>
          <w:rFonts w:asciiTheme="majorHAnsi" w:hAnsiTheme="majorHAnsi" w:cstheme="majorHAnsi"/>
          <w:i/>
        </w:rPr>
        <w:t xml:space="preserve">Commercial Arbitration Act </w:t>
      </w:r>
      <w:r w:rsidRPr="009F46D4">
        <w:rPr>
          <w:rFonts w:asciiTheme="majorHAnsi" w:hAnsiTheme="majorHAnsi" w:cstheme="majorHAnsi"/>
        </w:rPr>
        <w:t>2011</w:t>
      </w:r>
      <w:r w:rsidRPr="009F46D4">
        <w:rPr>
          <w:rFonts w:asciiTheme="majorHAnsi" w:hAnsiTheme="majorHAnsi" w:cstheme="majorHAnsi"/>
          <w:i/>
        </w:rPr>
        <w:t xml:space="preserve"> </w:t>
      </w:r>
      <w:r w:rsidRPr="009F46D4">
        <w:rPr>
          <w:rFonts w:asciiTheme="majorHAnsi" w:hAnsiTheme="majorHAnsi" w:cstheme="majorHAnsi"/>
        </w:rPr>
        <w:t xml:space="preserve">(Vic); </w:t>
      </w:r>
      <w:r w:rsidRPr="009F46D4">
        <w:rPr>
          <w:rFonts w:asciiTheme="majorHAnsi" w:hAnsiTheme="majorHAnsi" w:cstheme="majorHAnsi"/>
          <w:i/>
        </w:rPr>
        <w:t xml:space="preserve">Commercial Arbitration Act </w:t>
      </w:r>
      <w:r w:rsidRPr="009F46D4">
        <w:rPr>
          <w:rFonts w:asciiTheme="majorHAnsi" w:hAnsiTheme="majorHAnsi" w:cstheme="majorHAnsi"/>
        </w:rPr>
        <w:t>2012</w:t>
      </w:r>
      <w:r w:rsidRPr="009F46D4">
        <w:rPr>
          <w:rFonts w:asciiTheme="majorHAnsi" w:hAnsiTheme="majorHAnsi" w:cstheme="majorHAnsi"/>
          <w:i/>
        </w:rPr>
        <w:t xml:space="preserve"> </w:t>
      </w:r>
      <w:r w:rsidRPr="009F46D4">
        <w:rPr>
          <w:rFonts w:asciiTheme="majorHAnsi" w:hAnsiTheme="majorHAnsi" w:cstheme="majorHAnsi"/>
        </w:rPr>
        <w:t xml:space="preserve">(WA); </w:t>
      </w:r>
      <w:r w:rsidRPr="009F46D4">
        <w:rPr>
          <w:rFonts w:asciiTheme="majorHAnsi" w:hAnsiTheme="majorHAnsi" w:cstheme="majorHAnsi"/>
          <w:i/>
        </w:rPr>
        <w:t xml:space="preserve">Commercial Arbitration Act </w:t>
      </w:r>
      <w:r w:rsidRPr="009F46D4">
        <w:rPr>
          <w:rFonts w:asciiTheme="majorHAnsi" w:hAnsiTheme="majorHAnsi" w:cstheme="majorHAnsi"/>
        </w:rPr>
        <w:t>2013</w:t>
      </w:r>
      <w:r w:rsidRPr="009F46D4">
        <w:rPr>
          <w:rFonts w:asciiTheme="majorHAnsi" w:hAnsiTheme="majorHAnsi" w:cstheme="majorHAnsi"/>
          <w:i/>
        </w:rPr>
        <w:t xml:space="preserve"> </w:t>
      </w:r>
      <w:r w:rsidRPr="009F46D4">
        <w:rPr>
          <w:rFonts w:asciiTheme="majorHAnsi" w:hAnsiTheme="majorHAnsi" w:cstheme="majorHAnsi"/>
        </w:rPr>
        <w:t>(Qld).</w:t>
      </w:r>
    </w:p>
  </w:footnote>
  <w:footnote w:id="10">
    <w:p w14:paraId="0F71018E" w14:textId="331C2B68" w:rsidR="000B7391" w:rsidRPr="009F46D4" w:rsidRDefault="000B7391">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t>(2014) 311 ALR 387 (“</w:t>
      </w:r>
      <w:r w:rsidR="0096544F" w:rsidRPr="009F46D4">
        <w:rPr>
          <w:rFonts w:asciiTheme="majorHAnsi" w:hAnsiTheme="majorHAnsi" w:cstheme="majorHAnsi"/>
          <w:lang w:val="en-AU"/>
        </w:rPr>
        <w:t xml:space="preserve">the </w:t>
      </w:r>
      <w:r w:rsidRPr="009F46D4">
        <w:rPr>
          <w:rFonts w:asciiTheme="majorHAnsi" w:hAnsiTheme="majorHAnsi" w:cstheme="majorHAnsi"/>
          <w:i/>
          <w:lang w:val="en-AU"/>
        </w:rPr>
        <w:t>TCL</w:t>
      </w:r>
      <w:r w:rsidR="0096544F" w:rsidRPr="009F46D4">
        <w:rPr>
          <w:rFonts w:asciiTheme="majorHAnsi" w:hAnsiTheme="majorHAnsi" w:cstheme="majorHAnsi"/>
          <w:i/>
          <w:lang w:val="en-AU"/>
        </w:rPr>
        <w:t xml:space="preserve"> </w:t>
      </w:r>
      <w:r w:rsidR="0096544F" w:rsidRPr="009F46D4">
        <w:rPr>
          <w:rFonts w:asciiTheme="majorHAnsi" w:hAnsiTheme="majorHAnsi" w:cstheme="majorHAnsi"/>
          <w:lang w:val="en-AU"/>
        </w:rPr>
        <w:t>case</w:t>
      </w:r>
      <w:r w:rsidRPr="009F46D4">
        <w:rPr>
          <w:rFonts w:asciiTheme="majorHAnsi" w:hAnsiTheme="majorHAnsi" w:cstheme="majorHAnsi"/>
          <w:lang w:val="en-AU"/>
        </w:rPr>
        <w:t>”).</w:t>
      </w:r>
    </w:p>
  </w:footnote>
  <w:footnote w:id="11">
    <w:p w14:paraId="440099D3" w14:textId="77777777" w:rsidR="003C01D4" w:rsidRPr="00A902FE" w:rsidRDefault="003C01D4" w:rsidP="003C01D4">
      <w:pPr>
        <w:pStyle w:val="FootnoteText"/>
        <w:ind w:left="709" w:hanging="709"/>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t xml:space="preserve">See </w:t>
      </w:r>
      <w:r w:rsidRPr="009F46D4">
        <w:rPr>
          <w:rFonts w:asciiTheme="majorHAnsi" w:hAnsiTheme="majorHAnsi" w:cstheme="majorHAnsi"/>
          <w:i/>
        </w:rPr>
        <w:t>TCL Air Conditioner (</w:t>
      </w:r>
      <w:proofErr w:type="spellStart"/>
      <w:r w:rsidRPr="009F46D4">
        <w:rPr>
          <w:rFonts w:asciiTheme="majorHAnsi" w:hAnsiTheme="majorHAnsi" w:cstheme="majorHAnsi"/>
          <w:i/>
        </w:rPr>
        <w:t>Zhongshan</w:t>
      </w:r>
      <w:proofErr w:type="spellEnd"/>
      <w:r w:rsidRPr="009F46D4">
        <w:rPr>
          <w:rFonts w:asciiTheme="majorHAnsi" w:hAnsiTheme="majorHAnsi" w:cstheme="majorHAnsi"/>
          <w:i/>
        </w:rPr>
        <w:t>) Co Ltd v Judges of the Federal Court of Australia</w:t>
      </w:r>
      <w:r w:rsidRPr="009F46D4">
        <w:rPr>
          <w:rFonts w:asciiTheme="majorHAnsi" w:hAnsiTheme="majorHAnsi" w:cstheme="majorHAnsi"/>
        </w:rPr>
        <w:t xml:space="preserve"> (2013) 251 CLR 533</w:t>
      </w:r>
      <w:r w:rsidRPr="009F46D4">
        <w:rPr>
          <w:rFonts w:asciiTheme="majorHAnsi" w:hAnsiTheme="majorHAnsi" w:cstheme="majorHAnsi"/>
          <w:lang w:val="en-AU"/>
        </w:rPr>
        <w:t>.</w:t>
      </w:r>
    </w:p>
  </w:footnote>
  <w:footnote w:id="12">
    <w:p w14:paraId="146F540A" w14:textId="77777777" w:rsidR="003C01D4" w:rsidRPr="009F46D4" w:rsidRDefault="003C01D4" w:rsidP="003C01D4">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TCL Air Conditioner (</w:t>
      </w:r>
      <w:proofErr w:type="spellStart"/>
      <w:r w:rsidRPr="009F46D4">
        <w:rPr>
          <w:rFonts w:asciiTheme="majorHAnsi" w:hAnsiTheme="majorHAnsi" w:cstheme="majorHAnsi"/>
          <w:i/>
        </w:rPr>
        <w:t>Zhongshan</w:t>
      </w:r>
      <w:proofErr w:type="spellEnd"/>
      <w:r w:rsidRPr="009F46D4">
        <w:rPr>
          <w:rFonts w:asciiTheme="majorHAnsi" w:hAnsiTheme="majorHAnsi" w:cstheme="majorHAnsi"/>
          <w:i/>
        </w:rPr>
        <w:t>) Co Ltd v Castel Electronics Pty Ltd</w:t>
      </w:r>
      <w:r w:rsidRPr="009F46D4">
        <w:rPr>
          <w:rFonts w:asciiTheme="majorHAnsi" w:hAnsiTheme="majorHAnsi" w:cstheme="majorHAnsi"/>
        </w:rPr>
        <w:t xml:space="preserve"> (2014) 311 ALR 387, 405 [75].</w:t>
      </w:r>
    </w:p>
  </w:footnote>
  <w:footnote w:id="13">
    <w:p w14:paraId="23F95C95" w14:textId="7EBEDA71" w:rsidR="003C01D4" w:rsidRPr="009F46D4" w:rsidRDefault="003C01D4">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t xml:space="preserve">See, </w:t>
      </w:r>
      <w:proofErr w:type="spellStart"/>
      <w:r w:rsidRPr="009F46D4">
        <w:rPr>
          <w:rFonts w:asciiTheme="majorHAnsi" w:hAnsiTheme="majorHAnsi" w:cstheme="majorHAnsi"/>
          <w:lang w:val="en-AU"/>
        </w:rPr>
        <w:t>eg</w:t>
      </w:r>
      <w:proofErr w:type="spellEnd"/>
      <w:r w:rsidRPr="009F46D4">
        <w:rPr>
          <w:rFonts w:asciiTheme="majorHAnsi" w:hAnsiTheme="majorHAnsi" w:cstheme="majorHAnsi"/>
          <w:lang w:val="en-AU"/>
        </w:rPr>
        <w:t xml:space="preserve">, </w:t>
      </w:r>
      <w:r w:rsidR="00D40FC4" w:rsidRPr="009F46D4">
        <w:rPr>
          <w:rFonts w:asciiTheme="majorHAnsi" w:hAnsiTheme="majorHAnsi" w:cstheme="majorHAnsi"/>
          <w:i/>
          <w:lang w:val="en-AU"/>
        </w:rPr>
        <w:t>Subway Systems Australia Pty Ltd v Ireland</w:t>
      </w:r>
      <w:r w:rsidR="00D40FC4" w:rsidRPr="009F46D4">
        <w:rPr>
          <w:rFonts w:asciiTheme="majorHAnsi" w:hAnsiTheme="majorHAnsi" w:cstheme="majorHAnsi"/>
          <w:lang w:val="en-AU"/>
        </w:rPr>
        <w:t xml:space="preserve"> </w:t>
      </w:r>
      <w:r w:rsidR="00D40FC4" w:rsidRPr="009F46D4">
        <w:rPr>
          <w:rFonts w:asciiTheme="majorHAnsi" w:hAnsiTheme="majorHAnsi" w:cstheme="majorHAnsi"/>
        </w:rPr>
        <w:t>[2014] VSCA 142</w:t>
      </w:r>
      <w:r w:rsidR="00D40FC4" w:rsidRPr="009F46D4">
        <w:rPr>
          <w:rFonts w:asciiTheme="majorHAnsi" w:hAnsiTheme="majorHAnsi" w:cstheme="majorHAnsi"/>
          <w:lang w:val="en-AU"/>
        </w:rPr>
        <w:t xml:space="preserve"> (1 July 2014) [24]–[27].</w:t>
      </w:r>
    </w:p>
  </w:footnote>
  <w:footnote w:id="14">
    <w:p w14:paraId="70546AD0" w14:textId="539DC2A0" w:rsidR="00730D09" w:rsidRPr="009F46D4" w:rsidRDefault="00730D09">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lang w:val="en-AU"/>
        </w:rPr>
        <w:t>[2015] 2 NZLR 180</w:t>
      </w:r>
      <w:r w:rsidR="00D7621D" w:rsidRPr="009F46D4">
        <w:rPr>
          <w:rFonts w:asciiTheme="majorHAnsi" w:hAnsiTheme="majorHAnsi" w:cstheme="majorHAnsi"/>
          <w:lang w:val="en-AU"/>
        </w:rPr>
        <w:t xml:space="preserve"> at 188 [31]</w:t>
      </w:r>
      <w:r w:rsidRPr="009F46D4">
        <w:rPr>
          <w:rFonts w:asciiTheme="majorHAnsi" w:hAnsiTheme="majorHAnsi" w:cstheme="majorHAnsi"/>
          <w:lang w:val="en-AU"/>
        </w:rPr>
        <w:t>.</w:t>
      </w:r>
    </w:p>
  </w:footnote>
  <w:footnote w:id="15">
    <w:p w14:paraId="59558E5D" w14:textId="67686F5D" w:rsidR="00D7621D" w:rsidRPr="009F46D4" w:rsidRDefault="00D7621D">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proofErr w:type="spellStart"/>
      <w:r w:rsidR="005B5644" w:rsidRPr="009F46D4">
        <w:rPr>
          <w:rFonts w:asciiTheme="majorHAnsi" w:hAnsiTheme="majorHAnsi" w:cstheme="majorHAnsi"/>
          <w:i/>
          <w:lang w:val="en-AU"/>
        </w:rPr>
        <w:t>Amaltal</w:t>
      </w:r>
      <w:proofErr w:type="spellEnd"/>
      <w:r w:rsidR="005B5644" w:rsidRPr="009F46D4">
        <w:rPr>
          <w:rFonts w:asciiTheme="majorHAnsi" w:hAnsiTheme="majorHAnsi" w:cstheme="majorHAnsi"/>
          <w:i/>
          <w:lang w:val="en-AU"/>
        </w:rPr>
        <w:t xml:space="preserve"> Corporation Ltd v Maruha (NZ) Corporation Ltd </w:t>
      </w:r>
      <w:r w:rsidR="005B5644" w:rsidRPr="009F46D4">
        <w:rPr>
          <w:rFonts w:asciiTheme="majorHAnsi" w:hAnsiTheme="majorHAnsi" w:cstheme="majorHAnsi"/>
          <w:lang w:val="en-AU"/>
        </w:rPr>
        <w:t>[2003] 2 NZLR 92 at</w:t>
      </w:r>
      <w:r w:rsidR="00FB24E5" w:rsidRPr="009F46D4">
        <w:rPr>
          <w:rFonts w:asciiTheme="majorHAnsi" w:hAnsiTheme="majorHAnsi" w:cstheme="majorHAnsi"/>
          <w:lang w:val="en-AU"/>
        </w:rPr>
        <w:t xml:space="preserve"> 97 [18].</w:t>
      </w:r>
      <w:r w:rsidR="005B5644" w:rsidRPr="009F46D4">
        <w:rPr>
          <w:rFonts w:asciiTheme="majorHAnsi" w:hAnsiTheme="majorHAnsi" w:cstheme="majorHAnsi"/>
          <w:lang w:val="en-AU"/>
        </w:rPr>
        <w:t xml:space="preserve"> </w:t>
      </w:r>
    </w:p>
  </w:footnote>
  <w:footnote w:id="16">
    <w:p w14:paraId="01A960B9" w14:textId="77777777" w:rsidR="00CE20E4" w:rsidRPr="00A902FE" w:rsidRDefault="00CE20E4" w:rsidP="00CE20E4">
      <w:pPr>
        <w:pStyle w:val="FootnoteText"/>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t>[2000] 3 NZLR 318 at 323 [16].</w:t>
      </w:r>
    </w:p>
  </w:footnote>
  <w:footnote w:id="17">
    <w:p w14:paraId="0D02A11A" w14:textId="5AC4134B" w:rsidR="00973945" w:rsidRPr="009F46D4" w:rsidRDefault="00973945" w:rsidP="00973945">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rPr>
        <w:t>[2015] SGCA 18 (</w:t>
      </w:r>
      <w:r w:rsidRPr="009F46D4">
        <w:rPr>
          <w:rFonts w:asciiTheme="majorHAnsi" w:hAnsiTheme="majorHAnsi" w:cstheme="majorHAnsi"/>
          <w:lang w:val="en-AU"/>
        </w:rPr>
        <w:t>31 March 2015)</w:t>
      </w:r>
      <w:r w:rsidRPr="009F46D4">
        <w:rPr>
          <w:rFonts w:asciiTheme="majorHAnsi" w:hAnsiTheme="majorHAnsi" w:cstheme="majorHAnsi"/>
        </w:rPr>
        <w:t xml:space="preserve"> [37] (emphasis added). </w:t>
      </w:r>
    </w:p>
  </w:footnote>
  <w:footnote w:id="18">
    <w:p w14:paraId="38EB28A7" w14:textId="77777777" w:rsidR="00973945" w:rsidRPr="009F46D4" w:rsidRDefault="00973945" w:rsidP="00973945">
      <w:pPr>
        <w:pStyle w:val="FootnoteText"/>
        <w:ind w:left="709" w:hanging="709"/>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rPr>
        <w:t xml:space="preserve">See Chief Justice </w:t>
      </w:r>
      <w:proofErr w:type="spellStart"/>
      <w:r w:rsidRPr="009F46D4">
        <w:rPr>
          <w:rFonts w:asciiTheme="majorHAnsi" w:hAnsiTheme="majorHAnsi" w:cstheme="majorHAnsi"/>
        </w:rPr>
        <w:t>Sundaresh</w:t>
      </w:r>
      <w:proofErr w:type="spellEnd"/>
      <w:r w:rsidRPr="009F46D4">
        <w:rPr>
          <w:rFonts w:asciiTheme="majorHAnsi" w:hAnsiTheme="majorHAnsi" w:cstheme="majorHAnsi"/>
        </w:rPr>
        <w:t xml:space="preserve"> Menon, “Standards in Need of Bearers: Encouraging Reform from Within” (Paper presented at the Chartered Instituted of Arbitrators, Singapore Centenary Conference, Singapore, 3 September 2015) 17.</w:t>
      </w:r>
    </w:p>
  </w:footnote>
  <w:footnote w:id="19">
    <w:p w14:paraId="7AD429C9" w14:textId="145A0394" w:rsidR="0027566B" w:rsidRPr="009F46D4" w:rsidRDefault="0027566B" w:rsidP="0027566B">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rPr>
        <w:t xml:space="preserve">[2015] SGCA 18 (31 March 2015) [39]. </w:t>
      </w:r>
    </w:p>
  </w:footnote>
  <w:footnote w:id="20">
    <w:p w14:paraId="64D1D6C1" w14:textId="186F8936" w:rsidR="0027566B" w:rsidRPr="00A902FE" w:rsidRDefault="0027566B" w:rsidP="0027566B">
      <w:pPr>
        <w:pStyle w:val="FootnoteText"/>
        <w:rPr>
          <w:rFonts w:ascii="Book Antiqua" w:hAnsi="Book Antiqua"/>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rPr>
        <w:t>[2015] VSC 163</w:t>
      </w:r>
      <w:r w:rsidRPr="009F46D4">
        <w:rPr>
          <w:rFonts w:asciiTheme="majorHAnsi" w:hAnsiTheme="majorHAnsi" w:cstheme="majorHAnsi"/>
          <w:lang w:val="en-AU"/>
        </w:rPr>
        <w:t xml:space="preserve"> (</w:t>
      </w:r>
      <w:r w:rsidR="00FE06B7" w:rsidRPr="009F46D4">
        <w:rPr>
          <w:rFonts w:asciiTheme="majorHAnsi" w:hAnsiTheme="majorHAnsi" w:cstheme="majorHAnsi"/>
          <w:lang w:val="en-AU"/>
        </w:rPr>
        <w:t>1 May 2015)</w:t>
      </w:r>
      <w:r w:rsidRPr="009F46D4">
        <w:rPr>
          <w:rFonts w:asciiTheme="majorHAnsi" w:hAnsiTheme="majorHAnsi" w:cstheme="majorHAnsi"/>
        </w:rPr>
        <w:t xml:space="preserve"> (“</w:t>
      </w:r>
      <w:r w:rsidR="0096544F" w:rsidRPr="009F46D4">
        <w:rPr>
          <w:rFonts w:asciiTheme="majorHAnsi" w:hAnsiTheme="majorHAnsi" w:cstheme="majorHAnsi"/>
          <w:lang w:val="en-AU"/>
        </w:rPr>
        <w:t xml:space="preserve">the </w:t>
      </w:r>
      <w:r w:rsidRPr="009F46D4">
        <w:rPr>
          <w:rFonts w:asciiTheme="majorHAnsi" w:hAnsiTheme="majorHAnsi" w:cstheme="majorHAnsi"/>
          <w:i/>
        </w:rPr>
        <w:t>Cameron</w:t>
      </w:r>
      <w:r w:rsidR="0096544F" w:rsidRPr="009F46D4">
        <w:rPr>
          <w:rFonts w:asciiTheme="majorHAnsi" w:hAnsiTheme="majorHAnsi" w:cstheme="majorHAnsi"/>
          <w:lang w:val="en-AU"/>
        </w:rPr>
        <w:t xml:space="preserve"> case</w:t>
      </w:r>
      <w:r w:rsidRPr="009F46D4">
        <w:rPr>
          <w:rFonts w:asciiTheme="majorHAnsi" w:hAnsiTheme="majorHAnsi" w:cstheme="majorHAnsi"/>
        </w:rPr>
        <w:t>”).</w:t>
      </w:r>
    </w:p>
  </w:footnote>
  <w:footnote w:id="21">
    <w:p w14:paraId="7B87C255" w14:textId="77777777" w:rsidR="00ED77FC" w:rsidRPr="009F46D4" w:rsidRDefault="00ED77FC" w:rsidP="00ED77FC">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 xml:space="preserve">Commercial Arbitration Act </w:t>
      </w:r>
      <w:r w:rsidRPr="009F46D4">
        <w:rPr>
          <w:rFonts w:asciiTheme="majorHAnsi" w:hAnsiTheme="majorHAnsi" w:cstheme="majorHAnsi"/>
        </w:rPr>
        <w:t xml:space="preserve">2011 (Vic) s 34(2)(a)(ii). </w:t>
      </w:r>
    </w:p>
  </w:footnote>
  <w:footnote w:id="22">
    <w:p w14:paraId="223727B9" w14:textId="57495500" w:rsidR="00ED77FC" w:rsidRPr="009F46D4" w:rsidRDefault="00ED77FC" w:rsidP="00ED77FC">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 xml:space="preserve">Cameron Australasia Pty Ltd v AED Oil Ltd </w:t>
      </w:r>
      <w:r w:rsidRPr="009F46D4">
        <w:rPr>
          <w:rFonts w:asciiTheme="majorHAnsi" w:hAnsiTheme="majorHAnsi" w:cstheme="majorHAnsi"/>
        </w:rPr>
        <w:t>[2015] VSC 163</w:t>
      </w:r>
      <w:r w:rsidR="008036E5" w:rsidRPr="009F46D4">
        <w:rPr>
          <w:rFonts w:asciiTheme="majorHAnsi" w:hAnsiTheme="majorHAnsi" w:cstheme="majorHAnsi"/>
          <w:lang w:val="en-AU"/>
        </w:rPr>
        <w:t xml:space="preserve"> (1 May 2015)</w:t>
      </w:r>
      <w:r w:rsidRPr="009F46D4">
        <w:rPr>
          <w:rFonts w:asciiTheme="majorHAnsi" w:hAnsiTheme="majorHAnsi" w:cstheme="majorHAnsi"/>
        </w:rPr>
        <w:t xml:space="preserve"> [45].</w:t>
      </w:r>
    </w:p>
  </w:footnote>
  <w:footnote w:id="23">
    <w:p w14:paraId="38FBACF7" w14:textId="77777777" w:rsidR="00ED77FC" w:rsidRPr="009F46D4" w:rsidRDefault="00ED77FC" w:rsidP="00ED77FC">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 xml:space="preserve">Commercial Arbitration Act </w:t>
      </w:r>
      <w:r w:rsidRPr="009F46D4">
        <w:rPr>
          <w:rFonts w:asciiTheme="majorHAnsi" w:hAnsiTheme="majorHAnsi" w:cstheme="majorHAnsi"/>
        </w:rPr>
        <w:t>2011 (Vic) s 34(2)(a)(iv).</w:t>
      </w:r>
    </w:p>
  </w:footnote>
  <w:footnote w:id="24">
    <w:p w14:paraId="764E69FD" w14:textId="45A63929" w:rsidR="00ED77FC" w:rsidRPr="00A902FE" w:rsidRDefault="00ED77FC" w:rsidP="00ED77FC">
      <w:pPr>
        <w:pStyle w:val="FootnoteText"/>
        <w:rPr>
          <w:rFonts w:ascii="Book Antiqua" w:hAnsi="Book Antiqua"/>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Supreme Court (General Civil Procedure) Rules</w:t>
      </w:r>
      <w:r w:rsidRPr="009F46D4">
        <w:rPr>
          <w:rFonts w:asciiTheme="majorHAnsi" w:hAnsiTheme="majorHAnsi" w:cstheme="majorHAnsi"/>
        </w:rPr>
        <w:t xml:space="preserve"> 2005 (Vic)</w:t>
      </w:r>
      <w:r w:rsidRPr="009F46D4">
        <w:rPr>
          <w:rFonts w:asciiTheme="majorHAnsi" w:hAnsiTheme="majorHAnsi" w:cstheme="majorHAnsi"/>
          <w:lang w:val="en-AU"/>
        </w:rPr>
        <w:t xml:space="preserve"> r 44.04</w:t>
      </w:r>
      <w:r w:rsidRPr="009F46D4">
        <w:rPr>
          <w:rFonts w:asciiTheme="majorHAnsi" w:hAnsiTheme="majorHAnsi" w:cstheme="majorHAnsi"/>
        </w:rPr>
        <w:t>.</w:t>
      </w:r>
      <w:r w:rsidRPr="00A902FE">
        <w:rPr>
          <w:rFonts w:ascii="Book Antiqua" w:hAnsi="Book Antiqua"/>
        </w:rPr>
        <w:t xml:space="preserve"> </w:t>
      </w:r>
    </w:p>
  </w:footnote>
  <w:footnote w:id="25">
    <w:p w14:paraId="4E0B8E7C" w14:textId="0C973554" w:rsidR="00ED77FC" w:rsidRPr="009F46D4" w:rsidRDefault="00ED77FC" w:rsidP="00ED77FC">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 xml:space="preserve">Cameron Australasia Pty Ltd v AED Oil Ltd </w:t>
      </w:r>
      <w:r w:rsidRPr="009F46D4">
        <w:rPr>
          <w:rFonts w:asciiTheme="majorHAnsi" w:hAnsiTheme="majorHAnsi" w:cstheme="majorHAnsi"/>
        </w:rPr>
        <w:t>[2015] VSC 163</w:t>
      </w:r>
      <w:r w:rsidR="008036E5" w:rsidRPr="009F46D4">
        <w:rPr>
          <w:rFonts w:asciiTheme="majorHAnsi" w:hAnsiTheme="majorHAnsi" w:cstheme="majorHAnsi"/>
          <w:lang w:val="en-AU"/>
        </w:rPr>
        <w:t xml:space="preserve"> (1 May 2015)</w:t>
      </w:r>
      <w:r w:rsidRPr="009F46D4">
        <w:rPr>
          <w:rFonts w:asciiTheme="majorHAnsi" w:hAnsiTheme="majorHAnsi" w:cstheme="majorHAnsi"/>
        </w:rPr>
        <w:t xml:space="preserve"> [55].</w:t>
      </w:r>
    </w:p>
  </w:footnote>
  <w:footnote w:id="26">
    <w:p w14:paraId="2C660749" w14:textId="320057EC" w:rsidR="00ED77FC" w:rsidRPr="00A902FE" w:rsidRDefault="00ED77FC" w:rsidP="00ED77FC">
      <w:pPr>
        <w:pStyle w:val="FootnoteText"/>
        <w:rPr>
          <w:rFonts w:ascii="Book Antiqua" w:hAnsi="Book Antiqua"/>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rPr>
        <w:t>Giedo</w:t>
      </w:r>
      <w:proofErr w:type="spellEnd"/>
      <w:r w:rsidRPr="009F46D4">
        <w:rPr>
          <w:rFonts w:asciiTheme="majorHAnsi" w:hAnsiTheme="majorHAnsi" w:cstheme="majorHAnsi"/>
          <w:i/>
        </w:rPr>
        <w:t xml:space="preserve"> van der </w:t>
      </w:r>
      <w:proofErr w:type="spellStart"/>
      <w:r w:rsidRPr="009F46D4">
        <w:rPr>
          <w:rFonts w:asciiTheme="majorHAnsi" w:hAnsiTheme="majorHAnsi" w:cstheme="majorHAnsi"/>
          <w:i/>
        </w:rPr>
        <w:t>Garde</w:t>
      </w:r>
      <w:proofErr w:type="spellEnd"/>
      <w:r w:rsidRPr="009F46D4">
        <w:rPr>
          <w:rFonts w:asciiTheme="majorHAnsi" w:hAnsiTheme="majorHAnsi" w:cstheme="majorHAnsi"/>
          <w:i/>
        </w:rPr>
        <w:t xml:space="preserve"> BV v </w:t>
      </w:r>
      <w:proofErr w:type="spellStart"/>
      <w:r w:rsidRPr="009F46D4">
        <w:rPr>
          <w:rFonts w:asciiTheme="majorHAnsi" w:hAnsiTheme="majorHAnsi" w:cstheme="majorHAnsi"/>
          <w:i/>
        </w:rPr>
        <w:t>Sauber</w:t>
      </w:r>
      <w:proofErr w:type="spellEnd"/>
      <w:r w:rsidRPr="009F46D4">
        <w:rPr>
          <w:rFonts w:asciiTheme="majorHAnsi" w:hAnsiTheme="majorHAnsi" w:cstheme="majorHAnsi"/>
          <w:i/>
        </w:rPr>
        <w:t xml:space="preserve"> Motorsport AG</w:t>
      </w:r>
      <w:r w:rsidRPr="009F46D4">
        <w:rPr>
          <w:rFonts w:asciiTheme="majorHAnsi" w:hAnsiTheme="majorHAnsi" w:cstheme="majorHAnsi"/>
        </w:rPr>
        <w:t xml:space="preserve"> (2015) 317 ALR 792.</w:t>
      </w:r>
    </w:p>
  </w:footnote>
  <w:footnote w:id="27">
    <w:p w14:paraId="6DF079FE" w14:textId="77777777" w:rsidR="00B549A8" w:rsidRPr="009F46D4" w:rsidRDefault="00B549A8" w:rsidP="00B549A8">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rPr>
        <w:t>Giedo</w:t>
      </w:r>
      <w:proofErr w:type="spellEnd"/>
      <w:r w:rsidRPr="009F46D4">
        <w:rPr>
          <w:rFonts w:asciiTheme="majorHAnsi" w:hAnsiTheme="majorHAnsi" w:cstheme="majorHAnsi"/>
          <w:i/>
        </w:rPr>
        <w:t xml:space="preserve"> van der </w:t>
      </w:r>
      <w:proofErr w:type="spellStart"/>
      <w:r w:rsidRPr="009F46D4">
        <w:rPr>
          <w:rFonts w:asciiTheme="majorHAnsi" w:hAnsiTheme="majorHAnsi" w:cstheme="majorHAnsi"/>
          <w:i/>
        </w:rPr>
        <w:t>Garde</w:t>
      </w:r>
      <w:proofErr w:type="spellEnd"/>
      <w:r w:rsidRPr="009F46D4">
        <w:rPr>
          <w:rFonts w:asciiTheme="majorHAnsi" w:hAnsiTheme="majorHAnsi" w:cstheme="majorHAnsi"/>
          <w:i/>
        </w:rPr>
        <w:t xml:space="preserve"> BV v </w:t>
      </w:r>
      <w:proofErr w:type="spellStart"/>
      <w:r w:rsidRPr="009F46D4">
        <w:rPr>
          <w:rFonts w:asciiTheme="majorHAnsi" w:hAnsiTheme="majorHAnsi" w:cstheme="majorHAnsi"/>
          <w:i/>
        </w:rPr>
        <w:t>Sauber</w:t>
      </w:r>
      <w:proofErr w:type="spellEnd"/>
      <w:r w:rsidRPr="009F46D4">
        <w:rPr>
          <w:rFonts w:asciiTheme="majorHAnsi" w:hAnsiTheme="majorHAnsi" w:cstheme="majorHAnsi"/>
          <w:i/>
        </w:rPr>
        <w:t xml:space="preserve"> Motorsport AG </w:t>
      </w:r>
      <w:r w:rsidRPr="009F46D4">
        <w:rPr>
          <w:rFonts w:asciiTheme="majorHAnsi" w:hAnsiTheme="majorHAnsi" w:cstheme="majorHAnsi"/>
        </w:rPr>
        <w:t>(2015) 317 ALR 732, 795 [7].</w:t>
      </w:r>
    </w:p>
  </w:footnote>
  <w:footnote w:id="28">
    <w:p w14:paraId="3D84F5D1" w14:textId="77777777" w:rsidR="00B549A8" w:rsidRPr="009F46D4" w:rsidRDefault="00B549A8" w:rsidP="00B549A8">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rPr>
        <w:t>Giedo</w:t>
      </w:r>
      <w:proofErr w:type="spellEnd"/>
      <w:r w:rsidRPr="009F46D4">
        <w:rPr>
          <w:rFonts w:asciiTheme="majorHAnsi" w:hAnsiTheme="majorHAnsi" w:cstheme="majorHAnsi"/>
          <w:i/>
        </w:rPr>
        <w:t xml:space="preserve"> van der </w:t>
      </w:r>
      <w:proofErr w:type="spellStart"/>
      <w:r w:rsidRPr="009F46D4">
        <w:rPr>
          <w:rFonts w:asciiTheme="majorHAnsi" w:hAnsiTheme="majorHAnsi" w:cstheme="majorHAnsi"/>
          <w:i/>
        </w:rPr>
        <w:t>Garde</w:t>
      </w:r>
      <w:proofErr w:type="spellEnd"/>
      <w:r w:rsidRPr="009F46D4">
        <w:rPr>
          <w:rFonts w:asciiTheme="majorHAnsi" w:hAnsiTheme="majorHAnsi" w:cstheme="majorHAnsi"/>
          <w:i/>
        </w:rPr>
        <w:t xml:space="preserve"> BV v </w:t>
      </w:r>
      <w:proofErr w:type="spellStart"/>
      <w:r w:rsidRPr="009F46D4">
        <w:rPr>
          <w:rFonts w:asciiTheme="majorHAnsi" w:hAnsiTheme="majorHAnsi" w:cstheme="majorHAnsi"/>
          <w:i/>
        </w:rPr>
        <w:t>Sauber</w:t>
      </w:r>
      <w:proofErr w:type="spellEnd"/>
      <w:r w:rsidRPr="009F46D4">
        <w:rPr>
          <w:rFonts w:asciiTheme="majorHAnsi" w:hAnsiTheme="majorHAnsi" w:cstheme="majorHAnsi"/>
          <w:i/>
        </w:rPr>
        <w:t xml:space="preserve"> Motorsport AG </w:t>
      </w:r>
      <w:r w:rsidRPr="009F46D4">
        <w:rPr>
          <w:rFonts w:asciiTheme="majorHAnsi" w:hAnsiTheme="majorHAnsi" w:cstheme="majorHAnsi"/>
        </w:rPr>
        <w:t>(2015) 317 ALR 732, 797 [22].</w:t>
      </w:r>
    </w:p>
  </w:footnote>
  <w:footnote w:id="29">
    <w:p w14:paraId="30D7262C" w14:textId="77777777" w:rsidR="00B549A8" w:rsidRPr="00A902FE" w:rsidRDefault="00B549A8" w:rsidP="00B549A8">
      <w:pPr>
        <w:pStyle w:val="FootnoteText"/>
        <w:rPr>
          <w:rFonts w:ascii="Book Antiqua" w:hAnsi="Book Antiqua"/>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rPr>
        <w:t>Sauber</w:t>
      </w:r>
      <w:proofErr w:type="spellEnd"/>
      <w:r w:rsidRPr="009F46D4">
        <w:rPr>
          <w:rFonts w:asciiTheme="majorHAnsi" w:hAnsiTheme="majorHAnsi" w:cstheme="majorHAnsi"/>
          <w:i/>
        </w:rPr>
        <w:t xml:space="preserve"> Motorsport AG v </w:t>
      </w:r>
      <w:proofErr w:type="spellStart"/>
      <w:r w:rsidRPr="009F46D4">
        <w:rPr>
          <w:rFonts w:asciiTheme="majorHAnsi" w:hAnsiTheme="majorHAnsi" w:cstheme="majorHAnsi"/>
          <w:i/>
        </w:rPr>
        <w:t>Giedo</w:t>
      </w:r>
      <w:proofErr w:type="spellEnd"/>
      <w:r w:rsidRPr="009F46D4">
        <w:rPr>
          <w:rFonts w:asciiTheme="majorHAnsi" w:hAnsiTheme="majorHAnsi" w:cstheme="majorHAnsi"/>
          <w:i/>
        </w:rPr>
        <w:t xml:space="preserve"> van der </w:t>
      </w:r>
      <w:proofErr w:type="spellStart"/>
      <w:r w:rsidRPr="009F46D4">
        <w:rPr>
          <w:rFonts w:asciiTheme="majorHAnsi" w:hAnsiTheme="majorHAnsi" w:cstheme="majorHAnsi"/>
          <w:i/>
        </w:rPr>
        <w:t>Garde</w:t>
      </w:r>
      <w:proofErr w:type="spellEnd"/>
      <w:r w:rsidRPr="009F46D4">
        <w:rPr>
          <w:rFonts w:asciiTheme="majorHAnsi" w:hAnsiTheme="majorHAnsi" w:cstheme="majorHAnsi"/>
          <w:i/>
        </w:rPr>
        <w:t xml:space="preserve"> BV </w:t>
      </w:r>
      <w:r w:rsidRPr="009F46D4">
        <w:rPr>
          <w:rFonts w:asciiTheme="majorHAnsi" w:hAnsiTheme="majorHAnsi" w:cstheme="majorHAnsi"/>
        </w:rPr>
        <w:t>(2015) 317 ALR 786, 789–90 [12]–[13].</w:t>
      </w:r>
    </w:p>
  </w:footnote>
  <w:footnote w:id="30">
    <w:p w14:paraId="7E20898C" w14:textId="7DC5656E" w:rsidR="00EE07BB" w:rsidRPr="009F46D4" w:rsidRDefault="00EE07BB" w:rsidP="00EE07BB">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w:t>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(No 2)</w:t>
      </w:r>
      <w:r w:rsidRPr="009F46D4">
        <w:rPr>
          <w:rFonts w:asciiTheme="majorHAnsi" w:hAnsiTheme="majorHAnsi" w:cstheme="majorHAnsi"/>
          <w:lang w:val="en-AU"/>
        </w:rPr>
        <w:t xml:space="preserve"> [2015] VSC 770 (22 December 2015);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v Indian Farmers Fertiliser Cooperative Ltd </w:t>
      </w:r>
      <w:r w:rsidRPr="009F46D4">
        <w:rPr>
          <w:rFonts w:asciiTheme="majorHAnsi" w:hAnsiTheme="majorHAnsi" w:cstheme="majorHAnsi"/>
          <w:lang w:val="en-AU"/>
        </w:rPr>
        <w:t>[2016] VSCA 5 (9 February 2016)</w:t>
      </w:r>
      <w:r w:rsidR="00A902FE" w:rsidRPr="009F46D4">
        <w:rPr>
          <w:rFonts w:asciiTheme="majorHAnsi" w:hAnsiTheme="majorHAnsi" w:cstheme="majorHAnsi"/>
          <w:lang w:val="en-AU"/>
        </w:rPr>
        <w:t>.</w:t>
      </w:r>
    </w:p>
  </w:footnote>
  <w:footnote w:id="31">
    <w:p w14:paraId="243F8D51" w14:textId="77777777" w:rsidR="006F5CF0" w:rsidRPr="009F46D4" w:rsidRDefault="006F5CF0" w:rsidP="006F5CF0">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rPr>
        <w:t>(2015) 297 FLR 300.</w:t>
      </w:r>
    </w:p>
  </w:footnote>
  <w:footnote w:id="32">
    <w:p w14:paraId="33508073" w14:textId="66473FFC" w:rsidR="006F5CF0" w:rsidRPr="00A902FE" w:rsidRDefault="006F5CF0">
      <w:pPr>
        <w:pStyle w:val="FootnoteText"/>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International Arbitration Act</w:t>
      </w:r>
      <w:r w:rsidRPr="009F46D4">
        <w:rPr>
          <w:rFonts w:asciiTheme="majorHAnsi" w:hAnsiTheme="majorHAnsi" w:cstheme="majorHAnsi"/>
          <w:lang w:val="en-AU"/>
        </w:rPr>
        <w:t xml:space="preserve"> 1974 (</w:t>
      </w:r>
      <w:proofErr w:type="spellStart"/>
      <w:r w:rsidRPr="009F46D4">
        <w:rPr>
          <w:rFonts w:asciiTheme="majorHAnsi" w:hAnsiTheme="majorHAnsi" w:cstheme="majorHAnsi"/>
          <w:lang w:val="en-AU"/>
        </w:rPr>
        <w:t>Cth</w:t>
      </w:r>
      <w:proofErr w:type="spellEnd"/>
      <w:r w:rsidRPr="009F46D4">
        <w:rPr>
          <w:rFonts w:asciiTheme="majorHAnsi" w:hAnsiTheme="majorHAnsi" w:cstheme="majorHAnsi"/>
          <w:lang w:val="en-AU"/>
        </w:rPr>
        <w:t>) s 7(2).</w:t>
      </w:r>
      <w:r w:rsidRPr="00A902FE">
        <w:rPr>
          <w:rFonts w:ascii="Book Antiqua" w:hAnsi="Book Antiqua"/>
          <w:lang w:val="en-AU"/>
        </w:rPr>
        <w:t xml:space="preserve"> </w:t>
      </w:r>
    </w:p>
  </w:footnote>
  <w:footnote w:id="33">
    <w:p w14:paraId="02913A3E" w14:textId="77777777" w:rsidR="006F5CF0" w:rsidRPr="009F46D4" w:rsidRDefault="006F5CF0" w:rsidP="006F5CF0">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rPr>
        <w:t>Robotunits</w:t>
      </w:r>
      <w:proofErr w:type="spellEnd"/>
      <w:r w:rsidRPr="009F46D4">
        <w:rPr>
          <w:rFonts w:asciiTheme="majorHAnsi" w:hAnsiTheme="majorHAnsi" w:cstheme="majorHAnsi"/>
          <w:i/>
        </w:rPr>
        <w:t xml:space="preserve"> Pty Ltd v </w:t>
      </w:r>
      <w:proofErr w:type="spellStart"/>
      <w:r w:rsidRPr="009F46D4">
        <w:rPr>
          <w:rFonts w:asciiTheme="majorHAnsi" w:hAnsiTheme="majorHAnsi" w:cstheme="majorHAnsi"/>
          <w:i/>
        </w:rPr>
        <w:t>Mennel</w:t>
      </w:r>
      <w:proofErr w:type="spellEnd"/>
      <w:r w:rsidRPr="009F46D4">
        <w:rPr>
          <w:rFonts w:asciiTheme="majorHAnsi" w:hAnsiTheme="majorHAnsi" w:cstheme="majorHAnsi"/>
          <w:i/>
        </w:rPr>
        <w:t xml:space="preserve"> </w:t>
      </w:r>
      <w:r w:rsidRPr="009F46D4">
        <w:rPr>
          <w:rFonts w:asciiTheme="majorHAnsi" w:hAnsiTheme="majorHAnsi" w:cstheme="majorHAnsi"/>
        </w:rPr>
        <w:t>(2015) 297 FLR 300, 321 [42].</w:t>
      </w:r>
    </w:p>
  </w:footnote>
  <w:footnote w:id="34">
    <w:p w14:paraId="18741566" w14:textId="77777777" w:rsidR="006F5CF0" w:rsidRPr="009F46D4" w:rsidRDefault="006F5CF0" w:rsidP="006F5CF0">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rPr>
        <w:t>Robotunits</w:t>
      </w:r>
      <w:proofErr w:type="spellEnd"/>
      <w:r w:rsidRPr="009F46D4">
        <w:rPr>
          <w:rFonts w:asciiTheme="majorHAnsi" w:hAnsiTheme="majorHAnsi" w:cstheme="majorHAnsi"/>
          <w:i/>
        </w:rPr>
        <w:t xml:space="preserve"> Pty Ltd v </w:t>
      </w:r>
      <w:proofErr w:type="spellStart"/>
      <w:r w:rsidRPr="009F46D4">
        <w:rPr>
          <w:rFonts w:asciiTheme="majorHAnsi" w:hAnsiTheme="majorHAnsi" w:cstheme="majorHAnsi"/>
          <w:i/>
        </w:rPr>
        <w:t>Mennel</w:t>
      </w:r>
      <w:proofErr w:type="spellEnd"/>
      <w:r w:rsidRPr="009F46D4">
        <w:rPr>
          <w:rFonts w:asciiTheme="majorHAnsi" w:hAnsiTheme="majorHAnsi" w:cstheme="majorHAnsi"/>
          <w:i/>
        </w:rPr>
        <w:t xml:space="preserve"> </w:t>
      </w:r>
      <w:r w:rsidRPr="009F46D4">
        <w:rPr>
          <w:rFonts w:asciiTheme="majorHAnsi" w:hAnsiTheme="majorHAnsi" w:cstheme="majorHAnsi"/>
        </w:rPr>
        <w:t>(2015) 297 FLR 300, 306 [14].</w:t>
      </w:r>
    </w:p>
  </w:footnote>
  <w:footnote w:id="35">
    <w:p w14:paraId="2FFFDC46" w14:textId="63DEAECB" w:rsidR="00E30F1E" w:rsidRPr="009F46D4" w:rsidRDefault="00967890" w:rsidP="00A902FE">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9F5036" w:rsidRPr="009F46D4">
        <w:rPr>
          <w:rFonts w:asciiTheme="majorHAnsi" w:hAnsiTheme="majorHAnsi" w:cstheme="majorHAnsi"/>
          <w:lang w:val="en-AU"/>
        </w:rPr>
        <w:t xml:space="preserve">See </w:t>
      </w:r>
      <w:r w:rsidR="009F5036" w:rsidRPr="009F46D4">
        <w:rPr>
          <w:rFonts w:asciiTheme="majorHAnsi" w:hAnsiTheme="majorHAnsi" w:cstheme="majorHAnsi"/>
          <w:i/>
          <w:lang w:val="en-AU"/>
        </w:rPr>
        <w:t>Zu</w:t>
      </w:r>
      <w:r w:rsidR="00E30F1E" w:rsidRPr="009F46D4">
        <w:rPr>
          <w:rFonts w:asciiTheme="majorHAnsi" w:hAnsiTheme="majorHAnsi" w:cstheme="majorHAnsi"/>
          <w:i/>
          <w:lang w:val="en-AU"/>
        </w:rPr>
        <w:t>rich Australian Insurance Lt</w:t>
      </w:r>
      <w:r w:rsidR="009F5036" w:rsidRPr="009F46D4">
        <w:rPr>
          <w:rFonts w:asciiTheme="majorHAnsi" w:hAnsiTheme="majorHAnsi" w:cstheme="majorHAnsi"/>
          <w:i/>
          <w:lang w:val="en-AU"/>
        </w:rPr>
        <w:t xml:space="preserve">d </w:t>
      </w:r>
      <w:r w:rsidR="00E30F1E" w:rsidRPr="009F46D4">
        <w:rPr>
          <w:rFonts w:asciiTheme="majorHAnsi" w:hAnsiTheme="majorHAnsi" w:cstheme="majorHAnsi"/>
          <w:i/>
          <w:lang w:val="en-AU"/>
        </w:rPr>
        <w:t>v Cognition Education Lt</w:t>
      </w:r>
      <w:r w:rsidR="009F5036" w:rsidRPr="009F46D4">
        <w:rPr>
          <w:rFonts w:asciiTheme="majorHAnsi" w:hAnsiTheme="majorHAnsi" w:cstheme="majorHAnsi"/>
          <w:i/>
          <w:lang w:val="en-AU"/>
        </w:rPr>
        <w:t>d</w:t>
      </w:r>
      <w:r w:rsidR="009F5036" w:rsidRPr="009F46D4">
        <w:rPr>
          <w:rFonts w:asciiTheme="majorHAnsi" w:hAnsiTheme="majorHAnsi" w:cstheme="majorHAnsi"/>
          <w:lang w:val="en-AU"/>
        </w:rPr>
        <w:t xml:space="preserve"> </w:t>
      </w:r>
      <w:r w:rsidR="009F5036" w:rsidRPr="009F46D4">
        <w:rPr>
          <w:rFonts w:asciiTheme="majorHAnsi" w:hAnsiTheme="majorHAnsi" w:cstheme="majorHAnsi"/>
        </w:rPr>
        <w:t>[2014] NZSC 188</w:t>
      </w:r>
      <w:r w:rsidR="00E30F1E" w:rsidRPr="009F46D4">
        <w:rPr>
          <w:rFonts w:asciiTheme="majorHAnsi" w:hAnsiTheme="majorHAnsi" w:cstheme="majorHAnsi"/>
          <w:lang w:val="en-AU"/>
        </w:rPr>
        <w:t xml:space="preserve"> (19 December 2014) [4],</w:t>
      </w:r>
      <w:r w:rsidR="009F5036" w:rsidRPr="009F46D4">
        <w:rPr>
          <w:rFonts w:asciiTheme="majorHAnsi" w:hAnsiTheme="majorHAnsi" w:cstheme="majorHAnsi"/>
          <w:lang w:val="en-AU"/>
        </w:rPr>
        <w:t xml:space="preserve"> [52].  </w:t>
      </w:r>
      <w:r w:rsidR="009F5036" w:rsidRPr="009F46D4">
        <w:rPr>
          <w:rFonts w:asciiTheme="majorHAnsi" w:hAnsiTheme="majorHAnsi" w:cstheme="majorHAnsi"/>
          <w:i/>
          <w:lang w:val="en-AU"/>
        </w:rPr>
        <w:t xml:space="preserve">Arbitration Act </w:t>
      </w:r>
      <w:r w:rsidR="009F5036" w:rsidRPr="009F46D4">
        <w:rPr>
          <w:rFonts w:asciiTheme="majorHAnsi" w:hAnsiTheme="majorHAnsi" w:cstheme="majorHAnsi"/>
          <w:lang w:val="en-AU"/>
        </w:rPr>
        <w:t>1996 (NZ)</w:t>
      </w:r>
      <w:r w:rsidR="00E30F1E" w:rsidRPr="009F46D4">
        <w:rPr>
          <w:rFonts w:asciiTheme="majorHAnsi" w:hAnsiTheme="majorHAnsi" w:cstheme="majorHAnsi"/>
          <w:lang w:val="en-AU"/>
        </w:rPr>
        <w:t xml:space="preserve"> </w:t>
      </w:r>
      <w:proofErr w:type="spellStart"/>
      <w:r w:rsidR="00E30F1E" w:rsidRPr="009F46D4">
        <w:rPr>
          <w:rFonts w:asciiTheme="majorHAnsi" w:hAnsiTheme="majorHAnsi" w:cstheme="majorHAnsi"/>
          <w:lang w:val="en-AU"/>
        </w:rPr>
        <w:t>sch</w:t>
      </w:r>
      <w:proofErr w:type="spellEnd"/>
      <w:r w:rsidR="00E30F1E" w:rsidRPr="009F46D4">
        <w:rPr>
          <w:rFonts w:asciiTheme="majorHAnsi" w:hAnsiTheme="majorHAnsi" w:cstheme="majorHAnsi"/>
          <w:lang w:val="en-AU"/>
        </w:rPr>
        <w:t xml:space="preserve"> 1, s 8(1)</w:t>
      </w:r>
      <w:r w:rsidR="009F5036" w:rsidRPr="009F46D4">
        <w:rPr>
          <w:rFonts w:asciiTheme="majorHAnsi" w:hAnsiTheme="majorHAnsi" w:cstheme="majorHAnsi"/>
          <w:lang w:val="en-AU"/>
        </w:rPr>
        <w:t xml:space="preserve"> provides</w:t>
      </w:r>
      <w:r w:rsidR="00E30F1E" w:rsidRPr="009F46D4">
        <w:rPr>
          <w:rFonts w:asciiTheme="majorHAnsi" w:hAnsiTheme="majorHAnsi" w:cstheme="majorHAnsi"/>
          <w:lang w:val="en-AU"/>
        </w:rPr>
        <w:t xml:space="preserve"> (emphasis added)</w:t>
      </w:r>
      <w:r w:rsidR="009F5036" w:rsidRPr="009F46D4">
        <w:rPr>
          <w:rFonts w:asciiTheme="majorHAnsi" w:hAnsiTheme="majorHAnsi" w:cstheme="majorHAnsi"/>
          <w:lang w:val="en-AU"/>
        </w:rPr>
        <w:t>:</w:t>
      </w:r>
    </w:p>
    <w:p w14:paraId="61CD3703" w14:textId="5814CC31" w:rsidR="009F5036" w:rsidRPr="009F46D4" w:rsidRDefault="00E30F1E" w:rsidP="00A902FE">
      <w:pPr>
        <w:pStyle w:val="FootnoteText"/>
        <w:ind w:left="1134" w:hanging="1276"/>
        <w:rPr>
          <w:rFonts w:asciiTheme="majorHAnsi" w:hAnsiTheme="majorHAnsi" w:cstheme="majorHAnsi"/>
          <w:sz w:val="17"/>
          <w:szCs w:val="17"/>
          <w:lang w:val="en-AU"/>
        </w:rPr>
      </w:pPr>
      <w:r w:rsidRPr="009F46D4">
        <w:rPr>
          <w:rFonts w:asciiTheme="majorHAnsi" w:hAnsiTheme="majorHAnsi" w:cstheme="majorHAnsi"/>
          <w:lang w:val="en-AU"/>
        </w:rPr>
        <w:tab/>
      </w:r>
      <w:r w:rsidRPr="009F46D4">
        <w:rPr>
          <w:rFonts w:asciiTheme="majorHAnsi" w:hAnsiTheme="majorHAnsi" w:cstheme="majorHAnsi"/>
          <w:sz w:val="17"/>
          <w:szCs w:val="17"/>
          <w:lang w:val="en-AU"/>
        </w:rPr>
        <w:t xml:space="preserve">A court before which proceedings are brought in a matter which is the subject of an arbitration agreement shall, if a party so requests not later than when submitting that party’s first statement on the substance of the dispute, stay those proceedings and refer the parties to arbitration unless it finds that the agreement is null and void, inoperative, or incapable of being performed, </w:t>
      </w:r>
      <w:r w:rsidRPr="009F46D4">
        <w:rPr>
          <w:rFonts w:asciiTheme="majorHAnsi" w:hAnsiTheme="majorHAnsi" w:cstheme="majorHAnsi"/>
          <w:sz w:val="17"/>
          <w:szCs w:val="17"/>
          <w:u w:val="single"/>
          <w:lang w:val="en-AU"/>
        </w:rPr>
        <w:t>or that there is not in fact any dispute between the parties with regard to the matters agreed to be referred</w:t>
      </w:r>
      <w:r w:rsidRPr="009F46D4">
        <w:rPr>
          <w:rFonts w:asciiTheme="majorHAnsi" w:hAnsiTheme="majorHAnsi" w:cstheme="majorHAnsi"/>
          <w:sz w:val="17"/>
          <w:szCs w:val="17"/>
          <w:lang w:val="en-AU"/>
        </w:rPr>
        <w:t>.</w:t>
      </w:r>
    </w:p>
  </w:footnote>
  <w:footnote w:id="36">
    <w:p w14:paraId="43AA8B26" w14:textId="7509A933" w:rsidR="00BD5972" w:rsidRPr="00A902FE" w:rsidRDefault="00BD5972" w:rsidP="00BD5972">
      <w:pPr>
        <w:pStyle w:val="FootnoteText"/>
        <w:ind w:left="709" w:hanging="709"/>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International Arbitration Act </w:t>
      </w:r>
      <w:r w:rsidRPr="009F46D4">
        <w:rPr>
          <w:rFonts w:asciiTheme="majorHAnsi" w:hAnsiTheme="majorHAnsi" w:cstheme="majorHAnsi"/>
          <w:lang w:val="en-AU"/>
        </w:rPr>
        <w:t>1974 (</w:t>
      </w:r>
      <w:proofErr w:type="spellStart"/>
      <w:r w:rsidRPr="009F46D4">
        <w:rPr>
          <w:rFonts w:asciiTheme="majorHAnsi" w:hAnsiTheme="majorHAnsi" w:cstheme="majorHAnsi"/>
          <w:lang w:val="en-AU"/>
        </w:rPr>
        <w:t>Cth</w:t>
      </w:r>
      <w:proofErr w:type="spellEnd"/>
      <w:r w:rsidRPr="009F46D4">
        <w:rPr>
          <w:rFonts w:asciiTheme="majorHAnsi" w:hAnsiTheme="majorHAnsi" w:cstheme="majorHAnsi"/>
          <w:lang w:val="en-AU"/>
        </w:rPr>
        <w:t xml:space="preserve">) s 23; </w:t>
      </w:r>
      <w:r w:rsidRPr="009F46D4">
        <w:rPr>
          <w:rFonts w:asciiTheme="majorHAnsi" w:hAnsiTheme="majorHAnsi" w:cstheme="majorHAnsi"/>
          <w:i/>
          <w:lang w:val="en-AU"/>
        </w:rPr>
        <w:t xml:space="preserve">Arbitration Act </w:t>
      </w:r>
      <w:r w:rsidRPr="009F46D4">
        <w:rPr>
          <w:rFonts w:asciiTheme="majorHAnsi" w:hAnsiTheme="majorHAnsi" w:cstheme="majorHAnsi"/>
          <w:lang w:val="en-AU"/>
        </w:rPr>
        <w:t xml:space="preserve">1996 (NZ) s 27.  See also </w:t>
      </w:r>
      <w:r w:rsidRPr="009F46D4">
        <w:rPr>
          <w:rFonts w:asciiTheme="majorHAnsi" w:hAnsiTheme="majorHAnsi" w:cstheme="majorHAnsi"/>
          <w:i/>
          <w:lang w:val="en-AU"/>
        </w:rPr>
        <w:t xml:space="preserve">Commercial Arbitration Act </w:t>
      </w:r>
      <w:r w:rsidRPr="009F46D4">
        <w:rPr>
          <w:rFonts w:asciiTheme="majorHAnsi" w:hAnsiTheme="majorHAnsi" w:cstheme="majorHAnsi"/>
          <w:lang w:val="en-AU"/>
        </w:rPr>
        <w:t>2011 (Vic) s 27A.</w:t>
      </w:r>
    </w:p>
  </w:footnote>
  <w:footnote w:id="37">
    <w:p w14:paraId="5B87DA9C" w14:textId="42DF0C51" w:rsidR="00BD5972" w:rsidRPr="009F46D4" w:rsidRDefault="00BD5972" w:rsidP="00BD5972">
      <w:pPr>
        <w:pStyle w:val="FootnoteText"/>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rPr>
        <w:t>[2015] VSC 183</w:t>
      </w:r>
      <w:r w:rsidR="00B76F05" w:rsidRPr="009F46D4">
        <w:rPr>
          <w:rFonts w:asciiTheme="majorHAnsi" w:hAnsiTheme="majorHAnsi" w:cstheme="majorHAnsi"/>
          <w:lang w:val="en-AU"/>
        </w:rPr>
        <w:t xml:space="preserve"> (8 May 2015)</w:t>
      </w:r>
      <w:r w:rsidRPr="009F46D4">
        <w:rPr>
          <w:rFonts w:asciiTheme="majorHAnsi" w:hAnsiTheme="majorHAnsi" w:cstheme="majorHAnsi"/>
        </w:rPr>
        <w:t>.</w:t>
      </w:r>
    </w:p>
  </w:footnote>
  <w:footnote w:id="38">
    <w:p w14:paraId="74B9FCC5" w14:textId="3914A35C" w:rsidR="008D6267" w:rsidRPr="009F46D4" w:rsidRDefault="008D6267" w:rsidP="008D6267">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Chief Executive Officer of the Australian Sports Anti-Doping Authority</w:t>
      </w:r>
      <w:r w:rsidRPr="009F46D4">
        <w:rPr>
          <w:rFonts w:asciiTheme="majorHAnsi" w:hAnsiTheme="majorHAnsi" w:cstheme="majorHAnsi"/>
          <w:i/>
        </w:rPr>
        <w:t xml:space="preserve"> v 34 Players </w:t>
      </w:r>
      <w:r w:rsidRPr="009F46D4">
        <w:rPr>
          <w:rFonts w:asciiTheme="majorHAnsi" w:hAnsiTheme="majorHAnsi" w:cstheme="majorHAnsi"/>
        </w:rPr>
        <w:t>[2014] VSC 635</w:t>
      </w:r>
      <w:r w:rsidRPr="009F46D4">
        <w:rPr>
          <w:rFonts w:asciiTheme="majorHAnsi" w:hAnsiTheme="majorHAnsi" w:cstheme="majorHAnsi"/>
          <w:lang w:val="en-AU"/>
        </w:rPr>
        <w:t xml:space="preserve"> (19 December 2014).</w:t>
      </w:r>
    </w:p>
  </w:footnote>
  <w:footnote w:id="39">
    <w:p w14:paraId="05DA70DC" w14:textId="0A953043" w:rsidR="00BD5972" w:rsidRPr="009F46D4" w:rsidRDefault="00BD5972" w:rsidP="00BD5972">
      <w:pPr>
        <w:pStyle w:val="FootnoteText"/>
        <w:ind w:left="709" w:hanging="709"/>
        <w:rPr>
          <w:rFonts w:asciiTheme="majorHAnsi" w:hAnsiTheme="majorHAnsi" w:cstheme="majorHAnsi"/>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 xml:space="preserve">Esposito Holdings Pty Ltd v UDP Holdings Pty Ltd </w:t>
      </w:r>
      <w:r w:rsidRPr="009F46D4">
        <w:rPr>
          <w:rFonts w:asciiTheme="majorHAnsi" w:hAnsiTheme="majorHAnsi" w:cstheme="majorHAnsi"/>
        </w:rPr>
        <w:t>[2015] VSC 183 (</w:t>
      </w:r>
      <w:r w:rsidRPr="009F46D4">
        <w:rPr>
          <w:rFonts w:asciiTheme="majorHAnsi" w:hAnsiTheme="majorHAnsi" w:cstheme="majorHAnsi"/>
          <w:lang w:val="en-AU"/>
        </w:rPr>
        <w:t>8 May 2015)</w:t>
      </w:r>
      <w:r w:rsidRPr="009F46D4">
        <w:rPr>
          <w:rFonts w:asciiTheme="majorHAnsi" w:hAnsiTheme="majorHAnsi" w:cstheme="majorHAnsi"/>
        </w:rPr>
        <w:t xml:space="preserve"> [5] (“</w:t>
      </w:r>
      <w:r w:rsidR="006051F3" w:rsidRPr="009F46D4">
        <w:rPr>
          <w:rFonts w:asciiTheme="majorHAnsi" w:hAnsiTheme="majorHAnsi" w:cstheme="majorHAnsi"/>
          <w:lang w:val="en-AU"/>
        </w:rPr>
        <w:t xml:space="preserve">the </w:t>
      </w:r>
      <w:r w:rsidRPr="009F46D4">
        <w:rPr>
          <w:rFonts w:asciiTheme="majorHAnsi" w:hAnsiTheme="majorHAnsi" w:cstheme="majorHAnsi"/>
          <w:i/>
        </w:rPr>
        <w:t>Esposito</w:t>
      </w:r>
      <w:r w:rsidR="006051F3" w:rsidRPr="009F46D4">
        <w:rPr>
          <w:rFonts w:asciiTheme="majorHAnsi" w:hAnsiTheme="majorHAnsi" w:cstheme="majorHAnsi"/>
          <w:lang w:val="en-AU"/>
        </w:rPr>
        <w:t xml:space="preserve"> case</w:t>
      </w:r>
      <w:r w:rsidRPr="009F46D4">
        <w:rPr>
          <w:rFonts w:asciiTheme="majorHAnsi" w:hAnsiTheme="majorHAnsi" w:cstheme="majorHAnsi"/>
        </w:rPr>
        <w:t xml:space="preserve">”) citing </w:t>
      </w:r>
      <w:r w:rsidR="00CA2534" w:rsidRPr="009F46D4">
        <w:rPr>
          <w:rFonts w:asciiTheme="majorHAnsi" w:hAnsiTheme="majorHAnsi" w:cstheme="majorHAnsi"/>
          <w:i/>
          <w:lang w:val="en-AU"/>
        </w:rPr>
        <w:t>Chief Executive Officer of the Australian Sports Anti-Doping Authority</w:t>
      </w:r>
      <w:r w:rsidR="00CA2534" w:rsidRPr="009F46D4">
        <w:rPr>
          <w:rFonts w:asciiTheme="majorHAnsi" w:hAnsiTheme="majorHAnsi" w:cstheme="majorHAnsi"/>
          <w:i/>
        </w:rPr>
        <w:t xml:space="preserve"> v 34 Players </w:t>
      </w:r>
      <w:r w:rsidR="00CA2534" w:rsidRPr="009F46D4">
        <w:rPr>
          <w:rFonts w:asciiTheme="majorHAnsi" w:hAnsiTheme="majorHAnsi" w:cstheme="majorHAnsi"/>
        </w:rPr>
        <w:t>[2014] VSC 635</w:t>
      </w:r>
      <w:r w:rsidR="00CA2534" w:rsidRPr="009F46D4">
        <w:rPr>
          <w:rFonts w:asciiTheme="majorHAnsi" w:hAnsiTheme="majorHAnsi" w:cstheme="majorHAnsi"/>
          <w:lang w:val="en-AU"/>
        </w:rPr>
        <w:t xml:space="preserve"> (19 December 2014)</w:t>
      </w:r>
      <w:r w:rsidRPr="009F46D4">
        <w:rPr>
          <w:rFonts w:asciiTheme="majorHAnsi" w:hAnsiTheme="majorHAnsi" w:cstheme="majorHAnsi"/>
        </w:rPr>
        <w:t xml:space="preserve"> [63]. </w:t>
      </w:r>
    </w:p>
  </w:footnote>
  <w:footnote w:id="40">
    <w:p w14:paraId="282867C3" w14:textId="5756F27B" w:rsidR="00BD5972" w:rsidRPr="00A902FE" w:rsidRDefault="00BD5972" w:rsidP="00BD5972">
      <w:pPr>
        <w:pStyle w:val="FootnoteText"/>
        <w:rPr>
          <w:rFonts w:ascii="Book Antiqua" w:hAnsi="Book Antiqua"/>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 xml:space="preserve">Esposito Holdings Pty Ltd v UDP Holdings Pty Ltd </w:t>
      </w:r>
      <w:r w:rsidR="000A5E4A" w:rsidRPr="009F46D4">
        <w:rPr>
          <w:rFonts w:asciiTheme="majorHAnsi" w:hAnsiTheme="majorHAnsi" w:cstheme="majorHAnsi"/>
        </w:rPr>
        <w:t>[2015] VSC 183</w:t>
      </w:r>
      <w:r w:rsidR="000A5E4A" w:rsidRPr="009F46D4">
        <w:rPr>
          <w:rFonts w:asciiTheme="majorHAnsi" w:hAnsiTheme="majorHAnsi" w:cstheme="majorHAnsi"/>
          <w:lang w:val="en-AU"/>
        </w:rPr>
        <w:t xml:space="preserve"> </w:t>
      </w:r>
      <w:r w:rsidR="000A5E4A" w:rsidRPr="009F46D4">
        <w:rPr>
          <w:rFonts w:asciiTheme="majorHAnsi" w:hAnsiTheme="majorHAnsi" w:cstheme="majorHAnsi"/>
        </w:rPr>
        <w:t>(</w:t>
      </w:r>
      <w:r w:rsidR="000A5E4A" w:rsidRPr="009F46D4">
        <w:rPr>
          <w:rFonts w:asciiTheme="majorHAnsi" w:hAnsiTheme="majorHAnsi" w:cstheme="majorHAnsi"/>
          <w:lang w:val="en-AU"/>
        </w:rPr>
        <w:t>8 May 2015)</w:t>
      </w:r>
      <w:r w:rsidRPr="009F46D4">
        <w:rPr>
          <w:rFonts w:asciiTheme="majorHAnsi" w:hAnsiTheme="majorHAnsi" w:cstheme="majorHAnsi"/>
        </w:rPr>
        <w:t xml:space="preserve"> [7].</w:t>
      </w:r>
    </w:p>
  </w:footnote>
  <w:footnote w:id="41">
    <w:p w14:paraId="548DA603" w14:textId="081A195D" w:rsidR="00EB300C" w:rsidRPr="009F46D4" w:rsidRDefault="00EB300C" w:rsidP="00BD0796">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D552B1" w:rsidRPr="009F46D4">
        <w:rPr>
          <w:rFonts w:asciiTheme="majorHAnsi" w:hAnsiTheme="majorHAnsi" w:cstheme="majorHAnsi"/>
          <w:i/>
          <w:lang w:val="en-AU"/>
        </w:rPr>
        <w:t xml:space="preserve">Indian Farmers Fertiliser Cooperative Ltd v </w:t>
      </w:r>
      <w:proofErr w:type="spellStart"/>
      <w:r w:rsidR="00D552B1" w:rsidRPr="009F46D4">
        <w:rPr>
          <w:rFonts w:asciiTheme="majorHAnsi" w:hAnsiTheme="majorHAnsi" w:cstheme="majorHAnsi"/>
          <w:i/>
          <w:lang w:val="en-AU"/>
        </w:rPr>
        <w:t>Gutnick</w:t>
      </w:r>
      <w:proofErr w:type="spellEnd"/>
      <w:r w:rsidR="00D552B1" w:rsidRPr="009F46D4">
        <w:rPr>
          <w:rFonts w:asciiTheme="majorHAnsi" w:hAnsiTheme="majorHAnsi" w:cstheme="majorHAnsi"/>
          <w:lang w:val="en-AU"/>
        </w:rPr>
        <w:t xml:space="preserve"> [2015] VSC 724 (21 December 2015); </w:t>
      </w:r>
      <w:r w:rsidR="00D552B1" w:rsidRPr="009F46D4">
        <w:rPr>
          <w:rFonts w:asciiTheme="majorHAnsi" w:hAnsiTheme="majorHAnsi" w:cstheme="majorHAnsi"/>
          <w:i/>
          <w:lang w:val="en-AU"/>
        </w:rPr>
        <w:t xml:space="preserve">Indian Farmers Fertiliser Cooperative Ltd v </w:t>
      </w:r>
      <w:proofErr w:type="spellStart"/>
      <w:r w:rsidR="00D552B1" w:rsidRPr="009F46D4">
        <w:rPr>
          <w:rFonts w:asciiTheme="majorHAnsi" w:hAnsiTheme="majorHAnsi" w:cstheme="majorHAnsi"/>
          <w:i/>
          <w:lang w:val="en-AU"/>
        </w:rPr>
        <w:t>Gutnick</w:t>
      </w:r>
      <w:proofErr w:type="spellEnd"/>
      <w:r w:rsidR="00D552B1" w:rsidRPr="009F46D4">
        <w:rPr>
          <w:rFonts w:asciiTheme="majorHAnsi" w:hAnsiTheme="majorHAnsi" w:cstheme="majorHAnsi"/>
          <w:i/>
          <w:lang w:val="en-AU"/>
        </w:rPr>
        <w:t xml:space="preserve"> (No 2)</w:t>
      </w:r>
      <w:r w:rsidR="00D552B1" w:rsidRPr="009F46D4">
        <w:rPr>
          <w:rFonts w:asciiTheme="majorHAnsi" w:hAnsiTheme="majorHAnsi" w:cstheme="majorHAnsi"/>
          <w:lang w:val="en-AU"/>
        </w:rPr>
        <w:t xml:space="preserve"> [2015] VSC 770 (22 December 2015); </w:t>
      </w:r>
      <w:proofErr w:type="spellStart"/>
      <w:r w:rsidR="00D552B1" w:rsidRPr="009F46D4">
        <w:rPr>
          <w:rFonts w:asciiTheme="majorHAnsi" w:hAnsiTheme="majorHAnsi" w:cstheme="majorHAnsi"/>
          <w:i/>
          <w:lang w:val="en-AU"/>
        </w:rPr>
        <w:t>Gutnick</w:t>
      </w:r>
      <w:proofErr w:type="spellEnd"/>
      <w:r w:rsidR="00D552B1" w:rsidRPr="009F46D4">
        <w:rPr>
          <w:rFonts w:asciiTheme="majorHAnsi" w:hAnsiTheme="majorHAnsi" w:cstheme="majorHAnsi"/>
          <w:i/>
          <w:lang w:val="en-AU"/>
        </w:rPr>
        <w:t xml:space="preserve"> v Indian Farmers Fertiliser Cooperative Ltd </w:t>
      </w:r>
      <w:r w:rsidR="00D552B1" w:rsidRPr="009F46D4">
        <w:rPr>
          <w:rFonts w:asciiTheme="majorHAnsi" w:hAnsiTheme="majorHAnsi" w:cstheme="majorHAnsi"/>
          <w:lang w:val="en-AU"/>
        </w:rPr>
        <w:t xml:space="preserve">[2016] VSCA 5 (9 February 2016). </w:t>
      </w:r>
    </w:p>
  </w:footnote>
  <w:footnote w:id="42">
    <w:p w14:paraId="70015039" w14:textId="2D50EB5C" w:rsidR="009E0E55" w:rsidRPr="009F46D4" w:rsidRDefault="009E0E55">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67643E" w:rsidRPr="009F46D4">
        <w:rPr>
          <w:rFonts w:asciiTheme="majorHAnsi" w:hAnsiTheme="majorHAnsi" w:cstheme="majorHAnsi"/>
          <w:i/>
        </w:rPr>
        <w:t xml:space="preserve">Arbitration Rules of the Singapore International Arbitration Centre </w:t>
      </w:r>
      <w:r w:rsidR="0067643E" w:rsidRPr="009F46D4">
        <w:rPr>
          <w:rFonts w:asciiTheme="majorHAnsi" w:hAnsiTheme="majorHAnsi" w:cstheme="majorHAnsi"/>
        </w:rPr>
        <w:t>(4</w:t>
      </w:r>
      <w:r w:rsidR="0067643E" w:rsidRPr="009F46D4">
        <w:rPr>
          <w:rFonts w:asciiTheme="majorHAnsi" w:hAnsiTheme="majorHAnsi" w:cstheme="majorHAnsi"/>
          <w:vertAlign w:val="superscript"/>
        </w:rPr>
        <w:t>th</w:t>
      </w:r>
      <w:r w:rsidR="0067643E" w:rsidRPr="009F46D4">
        <w:rPr>
          <w:rFonts w:asciiTheme="majorHAnsi" w:hAnsiTheme="majorHAnsi" w:cstheme="majorHAnsi"/>
        </w:rPr>
        <w:t xml:space="preserve"> </w:t>
      </w:r>
      <w:proofErr w:type="spellStart"/>
      <w:r w:rsidR="0067643E" w:rsidRPr="009F46D4">
        <w:rPr>
          <w:rFonts w:asciiTheme="majorHAnsi" w:hAnsiTheme="majorHAnsi" w:cstheme="majorHAnsi"/>
        </w:rPr>
        <w:t>ed</w:t>
      </w:r>
      <w:proofErr w:type="spellEnd"/>
      <w:r w:rsidR="0067643E" w:rsidRPr="009F46D4">
        <w:rPr>
          <w:rFonts w:asciiTheme="majorHAnsi" w:hAnsiTheme="majorHAnsi" w:cstheme="majorHAnsi"/>
        </w:rPr>
        <w:t>, 2010) (“the SIAC Rules”)</w:t>
      </w:r>
      <w:r w:rsidR="0067643E" w:rsidRPr="009F46D4">
        <w:rPr>
          <w:rFonts w:asciiTheme="majorHAnsi" w:hAnsiTheme="majorHAnsi" w:cstheme="majorHAnsi"/>
          <w:lang w:val="en-AU"/>
        </w:rPr>
        <w:t>.</w:t>
      </w:r>
    </w:p>
  </w:footnote>
  <w:footnote w:id="43">
    <w:p w14:paraId="56C6F5F2" w14:textId="4FB1D69F" w:rsidR="006A6F08" w:rsidRPr="009F46D4" w:rsidRDefault="006A6F08">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[100].</w:t>
      </w:r>
    </w:p>
  </w:footnote>
  <w:footnote w:id="44">
    <w:p w14:paraId="736F01C8" w14:textId="36F41C1A" w:rsidR="00434606" w:rsidRPr="00A902FE" w:rsidRDefault="00434606">
      <w:pPr>
        <w:pStyle w:val="FootnoteText"/>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[39], [105].</w:t>
      </w:r>
    </w:p>
  </w:footnote>
  <w:footnote w:id="45">
    <w:p w14:paraId="02312CAD" w14:textId="7B2BCB54" w:rsidR="00087F72" w:rsidRPr="009F46D4" w:rsidRDefault="00087F72">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v Indian Farmers Fertiliser Cooperative Ltd </w:t>
      </w:r>
      <w:r w:rsidRPr="009F46D4">
        <w:rPr>
          <w:rFonts w:asciiTheme="majorHAnsi" w:hAnsiTheme="majorHAnsi" w:cstheme="majorHAnsi"/>
          <w:lang w:val="en-AU"/>
        </w:rPr>
        <w:t>[2016] VSCA 5 (9 February 2016) [30].</w:t>
      </w:r>
    </w:p>
  </w:footnote>
  <w:footnote w:id="46">
    <w:p w14:paraId="0D634350" w14:textId="2BA552D8" w:rsidR="005264E8" w:rsidRPr="009F46D4" w:rsidRDefault="005264E8">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v Indian Farmers Fertiliser Cooperative Ltd </w:t>
      </w:r>
      <w:r w:rsidRPr="009F46D4">
        <w:rPr>
          <w:rFonts w:asciiTheme="majorHAnsi" w:hAnsiTheme="majorHAnsi" w:cstheme="majorHAnsi"/>
          <w:lang w:val="en-AU"/>
        </w:rPr>
        <w:t>[2016] VSCA 5 (9 February 2016) [20].</w:t>
      </w:r>
    </w:p>
  </w:footnote>
  <w:footnote w:id="47">
    <w:p w14:paraId="0E95E79B" w14:textId="601FFBBE" w:rsidR="006A6A04" w:rsidRPr="009F46D4" w:rsidRDefault="006A6A04" w:rsidP="006A6A04">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[47].</w:t>
      </w:r>
    </w:p>
  </w:footnote>
  <w:footnote w:id="48">
    <w:p w14:paraId="167A795A" w14:textId="2C3D0B41" w:rsidR="001D548D" w:rsidRPr="009F46D4" w:rsidRDefault="001D548D" w:rsidP="001D548D">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[44].</w:t>
      </w:r>
    </w:p>
  </w:footnote>
  <w:footnote w:id="49">
    <w:p w14:paraId="1C1CA8AC" w14:textId="77777777" w:rsidR="00470054" w:rsidRPr="00A902FE" w:rsidRDefault="00470054" w:rsidP="00470054">
      <w:pPr>
        <w:pStyle w:val="FootnoteText"/>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[44].</w:t>
      </w:r>
    </w:p>
  </w:footnote>
  <w:footnote w:id="50">
    <w:p w14:paraId="79F974D2" w14:textId="592B3099" w:rsidR="000A5E4A" w:rsidRPr="009F46D4" w:rsidRDefault="000A5E4A" w:rsidP="006051F3">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t xml:space="preserve">See </w:t>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[108]</w:t>
      </w:r>
      <w:r w:rsidRPr="009F46D4">
        <w:rPr>
          <w:rFonts w:asciiTheme="majorHAnsi" w:hAnsiTheme="majorHAnsi" w:cstheme="majorHAnsi"/>
        </w:rPr>
        <w:t>–</w:t>
      </w:r>
      <w:r w:rsidRPr="009F46D4">
        <w:rPr>
          <w:rFonts w:asciiTheme="majorHAnsi" w:hAnsiTheme="majorHAnsi" w:cstheme="majorHAnsi"/>
          <w:lang w:val="en-AU"/>
        </w:rPr>
        <w:t>[121].</w:t>
      </w:r>
    </w:p>
  </w:footnote>
  <w:footnote w:id="51">
    <w:p w14:paraId="3B238D62" w14:textId="7618BD77" w:rsidR="002C011D" w:rsidRPr="009F46D4" w:rsidRDefault="002C011D" w:rsidP="002C011D">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[111].</w:t>
      </w:r>
    </w:p>
  </w:footnote>
  <w:footnote w:id="52">
    <w:p w14:paraId="602B4514" w14:textId="2D993A43" w:rsidR="00EB30F1" w:rsidRPr="009F46D4" w:rsidRDefault="00EB30F1" w:rsidP="00EB30F1">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[121].</w:t>
      </w:r>
    </w:p>
  </w:footnote>
  <w:footnote w:id="53">
    <w:p w14:paraId="37EA7370" w14:textId="70E27A07" w:rsidR="00636A98" w:rsidRPr="009F46D4" w:rsidRDefault="00636A98" w:rsidP="00636A98">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[120].</w:t>
      </w:r>
    </w:p>
  </w:footnote>
  <w:footnote w:id="54">
    <w:p w14:paraId="114B5DF3" w14:textId="77777777" w:rsidR="00DE1296" w:rsidRPr="006051F3" w:rsidRDefault="00DE1296" w:rsidP="00DE1296">
      <w:pPr>
        <w:pStyle w:val="FootnoteText"/>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 xml:space="preserve">Indian Farmers Fertiliser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lang w:val="en-AU"/>
        </w:rPr>
        <w:t xml:space="preserve"> [2015] VSC 724 (21 December 2015) [120].</w:t>
      </w:r>
    </w:p>
  </w:footnote>
  <w:footnote w:id="55">
    <w:p w14:paraId="67B5E66F" w14:textId="649C0098" w:rsidR="00B567CE" w:rsidRPr="009F46D4" w:rsidRDefault="00B567CE" w:rsidP="00B567CE">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proofErr w:type="spellStart"/>
      <w:r w:rsidR="00471B00" w:rsidRPr="009F46D4">
        <w:rPr>
          <w:rFonts w:asciiTheme="majorHAnsi" w:hAnsiTheme="majorHAnsi" w:cstheme="majorHAnsi"/>
          <w:i/>
          <w:lang w:val="en-AU"/>
        </w:rPr>
        <w:t>Gutnick</w:t>
      </w:r>
      <w:proofErr w:type="spellEnd"/>
      <w:r w:rsidR="00471B00" w:rsidRPr="009F46D4">
        <w:rPr>
          <w:rFonts w:asciiTheme="majorHAnsi" w:hAnsiTheme="majorHAnsi" w:cstheme="majorHAnsi"/>
          <w:i/>
          <w:lang w:val="en-AU"/>
        </w:rPr>
        <w:t xml:space="preserve"> v Indian Farmers Fertiliser Cooperative Ltd </w:t>
      </w:r>
      <w:r w:rsidR="00471B00" w:rsidRPr="009F46D4">
        <w:rPr>
          <w:rFonts w:asciiTheme="majorHAnsi" w:hAnsiTheme="majorHAnsi" w:cstheme="majorHAnsi"/>
          <w:lang w:val="en-AU"/>
        </w:rPr>
        <w:t>[2016] VSCA 5 (9 February 2016) [33].</w:t>
      </w:r>
    </w:p>
  </w:footnote>
  <w:footnote w:id="56">
    <w:p w14:paraId="4F4E2EAA" w14:textId="77777777" w:rsidR="009B60AB" w:rsidRPr="009F46D4" w:rsidRDefault="009B60AB" w:rsidP="009B60AB">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rPr>
        <w:tab/>
      </w:r>
      <w:r w:rsidRPr="009F46D4">
        <w:rPr>
          <w:rFonts w:asciiTheme="majorHAnsi" w:hAnsiTheme="majorHAnsi" w:cstheme="majorHAnsi"/>
          <w:i/>
        </w:rPr>
        <w:t>Supreme Court (General Civil Procedure) Rules</w:t>
      </w:r>
      <w:r w:rsidRPr="009F46D4">
        <w:rPr>
          <w:rFonts w:asciiTheme="majorHAnsi" w:hAnsiTheme="majorHAnsi" w:cstheme="majorHAnsi"/>
        </w:rPr>
        <w:t xml:space="preserve"> 2005 (Vic)</w:t>
      </w:r>
      <w:r w:rsidRPr="009F46D4">
        <w:rPr>
          <w:rFonts w:asciiTheme="majorHAnsi" w:hAnsiTheme="majorHAnsi" w:cstheme="majorHAnsi"/>
          <w:lang w:val="en-AU"/>
        </w:rPr>
        <w:t xml:space="preserve"> r 66.16.</w:t>
      </w:r>
    </w:p>
  </w:footnote>
  <w:footnote w:id="57">
    <w:p w14:paraId="76CE4BFC" w14:textId="7EA5703C" w:rsidR="00FE3863" w:rsidRPr="009F46D4" w:rsidRDefault="00FE3863">
      <w:pPr>
        <w:pStyle w:val="FootnoteText"/>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5D13C2" w:rsidRPr="009F46D4">
        <w:rPr>
          <w:rFonts w:asciiTheme="majorHAnsi" w:hAnsiTheme="majorHAnsi" w:cstheme="majorHAnsi"/>
          <w:lang w:val="en-AU"/>
        </w:rPr>
        <w:t>(2014) 324 ALR 194</w:t>
      </w:r>
      <w:r w:rsidR="005F6A84" w:rsidRPr="009F46D4">
        <w:rPr>
          <w:rFonts w:asciiTheme="majorHAnsi" w:hAnsiTheme="majorHAnsi" w:cstheme="majorHAnsi"/>
          <w:lang w:val="en-AU"/>
        </w:rPr>
        <w:t>, 198 [14]</w:t>
      </w:r>
      <w:r w:rsidRPr="009F46D4">
        <w:rPr>
          <w:rFonts w:asciiTheme="majorHAnsi" w:hAnsiTheme="majorHAnsi" w:cstheme="majorHAnsi"/>
          <w:lang w:val="en-AU"/>
        </w:rPr>
        <w:t xml:space="preserve"> (“</w:t>
      </w:r>
      <w:r w:rsidRPr="009F46D4">
        <w:rPr>
          <w:rFonts w:asciiTheme="majorHAnsi" w:hAnsiTheme="majorHAnsi" w:cstheme="majorHAnsi"/>
          <w:i/>
          <w:lang w:val="en-AU"/>
        </w:rPr>
        <w:t>Elders</w:t>
      </w:r>
      <w:r w:rsidRPr="009F46D4">
        <w:rPr>
          <w:rFonts w:asciiTheme="majorHAnsi" w:hAnsiTheme="majorHAnsi" w:cstheme="majorHAnsi"/>
          <w:lang w:val="en-AU"/>
        </w:rPr>
        <w:t>”)</w:t>
      </w:r>
      <w:r w:rsidR="005D13C2" w:rsidRPr="009F46D4">
        <w:rPr>
          <w:rFonts w:asciiTheme="majorHAnsi" w:hAnsiTheme="majorHAnsi" w:cstheme="majorHAnsi"/>
          <w:lang w:val="en-AU"/>
        </w:rPr>
        <w:t>.</w:t>
      </w:r>
    </w:p>
  </w:footnote>
  <w:footnote w:id="58">
    <w:p w14:paraId="6E2FFED0" w14:textId="496929E2" w:rsidR="00BB1EB4" w:rsidRPr="00A902FE" w:rsidRDefault="00BB1EB4">
      <w:pPr>
        <w:pStyle w:val="FootnoteText"/>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0068740B" w:rsidRPr="009F46D4">
        <w:rPr>
          <w:rFonts w:asciiTheme="majorHAnsi" w:hAnsiTheme="majorHAnsi" w:cstheme="majorHAnsi"/>
        </w:rPr>
        <w:tab/>
      </w:r>
      <w:r w:rsidR="001D3A14" w:rsidRPr="009F46D4">
        <w:rPr>
          <w:rFonts w:asciiTheme="majorHAnsi" w:hAnsiTheme="majorHAnsi" w:cstheme="majorHAnsi"/>
          <w:i/>
          <w:lang w:val="en-AU"/>
        </w:rPr>
        <w:t xml:space="preserve">Indian Farmers Fertiliser Cooperative Ltd v </w:t>
      </w:r>
      <w:proofErr w:type="spellStart"/>
      <w:r w:rsidR="001D3A14" w:rsidRPr="009F46D4">
        <w:rPr>
          <w:rFonts w:asciiTheme="majorHAnsi" w:hAnsiTheme="majorHAnsi" w:cstheme="majorHAnsi"/>
          <w:i/>
          <w:lang w:val="en-AU"/>
        </w:rPr>
        <w:t>Gutnick</w:t>
      </w:r>
      <w:proofErr w:type="spellEnd"/>
      <w:r w:rsidR="001D3A14" w:rsidRPr="009F46D4">
        <w:rPr>
          <w:rFonts w:asciiTheme="majorHAnsi" w:hAnsiTheme="majorHAnsi" w:cstheme="majorHAnsi"/>
          <w:i/>
          <w:lang w:val="en-AU"/>
        </w:rPr>
        <w:t xml:space="preserve"> (No 2)</w:t>
      </w:r>
      <w:r w:rsidR="001D3A14" w:rsidRPr="009F46D4">
        <w:rPr>
          <w:rFonts w:asciiTheme="majorHAnsi" w:hAnsiTheme="majorHAnsi" w:cstheme="majorHAnsi"/>
          <w:lang w:val="en-AU"/>
        </w:rPr>
        <w:t xml:space="preserve"> [2015] VSC 770 (22 December 2015) [18].</w:t>
      </w:r>
    </w:p>
  </w:footnote>
  <w:footnote w:id="59">
    <w:p w14:paraId="6DD5AC9C" w14:textId="2DFC11E8" w:rsidR="00BB1EB4" w:rsidRPr="009F46D4" w:rsidRDefault="00BB1EB4" w:rsidP="00750E91">
      <w:pPr>
        <w:pStyle w:val="FootnoteText"/>
        <w:ind w:left="709" w:hanging="709"/>
        <w:rPr>
          <w:rFonts w:asciiTheme="majorHAnsi" w:hAnsiTheme="majorHAnsi" w:cstheme="majorHAnsi"/>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00750E91" w:rsidRPr="009F46D4">
        <w:rPr>
          <w:rFonts w:asciiTheme="majorHAnsi" w:hAnsiTheme="majorHAnsi" w:cstheme="majorHAnsi"/>
          <w:i/>
          <w:lang w:val="en-AU"/>
        </w:rPr>
        <w:t>Elders International Australia Pty Ltd v Beijing Be Green Import &amp; Export Co Ltd</w:t>
      </w:r>
      <w:r w:rsidR="00750E91" w:rsidRPr="009F46D4">
        <w:rPr>
          <w:rFonts w:asciiTheme="majorHAnsi" w:hAnsiTheme="majorHAnsi" w:cstheme="majorHAnsi"/>
          <w:lang w:val="en-AU"/>
        </w:rPr>
        <w:t xml:space="preserve"> (2014) 324 ALR 194, 198 [14].</w:t>
      </w:r>
    </w:p>
  </w:footnote>
  <w:footnote w:id="60">
    <w:p w14:paraId="6C2D5958" w14:textId="445176ED" w:rsidR="00BB1EB4" w:rsidRPr="00A902FE" w:rsidRDefault="00BB1EB4" w:rsidP="00750E91">
      <w:pPr>
        <w:pStyle w:val="FootnoteText"/>
        <w:ind w:left="709" w:hanging="709"/>
        <w:rPr>
          <w:rFonts w:ascii="Book Antiqua" w:hAnsi="Book Antiqua"/>
          <w:lang w:val="en-AU"/>
        </w:rPr>
      </w:pPr>
      <w:r w:rsidRPr="009F46D4">
        <w:rPr>
          <w:rStyle w:val="FootnoteReference"/>
          <w:rFonts w:asciiTheme="majorHAnsi" w:hAnsiTheme="majorHAnsi" w:cstheme="majorHAnsi"/>
        </w:rPr>
        <w:footnoteRef/>
      </w:r>
      <w:r w:rsidRPr="009F46D4">
        <w:rPr>
          <w:rFonts w:asciiTheme="majorHAnsi" w:hAnsiTheme="majorHAnsi" w:cstheme="majorHAnsi"/>
        </w:rPr>
        <w:t xml:space="preserve"> </w:t>
      </w:r>
      <w:r w:rsidRPr="009F46D4">
        <w:rPr>
          <w:rFonts w:asciiTheme="majorHAnsi" w:hAnsiTheme="majorHAnsi" w:cstheme="majorHAnsi"/>
          <w:lang w:val="en-AU"/>
        </w:rPr>
        <w:tab/>
      </w:r>
      <w:r w:rsidRPr="009F46D4">
        <w:rPr>
          <w:rFonts w:asciiTheme="majorHAnsi" w:hAnsiTheme="majorHAnsi" w:cstheme="majorHAnsi"/>
          <w:i/>
          <w:lang w:val="en-AU"/>
        </w:rPr>
        <w:t>Indian Farmers Fert</w:t>
      </w:r>
      <w:r w:rsidR="00750E91" w:rsidRPr="009F46D4">
        <w:rPr>
          <w:rFonts w:asciiTheme="majorHAnsi" w:hAnsiTheme="majorHAnsi" w:cstheme="majorHAnsi"/>
          <w:i/>
          <w:lang w:val="en-AU"/>
        </w:rPr>
        <w:t>i</w:t>
      </w:r>
      <w:r w:rsidRPr="009F46D4">
        <w:rPr>
          <w:rFonts w:asciiTheme="majorHAnsi" w:hAnsiTheme="majorHAnsi" w:cstheme="majorHAnsi"/>
          <w:i/>
          <w:lang w:val="en-AU"/>
        </w:rPr>
        <w:t xml:space="preserve">liser Cooperative Ltd v </w:t>
      </w:r>
      <w:proofErr w:type="spellStart"/>
      <w:r w:rsidRPr="009F46D4">
        <w:rPr>
          <w:rFonts w:asciiTheme="majorHAnsi" w:hAnsiTheme="majorHAnsi" w:cstheme="majorHAnsi"/>
          <w:i/>
          <w:lang w:val="en-AU"/>
        </w:rPr>
        <w:t>Gutnick</w:t>
      </w:r>
      <w:proofErr w:type="spellEnd"/>
      <w:r w:rsidRPr="009F46D4">
        <w:rPr>
          <w:rFonts w:asciiTheme="majorHAnsi" w:hAnsiTheme="majorHAnsi" w:cstheme="majorHAnsi"/>
          <w:i/>
          <w:lang w:val="en-AU"/>
        </w:rPr>
        <w:t xml:space="preserve"> (No 2)</w:t>
      </w:r>
      <w:r w:rsidRPr="009F46D4">
        <w:rPr>
          <w:rFonts w:asciiTheme="majorHAnsi" w:hAnsiTheme="majorHAnsi" w:cstheme="majorHAnsi"/>
          <w:lang w:val="en-AU"/>
        </w:rPr>
        <w:t xml:space="preserve"> [2015] VSC 770 (22 December 2015) [18], [22]</w:t>
      </w:r>
      <w:r w:rsidRPr="009F46D4">
        <w:rPr>
          <w:rFonts w:asciiTheme="majorHAnsi" w:hAnsiTheme="majorHAnsi" w:cstheme="majorHAnsi"/>
        </w:rPr>
        <w:t>–</w:t>
      </w:r>
      <w:r w:rsidRPr="009F46D4">
        <w:rPr>
          <w:rFonts w:asciiTheme="majorHAnsi" w:hAnsiTheme="majorHAnsi" w:cstheme="majorHAnsi"/>
          <w:lang w:val="en-AU"/>
        </w:rPr>
        <w:t>[23].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D952" w14:textId="77777777" w:rsidR="007E6E71" w:rsidRPr="00ED7F92" w:rsidRDefault="007E6E71" w:rsidP="00ED7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6CC4" w14:textId="77777777" w:rsidR="00BB6F25" w:rsidRPr="00ED7F92" w:rsidRDefault="00BB6F25" w:rsidP="00ED7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24A3"/>
    <w:multiLevelType w:val="hybridMultilevel"/>
    <w:tmpl w:val="70B8B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257B4C"/>
    <w:multiLevelType w:val="hybridMultilevel"/>
    <w:tmpl w:val="DADCB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80041C"/>
    <w:multiLevelType w:val="hybridMultilevel"/>
    <w:tmpl w:val="8C2C103E"/>
    <w:lvl w:ilvl="0" w:tplc="0C090001">
      <w:start w:val="1"/>
      <w:numFmt w:val="bullet"/>
      <w:lvlText w:val=""/>
      <w:lvlJc w:val="left"/>
      <w:pPr>
        <w:tabs>
          <w:tab w:val="num" w:pos="845"/>
        </w:tabs>
        <w:ind w:left="845" w:hanging="360"/>
      </w:pPr>
      <w:rPr>
        <w:rFonts w:ascii="Symbol" w:hAnsi="Symbol" w:hint="default"/>
      </w:rPr>
    </w:lvl>
    <w:lvl w:ilvl="1" w:tplc="0C090003" w:tentative="1">
      <w:start w:val="1"/>
      <w:numFmt w:val="bullet"/>
      <w:lvlText w:val="o"/>
      <w:lvlJc w:val="left"/>
      <w:pPr>
        <w:tabs>
          <w:tab w:val="num" w:pos="1565"/>
        </w:tabs>
        <w:ind w:left="1565" w:hanging="360"/>
      </w:pPr>
      <w:rPr>
        <w:rFonts w:ascii="Courier New" w:hAnsi="Courier New" w:cs="Courier New" w:hint="default"/>
      </w:rPr>
    </w:lvl>
    <w:lvl w:ilvl="2" w:tplc="0C090005" w:tentative="1">
      <w:start w:val="1"/>
      <w:numFmt w:val="bullet"/>
      <w:lvlText w:val=""/>
      <w:lvlJc w:val="left"/>
      <w:pPr>
        <w:tabs>
          <w:tab w:val="num" w:pos="2285"/>
        </w:tabs>
        <w:ind w:left="2285" w:hanging="360"/>
      </w:pPr>
      <w:rPr>
        <w:rFonts w:ascii="Wingdings" w:hAnsi="Wingdings" w:hint="default"/>
      </w:rPr>
    </w:lvl>
    <w:lvl w:ilvl="3" w:tplc="0C090001" w:tentative="1">
      <w:start w:val="1"/>
      <w:numFmt w:val="bullet"/>
      <w:lvlText w:val=""/>
      <w:lvlJc w:val="left"/>
      <w:pPr>
        <w:tabs>
          <w:tab w:val="num" w:pos="3005"/>
        </w:tabs>
        <w:ind w:left="3005" w:hanging="360"/>
      </w:pPr>
      <w:rPr>
        <w:rFonts w:ascii="Symbol" w:hAnsi="Symbol" w:hint="default"/>
      </w:rPr>
    </w:lvl>
    <w:lvl w:ilvl="4" w:tplc="0C090003" w:tentative="1">
      <w:start w:val="1"/>
      <w:numFmt w:val="bullet"/>
      <w:lvlText w:val="o"/>
      <w:lvlJc w:val="left"/>
      <w:pPr>
        <w:tabs>
          <w:tab w:val="num" w:pos="3725"/>
        </w:tabs>
        <w:ind w:left="3725" w:hanging="360"/>
      </w:pPr>
      <w:rPr>
        <w:rFonts w:ascii="Courier New" w:hAnsi="Courier New" w:cs="Courier New" w:hint="default"/>
      </w:rPr>
    </w:lvl>
    <w:lvl w:ilvl="5" w:tplc="0C090005" w:tentative="1">
      <w:start w:val="1"/>
      <w:numFmt w:val="bullet"/>
      <w:lvlText w:val=""/>
      <w:lvlJc w:val="left"/>
      <w:pPr>
        <w:tabs>
          <w:tab w:val="num" w:pos="4445"/>
        </w:tabs>
        <w:ind w:left="4445" w:hanging="360"/>
      </w:pPr>
      <w:rPr>
        <w:rFonts w:ascii="Wingdings" w:hAnsi="Wingdings" w:hint="default"/>
      </w:rPr>
    </w:lvl>
    <w:lvl w:ilvl="6" w:tplc="0C090001" w:tentative="1">
      <w:start w:val="1"/>
      <w:numFmt w:val="bullet"/>
      <w:lvlText w:val=""/>
      <w:lvlJc w:val="left"/>
      <w:pPr>
        <w:tabs>
          <w:tab w:val="num" w:pos="5165"/>
        </w:tabs>
        <w:ind w:left="5165" w:hanging="360"/>
      </w:pPr>
      <w:rPr>
        <w:rFonts w:ascii="Symbol" w:hAnsi="Symbol" w:hint="default"/>
      </w:rPr>
    </w:lvl>
    <w:lvl w:ilvl="7" w:tplc="0C090003" w:tentative="1">
      <w:start w:val="1"/>
      <w:numFmt w:val="bullet"/>
      <w:lvlText w:val="o"/>
      <w:lvlJc w:val="left"/>
      <w:pPr>
        <w:tabs>
          <w:tab w:val="num" w:pos="5885"/>
        </w:tabs>
        <w:ind w:left="5885" w:hanging="360"/>
      </w:pPr>
      <w:rPr>
        <w:rFonts w:ascii="Courier New" w:hAnsi="Courier New" w:cs="Courier New" w:hint="default"/>
      </w:rPr>
    </w:lvl>
    <w:lvl w:ilvl="8" w:tplc="0C090005" w:tentative="1">
      <w:start w:val="1"/>
      <w:numFmt w:val="bullet"/>
      <w:lvlText w:val=""/>
      <w:lvlJc w:val="left"/>
      <w:pPr>
        <w:tabs>
          <w:tab w:val="num" w:pos="6605"/>
        </w:tabs>
        <w:ind w:left="6605" w:hanging="360"/>
      </w:pPr>
      <w:rPr>
        <w:rFonts w:ascii="Wingdings" w:hAnsi="Wingdings" w:hint="default"/>
      </w:rPr>
    </w:lvl>
  </w:abstractNum>
  <w:abstractNum w:abstractNumId="3">
    <w:nsid w:val="1A130263"/>
    <w:multiLevelType w:val="hybridMultilevel"/>
    <w:tmpl w:val="6C5CA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696B68"/>
    <w:multiLevelType w:val="hybridMultilevel"/>
    <w:tmpl w:val="620A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003AD5"/>
    <w:multiLevelType w:val="hybridMultilevel"/>
    <w:tmpl w:val="8CB6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8A5655"/>
    <w:multiLevelType w:val="hybridMultilevel"/>
    <w:tmpl w:val="A22AC9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618284A"/>
    <w:multiLevelType w:val="hybridMultilevel"/>
    <w:tmpl w:val="9B72C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EE7B18"/>
    <w:multiLevelType w:val="multilevel"/>
    <w:tmpl w:val="9E0EF0E6"/>
    <w:lvl w:ilvl="0">
      <w:start w:val="7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0A866B0"/>
    <w:multiLevelType w:val="hybridMultilevel"/>
    <w:tmpl w:val="659E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CC0421"/>
    <w:multiLevelType w:val="hybridMultilevel"/>
    <w:tmpl w:val="70B8B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65E6441"/>
    <w:multiLevelType w:val="hybridMultilevel"/>
    <w:tmpl w:val="320C6450"/>
    <w:lvl w:ilvl="0" w:tplc="A10279DA">
      <w:start w:val="1"/>
      <w:numFmt w:val="decimal"/>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D748B3"/>
    <w:multiLevelType w:val="hybridMultilevel"/>
    <w:tmpl w:val="172A2086"/>
    <w:lvl w:ilvl="0" w:tplc="FF6C78AC">
      <w:start w:val="1"/>
      <w:numFmt w:val="lowerLetter"/>
      <w:lvlText w:val="%1)"/>
      <w:lvlJc w:val="left"/>
      <w:pPr>
        <w:ind w:left="360" w:hanging="360"/>
      </w:pPr>
      <w:rPr>
        <w:b/>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99E1CF1"/>
    <w:multiLevelType w:val="hybridMultilevel"/>
    <w:tmpl w:val="F48887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9CB52B2"/>
    <w:multiLevelType w:val="hybridMultilevel"/>
    <w:tmpl w:val="D3F27BD0"/>
    <w:lvl w:ilvl="0" w:tplc="0C090017">
      <w:start w:val="1"/>
      <w:numFmt w:val="lowerLetter"/>
      <w:lvlText w:val="%1)"/>
      <w:lvlJc w:val="left"/>
      <w:pPr>
        <w:ind w:left="788" w:hanging="360"/>
      </w:pPr>
    </w:lvl>
    <w:lvl w:ilvl="1" w:tplc="1B1AF920">
      <w:start w:val="1"/>
      <w:numFmt w:val="lowerRoman"/>
      <w:lvlText w:val="%2)"/>
      <w:lvlJc w:val="right"/>
      <w:pPr>
        <w:ind w:left="1508" w:hanging="360"/>
      </w:pPr>
      <w:rPr>
        <w:rFonts w:hint="default"/>
      </w:r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15">
    <w:nsid w:val="3D035D23"/>
    <w:multiLevelType w:val="hybridMultilevel"/>
    <w:tmpl w:val="D3F27BD0"/>
    <w:lvl w:ilvl="0" w:tplc="0C090017">
      <w:start w:val="1"/>
      <w:numFmt w:val="lowerLetter"/>
      <w:lvlText w:val="%1)"/>
      <w:lvlJc w:val="left"/>
      <w:pPr>
        <w:ind w:left="788" w:hanging="360"/>
      </w:pPr>
    </w:lvl>
    <w:lvl w:ilvl="1" w:tplc="1B1AF920">
      <w:start w:val="1"/>
      <w:numFmt w:val="lowerRoman"/>
      <w:lvlText w:val="%2)"/>
      <w:lvlJc w:val="right"/>
      <w:pPr>
        <w:ind w:left="1508" w:hanging="360"/>
      </w:pPr>
      <w:rPr>
        <w:rFonts w:hint="default"/>
      </w:r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16">
    <w:nsid w:val="417A1C10"/>
    <w:multiLevelType w:val="multilevel"/>
    <w:tmpl w:val="D9B8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985366"/>
    <w:multiLevelType w:val="hybridMultilevel"/>
    <w:tmpl w:val="70B8B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3A204C"/>
    <w:multiLevelType w:val="hybridMultilevel"/>
    <w:tmpl w:val="C2E8F480"/>
    <w:lvl w:ilvl="0" w:tplc="0C090017">
      <w:start w:val="1"/>
      <w:numFmt w:val="lowerLetter"/>
      <w:lvlText w:val="%1)"/>
      <w:lvlJc w:val="left"/>
      <w:pPr>
        <w:ind w:left="360" w:hanging="360"/>
      </w:pPr>
      <w:rPr>
        <w:rFonts w:hint="default"/>
      </w:rPr>
    </w:lvl>
    <w:lvl w:ilvl="1" w:tplc="0C090017">
      <w:start w:val="1"/>
      <w:numFmt w:val="lowerLetter"/>
      <w:lvlText w:val="%2)"/>
      <w:lvlJc w:val="left"/>
      <w:pPr>
        <w:tabs>
          <w:tab w:val="num" w:pos="360"/>
        </w:tabs>
        <w:ind w:left="36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14C04B0"/>
    <w:multiLevelType w:val="hybridMultilevel"/>
    <w:tmpl w:val="8598B47E"/>
    <w:lvl w:ilvl="0" w:tplc="F19EE994">
      <w:start w:val="1"/>
      <w:numFmt w:val="decimal"/>
      <w:lvlText w:val="%1."/>
      <w:lvlJc w:val="left"/>
      <w:pPr>
        <w:ind w:left="720" w:hanging="360"/>
      </w:pPr>
      <w:rPr>
        <w:rFonts w:ascii="Calibri" w:hAnsi="Calibri"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1D36D4"/>
    <w:multiLevelType w:val="hybridMultilevel"/>
    <w:tmpl w:val="3F4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271A15"/>
    <w:multiLevelType w:val="multilevel"/>
    <w:tmpl w:val="BCBE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777A94"/>
    <w:multiLevelType w:val="hybridMultilevel"/>
    <w:tmpl w:val="70B8BB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0720F8"/>
    <w:multiLevelType w:val="hybridMultilevel"/>
    <w:tmpl w:val="2A3A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9A4A37"/>
    <w:multiLevelType w:val="multilevel"/>
    <w:tmpl w:val="45BA5EE2"/>
    <w:lvl w:ilvl="0">
      <w:start w:val="1"/>
      <w:numFmt w:val="lowerLetter"/>
      <w:lvlText w:val="%1)"/>
      <w:lvlJc w:val="left"/>
      <w:pPr>
        <w:ind w:left="360" w:hanging="360"/>
      </w:pPr>
      <w:rPr>
        <w:rFonts w:hint="default"/>
      </w:rPr>
    </w:lvl>
    <w:lvl w:ilvl="1">
      <w:start w:val="1"/>
      <w:numFmt w:val="lowerLetter"/>
      <w:lvlText w:val="(%2)"/>
      <w:lvlJc w:val="left"/>
      <w:pPr>
        <w:tabs>
          <w:tab w:val="num" w:pos="1110"/>
        </w:tabs>
        <w:ind w:left="1110" w:hanging="39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6BF6F32"/>
    <w:multiLevelType w:val="hybridMultilevel"/>
    <w:tmpl w:val="BE3E0620"/>
    <w:lvl w:ilvl="0" w:tplc="77161478">
      <w:start w:val="1"/>
      <w:numFmt w:val="decimal"/>
      <w:pStyle w:val="Heading1"/>
      <w:lvlText w:val="%1."/>
      <w:lvlJc w:val="left"/>
      <w:pPr>
        <w:tabs>
          <w:tab w:val="num" w:pos="360"/>
        </w:tabs>
        <w:ind w:left="360" w:hanging="360"/>
      </w:pPr>
      <w:rPr>
        <w:b/>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69564FD8"/>
    <w:multiLevelType w:val="hybridMultilevel"/>
    <w:tmpl w:val="C594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3F0B6D"/>
    <w:multiLevelType w:val="hybridMultilevel"/>
    <w:tmpl w:val="70CA565C"/>
    <w:lvl w:ilvl="0" w:tplc="5F907A46">
      <w:start w:val="1"/>
      <w:numFmt w:val="decimal"/>
      <w:lvlText w:val="%1."/>
      <w:lvlJc w:val="left"/>
      <w:pPr>
        <w:ind w:left="720" w:hanging="360"/>
      </w:pPr>
      <w:rPr>
        <w:rFonts w:hint="default"/>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5B157D"/>
    <w:multiLevelType w:val="hybridMultilevel"/>
    <w:tmpl w:val="64E4FDBC"/>
    <w:lvl w:ilvl="0" w:tplc="7CAA2070">
      <w:start w:val="1"/>
      <w:numFmt w:val="decimal"/>
      <w:pStyle w:val="Listparagrap"/>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895578"/>
    <w:multiLevelType w:val="hybridMultilevel"/>
    <w:tmpl w:val="677423D2"/>
    <w:lvl w:ilvl="0" w:tplc="978C60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5405EFB"/>
    <w:multiLevelType w:val="hybridMultilevel"/>
    <w:tmpl w:val="52E2F948"/>
    <w:lvl w:ilvl="0" w:tplc="BC22046E">
      <w:start w:val="1"/>
      <w:numFmt w:val="bullet"/>
      <w:lvlText w:val="-"/>
      <w:lvlJc w:val="left"/>
      <w:pPr>
        <w:ind w:left="720" w:hanging="360"/>
      </w:pPr>
      <w:rPr>
        <w:rFonts w:ascii="Book Antiqua" w:eastAsia="Calibri"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1E7F3A"/>
    <w:multiLevelType w:val="multilevel"/>
    <w:tmpl w:val="D9B80894"/>
    <w:lvl w:ilvl="0">
      <w:start w:val="5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C581F9D"/>
    <w:multiLevelType w:val="hybridMultilevel"/>
    <w:tmpl w:val="CED2F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1C39B9"/>
    <w:multiLevelType w:val="multilevel"/>
    <w:tmpl w:val="D9B8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1"/>
    <w:lvlOverride w:ilvl="0">
      <w:startOverride w:val="54"/>
    </w:lvlOverride>
  </w:num>
  <w:num w:numId="3">
    <w:abstractNumId w:val="21"/>
    <w:lvlOverride w:ilvl="0">
      <w:startOverride w:val="55"/>
    </w:lvlOverride>
  </w:num>
  <w:num w:numId="4">
    <w:abstractNumId w:val="31"/>
  </w:num>
  <w:num w:numId="5">
    <w:abstractNumId w:val="16"/>
    <w:lvlOverride w:ilvl="0">
      <w:startOverride w:val="73"/>
    </w:lvlOverride>
  </w:num>
  <w:num w:numId="6">
    <w:abstractNumId w:val="33"/>
  </w:num>
  <w:num w:numId="7">
    <w:abstractNumId w:val="8"/>
  </w:num>
  <w:num w:numId="8">
    <w:abstractNumId w:val="28"/>
  </w:num>
  <w:num w:numId="9">
    <w:abstractNumId w:val="25"/>
  </w:num>
  <w:num w:numId="10">
    <w:abstractNumId w:val="11"/>
  </w:num>
  <w:num w:numId="11">
    <w:abstractNumId w:val="19"/>
  </w:num>
  <w:num w:numId="12">
    <w:abstractNumId w:val="27"/>
  </w:num>
  <w:num w:numId="13">
    <w:abstractNumId w:val="18"/>
  </w:num>
  <w:num w:numId="14">
    <w:abstractNumId w:val="29"/>
  </w:num>
  <w:num w:numId="15">
    <w:abstractNumId w:val="14"/>
  </w:num>
  <w:num w:numId="16">
    <w:abstractNumId w:val="15"/>
  </w:num>
  <w:num w:numId="17">
    <w:abstractNumId w:val="0"/>
  </w:num>
  <w:num w:numId="18">
    <w:abstractNumId w:val="24"/>
  </w:num>
  <w:num w:numId="19">
    <w:abstractNumId w:val="22"/>
  </w:num>
  <w:num w:numId="20">
    <w:abstractNumId w:val="10"/>
  </w:num>
  <w:num w:numId="21">
    <w:abstractNumId w:val="17"/>
  </w:num>
  <w:num w:numId="22">
    <w:abstractNumId w:val="1"/>
  </w:num>
  <w:num w:numId="23">
    <w:abstractNumId w:val="20"/>
  </w:num>
  <w:num w:numId="24">
    <w:abstractNumId w:val="12"/>
  </w:num>
  <w:num w:numId="25">
    <w:abstractNumId w:val="5"/>
  </w:num>
  <w:num w:numId="26">
    <w:abstractNumId w:val="23"/>
  </w:num>
  <w:num w:numId="27">
    <w:abstractNumId w:val="3"/>
  </w:num>
  <w:num w:numId="28">
    <w:abstractNumId w:val="32"/>
  </w:num>
  <w:num w:numId="29">
    <w:abstractNumId w:val="7"/>
  </w:num>
  <w:num w:numId="30">
    <w:abstractNumId w:val="30"/>
  </w:num>
  <w:num w:numId="31">
    <w:abstractNumId w:val="9"/>
  </w:num>
  <w:num w:numId="32">
    <w:abstractNumId w:val="26"/>
  </w:num>
  <w:num w:numId="33">
    <w:abstractNumId w:val="6"/>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79"/>
    <w:rsid w:val="000006C3"/>
    <w:rsid w:val="00004006"/>
    <w:rsid w:val="0000537B"/>
    <w:rsid w:val="00005A46"/>
    <w:rsid w:val="00006F83"/>
    <w:rsid w:val="00007D34"/>
    <w:rsid w:val="00012663"/>
    <w:rsid w:val="00013172"/>
    <w:rsid w:val="00013F32"/>
    <w:rsid w:val="000160E8"/>
    <w:rsid w:val="0002056C"/>
    <w:rsid w:val="00021636"/>
    <w:rsid w:val="000224F4"/>
    <w:rsid w:val="000224F9"/>
    <w:rsid w:val="0002372B"/>
    <w:rsid w:val="00023C36"/>
    <w:rsid w:val="0002658C"/>
    <w:rsid w:val="00027B39"/>
    <w:rsid w:val="00027EA3"/>
    <w:rsid w:val="000330D3"/>
    <w:rsid w:val="000339A7"/>
    <w:rsid w:val="00035B42"/>
    <w:rsid w:val="00040930"/>
    <w:rsid w:val="00041B77"/>
    <w:rsid w:val="000424F3"/>
    <w:rsid w:val="00042B02"/>
    <w:rsid w:val="0004518A"/>
    <w:rsid w:val="00051E84"/>
    <w:rsid w:val="0005489C"/>
    <w:rsid w:val="00054968"/>
    <w:rsid w:val="00060737"/>
    <w:rsid w:val="00061E0F"/>
    <w:rsid w:val="00062E4C"/>
    <w:rsid w:val="0006347A"/>
    <w:rsid w:val="00063CF4"/>
    <w:rsid w:val="0006476E"/>
    <w:rsid w:val="000650A9"/>
    <w:rsid w:val="00065167"/>
    <w:rsid w:val="00066B02"/>
    <w:rsid w:val="000675BD"/>
    <w:rsid w:val="000711BF"/>
    <w:rsid w:val="00071318"/>
    <w:rsid w:val="000715FA"/>
    <w:rsid w:val="0007199B"/>
    <w:rsid w:val="00076AED"/>
    <w:rsid w:val="00082566"/>
    <w:rsid w:val="00083493"/>
    <w:rsid w:val="000855F8"/>
    <w:rsid w:val="0008573A"/>
    <w:rsid w:val="00086205"/>
    <w:rsid w:val="00087F72"/>
    <w:rsid w:val="0009146F"/>
    <w:rsid w:val="000929C0"/>
    <w:rsid w:val="00092A26"/>
    <w:rsid w:val="000930C7"/>
    <w:rsid w:val="00093E71"/>
    <w:rsid w:val="00096579"/>
    <w:rsid w:val="000A03FE"/>
    <w:rsid w:val="000A063D"/>
    <w:rsid w:val="000A0B6A"/>
    <w:rsid w:val="000A194B"/>
    <w:rsid w:val="000A200D"/>
    <w:rsid w:val="000A31CA"/>
    <w:rsid w:val="000A323B"/>
    <w:rsid w:val="000A5E4A"/>
    <w:rsid w:val="000A7FC1"/>
    <w:rsid w:val="000B4F78"/>
    <w:rsid w:val="000B7391"/>
    <w:rsid w:val="000B79AF"/>
    <w:rsid w:val="000C026F"/>
    <w:rsid w:val="000C176B"/>
    <w:rsid w:val="000C20D7"/>
    <w:rsid w:val="000C710B"/>
    <w:rsid w:val="000D07FE"/>
    <w:rsid w:val="000D4ACB"/>
    <w:rsid w:val="000D4D91"/>
    <w:rsid w:val="000D5499"/>
    <w:rsid w:val="000D7697"/>
    <w:rsid w:val="000E0A6F"/>
    <w:rsid w:val="000E0F9B"/>
    <w:rsid w:val="000E1ED7"/>
    <w:rsid w:val="000E28A3"/>
    <w:rsid w:val="000E4C2E"/>
    <w:rsid w:val="000E5A07"/>
    <w:rsid w:val="000E626A"/>
    <w:rsid w:val="000F105B"/>
    <w:rsid w:val="000F1A72"/>
    <w:rsid w:val="000F1A85"/>
    <w:rsid w:val="000F35E9"/>
    <w:rsid w:val="000F3609"/>
    <w:rsid w:val="000F469A"/>
    <w:rsid w:val="000F4C78"/>
    <w:rsid w:val="000F7493"/>
    <w:rsid w:val="001009EC"/>
    <w:rsid w:val="00100BE8"/>
    <w:rsid w:val="001019B1"/>
    <w:rsid w:val="00102019"/>
    <w:rsid w:val="001034CD"/>
    <w:rsid w:val="00107F6D"/>
    <w:rsid w:val="00112A77"/>
    <w:rsid w:val="00113447"/>
    <w:rsid w:val="00117124"/>
    <w:rsid w:val="0011719A"/>
    <w:rsid w:val="00120748"/>
    <w:rsid w:val="001207A5"/>
    <w:rsid w:val="00122A93"/>
    <w:rsid w:val="001238AD"/>
    <w:rsid w:val="00124A08"/>
    <w:rsid w:val="001251FA"/>
    <w:rsid w:val="00126101"/>
    <w:rsid w:val="00126294"/>
    <w:rsid w:val="001268F4"/>
    <w:rsid w:val="001275A5"/>
    <w:rsid w:val="00130BD6"/>
    <w:rsid w:val="00131D16"/>
    <w:rsid w:val="00131DEB"/>
    <w:rsid w:val="00135564"/>
    <w:rsid w:val="0013581B"/>
    <w:rsid w:val="00135BA6"/>
    <w:rsid w:val="0013763E"/>
    <w:rsid w:val="00141B4E"/>
    <w:rsid w:val="0014276E"/>
    <w:rsid w:val="00143045"/>
    <w:rsid w:val="00143603"/>
    <w:rsid w:val="0014524D"/>
    <w:rsid w:val="00152762"/>
    <w:rsid w:val="00152ABC"/>
    <w:rsid w:val="00154739"/>
    <w:rsid w:val="001568BC"/>
    <w:rsid w:val="00165213"/>
    <w:rsid w:val="00167BAE"/>
    <w:rsid w:val="00170D8E"/>
    <w:rsid w:val="00175551"/>
    <w:rsid w:val="00177993"/>
    <w:rsid w:val="00181D22"/>
    <w:rsid w:val="00187A54"/>
    <w:rsid w:val="00187CBF"/>
    <w:rsid w:val="00196C55"/>
    <w:rsid w:val="001A278C"/>
    <w:rsid w:val="001A2BAC"/>
    <w:rsid w:val="001A3AE4"/>
    <w:rsid w:val="001A6F99"/>
    <w:rsid w:val="001A7F76"/>
    <w:rsid w:val="001B2B05"/>
    <w:rsid w:val="001B3FA6"/>
    <w:rsid w:val="001B4BF7"/>
    <w:rsid w:val="001B5EC6"/>
    <w:rsid w:val="001B609E"/>
    <w:rsid w:val="001C1C56"/>
    <w:rsid w:val="001C4854"/>
    <w:rsid w:val="001C6283"/>
    <w:rsid w:val="001C6560"/>
    <w:rsid w:val="001D1734"/>
    <w:rsid w:val="001D3A14"/>
    <w:rsid w:val="001D514E"/>
    <w:rsid w:val="001D548D"/>
    <w:rsid w:val="001D54CF"/>
    <w:rsid w:val="001E0D0D"/>
    <w:rsid w:val="001E14C8"/>
    <w:rsid w:val="001E552B"/>
    <w:rsid w:val="001E63BE"/>
    <w:rsid w:val="001E67B2"/>
    <w:rsid w:val="001E6814"/>
    <w:rsid w:val="001F1994"/>
    <w:rsid w:val="001F3062"/>
    <w:rsid w:val="001F52DE"/>
    <w:rsid w:val="001F5EF5"/>
    <w:rsid w:val="00202C44"/>
    <w:rsid w:val="00203213"/>
    <w:rsid w:val="00204122"/>
    <w:rsid w:val="00206C90"/>
    <w:rsid w:val="00207ECA"/>
    <w:rsid w:val="00211F89"/>
    <w:rsid w:val="00212CB3"/>
    <w:rsid w:val="0021355F"/>
    <w:rsid w:val="00213FD0"/>
    <w:rsid w:val="00215FC1"/>
    <w:rsid w:val="00216485"/>
    <w:rsid w:val="0022107B"/>
    <w:rsid w:val="0022111C"/>
    <w:rsid w:val="0022313B"/>
    <w:rsid w:val="002249C7"/>
    <w:rsid w:val="00224CBC"/>
    <w:rsid w:val="002275DD"/>
    <w:rsid w:val="00227BD9"/>
    <w:rsid w:val="00227E1D"/>
    <w:rsid w:val="00234555"/>
    <w:rsid w:val="002408EE"/>
    <w:rsid w:val="00240EF5"/>
    <w:rsid w:val="00241F0D"/>
    <w:rsid w:val="002424A7"/>
    <w:rsid w:val="0024367F"/>
    <w:rsid w:val="002436BE"/>
    <w:rsid w:val="00244F48"/>
    <w:rsid w:val="00245A17"/>
    <w:rsid w:val="00254328"/>
    <w:rsid w:val="00255884"/>
    <w:rsid w:val="00261F5F"/>
    <w:rsid w:val="00264E55"/>
    <w:rsid w:val="0026734F"/>
    <w:rsid w:val="00271629"/>
    <w:rsid w:val="00273235"/>
    <w:rsid w:val="0027470E"/>
    <w:rsid w:val="0027566B"/>
    <w:rsid w:val="00275E3A"/>
    <w:rsid w:val="0027673A"/>
    <w:rsid w:val="00277749"/>
    <w:rsid w:val="002777B6"/>
    <w:rsid w:val="00280D7D"/>
    <w:rsid w:val="0028176D"/>
    <w:rsid w:val="002829DE"/>
    <w:rsid w:val="00284617"/>
    <w:rsid w:val="00285BFD"/>
    <w:rsid w:val="00285C92"/>
    <w:rsid w:val="00286F7C"/>
    <w:rsid w:val="00287DF5"/>
    <w:rsid w:val="00287E7E"/>
    <w:rsid w:val="00290732"/>
    <w:rsid w:val="00290C62"/>
    <w:rsid w:val="002942F3"/>
    <w:rsid w:val="00295628"/>
    <w:rsid w:val="00297B2B"/>
    <w:rsid w:val="002A006A"/>
    <w:rsid w:val="002A128E"/>
    <w:rsid w:val="002A1F53"/>
    <w:rsid w:val="002A346A"/>
    <w:rsid w:val="002A3B5B"/>
    <w:rsid w:val="002A3C6B"/>
    <w:rsid w:val="002A3E39"/>
    <w:rsid w:val="002A471D"/>
    <w:rsid w:val="002A5029"/>
    <w:rsid w:val="002A53A2"/>
    <w:rsid w:val="002B4410"/>
    <w:rsid w:val="002B5226"/>
    <w:rsid w:val="002B6329"/>
    <w:rsid w:val="002B7424"/>
    <w:rsid w:val="002B771A"/>
    <w:rsid w:val="002B77AD"/>
    <w:rsid w:val="002C011D"/>
    <w:rsid w:val="002C1D1A"/>
    <w:rsid w:val="002C1DDA"/>
    <w:rsid w:val="002C3A26"/>
    <w:rsid w:val="002C666D"/>
    <w:rsid w:val="002C680C"/>
    <w:rsid w:val="002D0C47"/>
    <w:rsid w:val="002D3CBB"/>
    <w:rsid w:val="002E2656"/>
    <w:rsid w:val="002E35B0"/>
    <w:rsid w:val="002E38DA"/>
    <w:rsid w:val="002E5C00"/>
    <w:rsid w:val="002F191C"/>
    <w:rsid w:val="002F4254"/>
    <w:rsid w:val="002F4F69"/>
    <w:rsid w:val="002F5FAB"/>
    <w:rsid w:val="002F7DBB"/>
    <w:rsid w:val="003005B8"/>
    <w:rsid w:val="0030543F"/>
    <w:rsid w:val="00315BED"/>
    <w:rsid w:val="00316B5E"/>
    <w:rsid w:val="003203E8"/>
    <w:rsid w:val="00320B96"/>
    <w:rsid w:val="00322BD1"/>
    <w:rsid w:val="00323F47"/>
    <w:rsid w:val="003251B9"/>
    <w:rsid w:val="00330539"/>
    <w:rsid w:val="00330D29"/>
    <w:rsid w:val="0033153C"/>
    <w:rsid w:val="00331BDB"/>
    <w:rsid w:val="003324E5"/>
    <w:rsid w:val="003339AD"/>
    <w:rsid w:val="00334759"/>
    <w:rsid w:val="00335E24"/>
    <w:rsid w:val="0033645C"/>
    <w:rsid w:val="00336496"/>
    <w:rsid w:val="003424CB"/>
    <w:rsid w:val="00342C34"/>
    <w:rsid w:val="00342F62"/>
    <w:rsid w:val="00354FE2"/>
    <w:rsid w:val="0035593D"/>
    <w:rsid w:val="00355F1E"/>
    <w:rsid w:val="00366322"/>
    <w:rsid w:val="003674C8"/>
    <w:rsid w:val="0037074D"/>
    <w:rsid w:val="00371DFE"/>
    <w:rsid w:val="00372276"/>
    <w:rsid w:val="00372E0F"/>
    <w:rsid w:val="003771AE"/>
    <w:rsid w:val="00377CC8"/>
    <w:rsid w:val="00377FF3"/>
    <w:rsid w:val="00382ED2"/>
    <w:rsid w:val="003879E6"/>
    <w:rsid w:val="00387C41"/>
    <w:rsid w:val="00391793"/>
    <w:rsid w:val="00391E19"/>
    <w:rsid w:val="00392E0F"/>
    <w:rsid w:val="00393D3D"/>
    <w:rsid w:val="003971F4"/>
    <w:rsid w:val="0039774B"/>
    <w:rsid w:val="003A3592"/>
    <w:rsid w:val="003A3653"/>
    <w:rsid w:val="003A42B6"/>
    <w:rsid w:val="003A43F6"/>
    <w:rsid w:val="003A4DFC"/>
    <w:rsid w:val="003B03F6"/>
    <w:rsid w:val="003B0B0C"/>
    <w:rsid w:val="003B10B0"/>
    <w:rsid w:val="003B1845"/>
    <w:rsid w:val="003B3485"/>
    <w:rsid w:val="003B4BF5"/>
    <w:rsid w:val="003B6C4A"/>
    <w:rsid w:val="003C01D4"/>
    <w:rsid w:val="003C01D9"/>
    <w:rsid w:val="003C0FF4"/>
    <w:rsid w:val="003C3E8A"/>
    <w:rsid w:val="003C5415"/>
    <w:rsid w:val="003C5D8D"/>
    <w:rsid w:val="003C619D"/>
    <w:rsid w:val="003C7C95"/>
    <w:rsid w:val="003D1E42"/>
    <w:rsid w:val="003D786F"/>
    <w:rsid w:val="003E400A"/>
    <w:rsid w:val="003E40CE"/>
    <w:rsid w:val="003E4F79"/>
    <w:rsid w:val="003E5089"/>
    <w:rsid w:val="003E6722"/>
    <w:rsid w:val="003F03C7"/>
    <w:rsid w:val="003F1150"/>
    <w:rsid w:val="003F235F"/>
    <w:rsid w:val="003F3A19"/>
    <w:rsid w:val="004018BF"/>
    <w:rsid w:val="004031B6"/>
    <w:rsid w:val="0040406D"/>
    <w:rsid w:val="00406BE9"/>
    <w:rsid w:val="0040767B"/>
    <w:rsid w:val="00416E8E"/>
    <w:rsid w:val="004204E5"/>
    <w:rsid w:val="00421B1E"/>
    <w:rsid w:val="00422F0D"/>
    <w:rsid w:val="00423533"/>
    <w:rsid w:val="00423FB9"/>
    <w:rsid w:val="00424ABF"/>
    <w:rsid w:val="004278F3"/>
    <w:rsid w:val="004306FB"/>
    <w:rsid w:val="004311DA"/>
    <w:rsid w:val="00431564"/>
    <w:rsid w:val="00434606"/>
    <w:rsid w:val="00434C05"/>
    <w:rsid w:val="0044057D"/>
    <w:rsid w:val="004420EE"/>
    <w:rsid w:val="004468D5"/>
    <w:rsid w:val="00450686"/>
    <w:rsid w:val="00451FEF"/>
    <w:rsid w:val="00453782"/>
    <w:rsid w:val="00453EF2"/>
    <w:rsid w:val="00454198"/>
    <w:rsid w:val="00454CCD"/>
    <w:rsid w:val="004561CA"/>
    <w:rsid w:val="00456763"/>
    <w:rsid w:val="004579DB"/>
    <w:rsid w:val="004608DB"/>
    <w:rsid w:val="004628F9"/>
    <w:rsid w:val="00463BE3"/>
    <w:rsid w:val="004642A3"/>
    <w:rsid w:val="00464AFC"/>
    <w:rsid w:val="004650C1"/>
    <w:rsid w:val="004658B6"/>
    <w:rsid w:val="00467340"/>
    <w:rsid w:val="00470054"/>
    <w:rsid w:val="00471B00"/>
    <w:rsid w:val="004727F0"/>
    <w:rsid w:val="00472C66"/>
    <w:rsid w:val="004737C7"/>
    <w:rsid w:val="00474904"/>
    <w:rsid w:val="00476814"/>
    <w:rsid w:val="00481CEF"/>
    <w:rsid w:val="00481F1E"/>
    <w:rsid w:val="00484758"/>
    <w:rsid w:val="004853C8"/>
    <w:rsid w:val="00485C92"/>
    <w:rsid w:val="0048619A"/>
    <w:rsid w:val="00494964"/>
    <w:rsid w:val="004974A6"/>
    <w:rsid w:val="004976A9"/>
    <w:rsid w:val="004A150C"/>
    <w:rsid w:val="004A3F31"/>
    <w:rsid w:val="004A49B5"/>
    <w:rsid w:val="004A5138"/>
    <w:rsid w:val="004A5702"/>
    <w:rsid w:val="004A76DE"/>
    <w:rsid w:val="004B06D0"/>
    <w:rsid w:val="004B3361"/>
    <w:rsid w:val="004B3C7D"/>
    <w:rsid w:val="004B3EBC"/>
    <w:rsid w:val="004B56B5"/>
    <w:rsid w:val="004B7EC7"/>
    <w:rsid w:val="004C00E7"/>
    <w:rsid w:val="004C0BD2"/>
    <w:rsid w:val="004C2D36"/>
    <w:rsid w:val="004C3E86"/>
    <w:rsid w:val="004D002F"/>
    <w:rsid w:val="004D0624"/>
    <w:rsid w:val="004D0D44"/>
    <w:rsid w:val="004D0FD7"/>
    <w:rsid w:val="004D143C"/>
    <w:rsid w:val="004D16C8"/>
    <w:rsid w:val="004D2249"/>
    <w:rsid w:val="004D2C54"/>
    <w:rsid w:val="004D4B58"/>
    <w:rsid w:val="004D4E2E"/>
    <w:rsid w:val="004D4FDD"/>
    <w:rsid w:val="004D6235"/>
    <w:rsid w:val="004E0D29"/>
    <w:rsid w:val="004E3525"/>
    <w:rsid w:val="004E4FCF"/>
    <w:rsid w:val="004F0B2F"/>
    <w:rsid w:val="004F1FFD"/>
    <w:rsid w:val="004F43C0"/>
    <w:rsid w:val="004F6CF0"/>
    <w:rsid w:val="0050102C"/>
    <w:rsid w:val="005015B1"/>
    <w:rsid w:val="00502D2C"/>
    <w:rsid w:val="00503B28"/>
    <w:rsid w:val="0050629C"/>
    <w:rsid w:val="005067F3"/>
    <w:rsid w:val="005111F2"/>
    <w:rsid w:val="005113C2"/>
    <w:rsid w:val="00511A76"/>
    <w:rsid w:val="00512055"/>
    <w:rsid w:val="005132A0"/>
    <w:rsid w:val="00514F57"/>
    <w:rsid w:val="0051587B"/>
    <w:rsid w:val="00515F9B"/>
    <w:rsid w:val="00517007"/>
    <w:rsid w:val="00517932"/>
    <w:rsid w:val="00517A70"/>
    <w:rsid w:val="00526117"/>
    <w:rsid w:val="005264E8"/>
    <w:rsid w:val="00527793"/>
    <w:rsid w:val="00531167"/>
    <w:rsid w:val="00532091"/>
    <w:rsid w:val="0053270D"/>
    <w:rsid w:val="00535311"/>
    <w:rsid w:val="00536EFB"/>
    <w:rsid w:val="00544E66"/>
    <w:rsid w:val="0054512A"/>
    <w:rsid w:val="00550528"/>
    <w:rsid w:val="0055125A"/>
    <w:rsid w:val="00551C46"/>
    <w:rsid w:val="005547E3"/>
    <w:rsid w:val="00555E96"/>
    <w:rsid w:val="00556AAA"/>
    <w:rsid w:val="005571A6"/>
    <w:rsid w:val="00565201"/>
    <w:rsid w:val="00565A7E"/>
    <w:rsid w:val="00566226"/>
    <w:rsid w:val="005710DE"/>
    <w:rsid w:val="005731A9"/>
    <w:rsid w:val="0057414D"/>
    <w:rsid w:val="00575393"/>
    <w:rsid w:val="00575DCC"/>
    <w:rsid w:val="005769E8"/>
    <w:rsid w:val="00577B01"/>
    <w:rsid w:val="00577F1A"/>
    <w:rsid w:val="00580FDF"/>
    <w:rsid w:val="005833BD"/>
    <w:rsid w:val="00593C13"/>
    <w:rsid w:val="00594E9F"/>
    <w:rsid w:val="00597BA7"/>
    <w:rsid w:val="005A3DB7"/>
    <w:rsid w:val="005A6789"/>
    <w:rsid w:val="005A6F19"/>
    <w:rsid w:val="005B1789"/>
    <w:rsid w:val="005B2D6E"/>
    <w:rsid w:val="005B316A"/>
    <w:rsid w:val="005B5644"/>
    <w:rsid w:val="005B710A"/>
    <w:rsid w:val="005C46EA"/>
    <w:rsid w:val="005C4CA4"/>
    <w:rsid w:val="005C52A0"/>
    <w:rsid w:val="005C6574"/>
    <w:rsid w:val="005D13C2"/>
    <w:rsid w:val="005D2487"/>
    <w:rsid w:val="005D3B44"/>
    <w:rsid w:val="005D649D"/>
    <w:rsid w:val="005E1C2D"/>
    <w:rsid w:val="005E33CA"/>
    <w:rsid w:val="005E536F"/>
    <w:rsid w:val="005E706F"/>
    <w:rsid w:val="005F350F"/>
    <w:rsid w:val="005F422B"/>
    <w:rsid w:val="005F6948"/>
    <w:rsid w:val="005F6A84"/>
    <w:rsid w:val="005F6D72"/>
    <w:rsid w:val="005F70A9"/>
    <w:rsid w:val="0060130A"/>
    <w:rsid w:val="006051F3"/>
    <w:rsid w:val="00605587"/>
    <w:rsid w:val="006058FA"/>
    <w:rsid w:val="00611F05"/>
    <w:rsid w:val="006129AF"/>
    <w:rsid w:val="00614B6F"/>
    <w:rsid w:val="006165D4"/>
    <w:rsid w:val="006212E1"/>
    <w:rsid w:val="00622574"/>
    <w:rsid w:val="0062287A"/>
    <w:rsid w:val="00623A0B"/>
    <w:rsid w:val="006274F6"/>
    <w:rsid w:val="00627B82"/>
    <w:rsid w:val="0063142F"/>
    <w:rsid w:val="0063288D"/>
    <w:rsid w:val="00632FB7"/>
    <w:rsid w:val="006338D3"/>
    <w:rsid w:val="006344CA"/>
    <w:rsid w:val="0063582A"/>
    <w:rsid w:val="00636A98"/>
    <w:rsid w:val="006377AF"/>
    <w:rsid w:val="00637B74"/>
    <w:rsid w:val="006427B5"/>
    <w:rsid w:val="00645007"/>
    <w:rsid w:val="0065038B"/>
    <w:rsid w:val="00654C89"/>
    <w:rsid w:val="006552D2"/>
    <w:rsid w:val="0065684F"/>
    <w:rsid w:val="00657388"/>
    <w:rsid w:val="0066057B"/>
    <w:rsid w:val="00663F79"/>
    <w:rsid w:val="00666703"/>
    <w:rsid w:val="0066707B"/>
    <w:rsid w:val="006673B3"/>
    <w:rsid w:val="006679C5"/>
    <w:rsid w:val="00667F15"/>
    <w:rsid w:val="006701B2"/>
    <w:rsid w:val="00671D6E"/>
    <w:rsid w:val="006761EA"/>
    <w:rsid w:val="0067643E"/>
    <w:rsid w:val="00676897"/>
    <w:rsid w:val="00677C2B"/>
    <w:rsid w:val="00680B97"/>
    <w:rsid w:val="0068460A"/>
    <w:rsid w:val="00684725"/>
    <w:rsid w:val="0068740B"/>
    <w:rsid w:val="00687D32"/>
    <w:rsid w:val="00690333"/>
    <w:rsid w:val="0069171F"/>
    <w:rsid w:val="00693F06"/>
    <w:rsid w:val="006A3ADA"/>
    <w:rsid w:val="006A3E2E"/>
    <w:rsid w:val="006A6A04"/>
    <w:rsid w:val="006A6F08"/>
    <w:rsid w:val="006A7517"/>
    <w:rsid w:val="006A761C"/>
    <w:rsid w:val="006B1CFA"/>
    <w:rsid w:val="006B4B91"/>
    <w:rsid w:val="006B5976"/>
    <w:rsid w:val="006B6EC2"/>
    <w:rsid w:val="006B7CA9"/>
    <w:rsid w:val="006C05DE"/>
    <w:rsid w:val="006C1DA4"/>
    <w:rsid w:val="006C1F31"/>
    <w:rsid w:val="006C2E77"/>
    <w:rsid w:val="006C5317"/>
    <w:rsid w:val="006D173F"/>
    <w:rsid w:val="006D4825"/>
    <w:rsid w:val="006D491A"/>
    <w:rsid w:val="006D4B61"/>
    <w:rsid w:val="006D5CAD"/>
    <w:rsid w:val="006E18D7"/>
    <w:rsid w:val="006E3304"/>
    <w:rsid w:val="006E5D6F"/>
    <w:rsid w:val="006E7AA7"/>
    <w:rsid w:val="006F05E0"/>
    <w:rsid w:val="006F0B47"/>
    <w:rsid w:val="006F1BF4"/>
    <w:rsid w:val="006F29D5"/>
    <w:rsid w:val="006F5CF0"/>
    <w:rsid w:val="006F664D"/>
    <w:rsid w:val="006F66B5"/>
    <w:rsid w:val="006F7C34"/>
    <w:rsid w:val="0070025B"/>
    <w:rsid w:val="00700DD8"/>
    <w:rsid w:val="00701C38"/>
    <w:rsid w:val="00704C7D"/>
    <w:rsid w:val="00706538"/>
    <w:rsid w:val="00706F05"/>
    <w:rsid w:val="00707F29"/>
    <w:rsid w:val="00713C24"/>
    <w:rsid w:val="0071481D"/>
    <w:rsid w:val="0071517C"/>
    <w:rsid w:val="00720212"/>
    <w:rsid w:val="0072131D"/>
    <w:rsid w:val="0072134C"/>
    <w:rsid w:val="0072150F"/>
    <w:rsid w:val="007235AF"/>
    <w:rsid w:val="007238F1"/>
    <w:rsid w:val="007250A2"/>
    <w:rsid w:val="007279FA"/>
    <w:rsid w:val="00730068"/>
    <w:rsid w:val="007301B5"/>
    <w:rsid w:val="00730D09"/>
    <w:rsid w:val="00733FF0"/>
    <w:rsid w:val="007407A6"/>
    <w:rsid w:val="00744A5D"/>
    <w:rsid w:val="007458FB"/>
    <w:rsid w:val="00746EC7"/>
    <w:rsid w:val="0074775E"/>
    <w:rsid w:val="00750320"/>
    <w:rsid w:val="007506FC"/>
    <w:rsid w:val="007507D8"/>
    <w:rsid w:val="00750E91"/>
    <w:rsid w:val="00750ECF"/>
    <w:rsid w:val="00751059"/>
    <w:rsid w:val="00753D4A"/>
    <w:rsid w:val="00754487"/>
    <w:rsid w:val="00754898"/>
    <w:rsid w:val="0075550B"/>
    <w:rsid w:val="00756B78"/>
    <w:rsid w:val="00760C3E"/>
    <w:rsid w:val="00760C8B"/>
    <w:rsid w:val="00762ED4"/>
    <w:rsid w:val="00764CBA"/>
    <w:rsid w:val="0076524F"/>
    <w:rsid w:val="0076556C"/>
    <w:rsid w:val="0076634F"/>
    <w:rsid w:val="0076715B"/>
    <w:rsid w:val="00771BBC"/>
    <w:rsid w:val="00773183"/>
    <w:rsid w:val="00775786"/>
    <w:rsid w:val="00777495"/>
    <w:rsid w:val="00780F1A"/>
    <w:rsid w:val="007838B7"/>
    <w:rsid w:val="007869C7"/>
    <w:rsid w:val="00791ECF"/>
    <w:rsid w:val="007932E3"/>
    <w:rsid w:val="0079613A"/>
    <w:rsid w:val="007A4A7F"/>
    <w:rsid w:val="007A63B8"/>
    <w:rsid w:val="007A6CBA"/>
    <w:rsid w:val="007B09E4"/>
    <w:rsid w:val="007B2B70"/>
    <w:rsid w:val="007B4732"/>
    <w:rsid w:val="007B4A20"/>
    <w:rsid w:val="007C035B"/>
    <w:rsid w:val="007C27D7"/>
    <w:rsid w:val="007D039E"/>
    <w:rsid w:val="007D2E93"/>
    <w:rsid w:val="007D439D"/>
    <w:rsid w:val="007D5C20"/>
    <w:rsid w:val="007D6860"/>
    <w:rsid w:val="007E09BF"/>
    <w:rsid w:val="007E1A83"/>
    <w:rsid w:val="007E3500"/>
    <w:rsid w:val="007E419E"/>
    <w:rsid w:val="007E42ED"/>
    <w:rsid w:val="007E6E71"/>
    <w:rsid w:val="007F1E16"/>
    <w:rsid w:val="007F316F"/>
    <w:rsid w:val="007F5F6F"/>
    <w:rsid w:val="00801E00"/>
    <w:rsid w:val="00801E1B"/>
    <w:rsid w:val="008036E5"/>
    <w:rsid w:val="0080490D"/>
    <w:rsid w:val="00804C8C"/>
    <w:rsid w:val="00807074"/>
    <w:rsid w:val="0080796B"/>
    <w:rsid w:val="00807DEE"/>
    <w:rsid w:val="008145ED"/>
    <w:rsid w:val="008151D8"/>
    <w:rsid w:val="008170C5"/>
    <w:rsid w:val="00821437"/>
    <w:rsid w:val="008224A6"/>
    <w:rsid w:val="00824A2B"/>
    <w:rsid w:val="0082531B"/>
    <w:rsid w:val="008303BD"/>
    <w:rsid w:val="008308B6"/>
    <w:rsid w:val="00831091"/>
    <w:rsid w:val="00831741"/>
    <w:rsid w:val="008329E4"/>
    <w:rsid w:val="00834327"/>
    <w:rsid w:val="00840FE1"/>
    <w:rsid w:val="00841373"/>
    <w:rsid w:val="00842719"/>
    <w:rsid w:val="00845417"/>
    <w:rsid w:val="008472C3"/>
    <w:rsid w:val="00847A17"/>
    <w:rsid w:val="008500CF"/>
    <w:rsid w:val="00850AB4"/>
    <w:rsid w:val="008510BC"/>
    <w:rsid w:val="00851EBE"/>
    <w:rsid w:val="00853ED0"/>
    <w:rsid w:val="008545BE"/>
    <w:rsid w:val="008607C2"/>
    <w:rsid w:val="00860D89"/>
    <w:rsid w:val="008641AC"/>
    <w:rsid w:val="00864ABC"/>
    <w:rsid w:val="00865F53"/>
    <w:rsid w:val="00867025"/>
    <w:rsid w:val="008678DE"/>
    <w:rsid w:val="008711A2"/>
    <w:rsid w:val="008712EB"/>
    <w:rsid w:val="0087143E"/>
    <w:rsid w:val="0087312C"/>
    <w:rsid w:val="0087312F"/>
    <w:rsid w:val="0087522D"/>
    <w:rsid w:val="00876AB0"/>
    <w:rsid w:val="00877007"/>
    <w:rsid w:val="00877EC4"/>
    <w:rsid w:val="008825C3"/>
    <w:rsid w:val="00883BCC"/>
    <w:rsid w:val="008843F9"/>
    <w:rsid w:val="00884A0A"/>
    <w:rsid w:val="00891796"/>
    <w:rsid w:val="00892194"/>
    <w:rsid w:val="0089427C"/>
    <w:rsid w:val="008948B6"/>
    <w:rsid w:val="00895901"/>
    <w:rsid w:val="008960D3"/>
    <w:rsid w:val="008A02BE"/>
    <w:rsid w:val="008A0610"/>
    <w:rsid w:val="008A2938"/>
    <w:rsid w:val="008B08A6"/>
    <w:rsid w:val="008B3C43"/>
    <w:rsid w:val="008B5AC7"/>
    <w:rsid w:val="008C1820"/>
    <w:rsid w:val="008C4066"/>
    <w:rsid w:val="008C4252"/>
    <w:rsid w:val="008C5A58"/>
    <w:rsid w:val="008C62CC"/>
    <w:rsid w:val="008C7149"/>
    <w:rsid w:val="008C7B60"/>
    <w:rsid w:val="008C7D66"/>
    <w:rsid w:val="008D0043"/>
    <w:rsid w:val="008D0E71"/>
    <w:rsid w:val="008D40FF"/>
    <w:rsid w:val="008D4504"/>
    <w:rsid w:val="008D46E8"/>
    <w:rsid w:val="008D6267"/>
    <w:rsid w:val="008E0D76"/>
    <w:rsid w:val="008E2D3F"/>
    <w:rsid w:val="008E5877"/>
    <w:rsid w:val="008E687B"/>
    <w:rsid w:val="008F18E4"/>
    <w:rsid w:val="008F2634"/>
    <w:rsid w:val="008F3EA5"/>
    <w:rsid w:val="008F443D"/>
    <w:rsid w:val="00901056"/>
    <w:rsid w:val="00902FD2"/>
    <w:rsid w:val="0090540B"/>
    <w:rsid w:val="00910CC7"/>
    <w:rsid w:val="0091217E"/>
    <w:rsid w:val="00912A56"/>
    <w:rsid w:val="00913536"/>
    <w:rsid w:val="00913A54"/>
    <w:rsid w:val="0092307E"/>
    <w:rsid w:val="00923786"/>
    <w:rsid w:val="00923A16"/>
    <w:rsid w:val="0092536F"/>
    <w:rsid w:val="00926355"/>
    <w:rsid w:val="009317A1"/>
    <w:rsid w:val="009321F0"/>
    <w:rsid w:val="00932946"/>
    <w:rsid w:val="00934454"/>
    <w:rsid w:val="0093515E"/>
    <w:rsid w:val="00936B54"/>
    <w:rsid w:val="0093768A"/>
    <w:rsid w:val="009417E0"/>
    <w:rsid w:val="009421CE"/>
    <w:rsid w:val="0094269F"/>
    <w:rsid w:val="0095029F"/>
    <w:rsid w:val="00953429"/>
    <w:rsid w:val="009556B8"/>
    <w:rsid w:val="00960B94"/>
    <w:rsid w:val="00962B82"/>
    <w:rsid w:val="00962BF0"/>
    <w:rsid w:val="00962D3C"/>
    <w:rsid w:val="0096483E"/>
    <w:rsid w:val="0096544F"/>
    <w:rsid w:val="009666C2"/>
    <w:rsid w:val="00967890"/>
    <w:rsid w:val="00967F29"/>
    <w:rsid w:val="00972E15"/>
    <w:rsid w:val="00973945"/>
    <w:rsid w:val="00973990"/>
    <w:rsid w:val="0097592A"/>
    <w:rsid w:val="009774EE"/>
    <w:rsid w:val="009817AB"/>
    <w:rsid w:val="009836A1"/>
    <w:rsid w:val="00984DE6"/>
    <w:rsid w:val="009873D7"/>
    <w:rsid w:val="00990AC3"/>
    <w:rsid w:val="009910AE"/>
    <w:rsid w:val="00993ED1"/>
    <w:rsid w:val="00995763"/>
    <w:rsid w:val="00996745"/>
    <w:rsid w:val="00996793"/>
    <w:rsid w:val="009968E5"/>
    <w:rsid w:val="009973D7"/>
    <w:rsid w:val="00997F72"/>
    <w:rsid w:val="009A0301"/>
    <w:rsid w:val="009A071C"/>
    <w:rsid w:val="009A2491"/>
    <w:rsid w:val="009A4206"/>
    <w:rsid w:val="009A5867"/>
    <w:rsid w:val="009B28F8"/>
    <w:rsid w:val="009B3CE9"/>
    <w:rsid w:val="009B5FCD"/>
    <w:rsid w:val="009B60AB"/>
    <w:rsid w:val="009B76AD"/>
    <w:rsid w:val="009C091F"/>
    <w:rsid w:val="009C269F"/>
    <w:rsid w:val="009D0ECC"/>
    <w:rsid w:val="009D19E2"/>
    <w:rsid w:val="009E0E55"/>
    <w:rsid w:val="009E19EF"/>
    <w:rsid w:val="009E394C"/>
    <w:rsid w:val="009E42C5"/>
    <w:rsid w:val="009E4A91"/>
    <w:rsid w:val="009E4FB0"/>
    <w:rsid w:val="009E75C3"/>
    <w:rsid w:val="009E7B62"/>
    <w:rsid w:val="009F0184"/>
    <w:rsid w:val="009F150A"/>
    <w:rsid w:val="009F174F"/>
    <w:rsid w:val="009F18ED"/>
    <w:rsid w:val="009F46D4"/>
    <w:rsid w:val="009F5036"/>
    <w:rsid w:val="009F67C1"/>
    <w:rsid w:val="00A02B3C"/>
    <w:rsid w:val="00A02C42"/>
    <w:rsid w:val="00A03817"/>
    <w:rsid w:val="00A04031"/>
    <w:rsid w:val="00A04482"/>
    <w:rsid w:val="00A07368"/>
    <w:rsid w:val="00A14E31"/>
    <w:rsid w:val="00A16B95"/>
    <w:rsid w:val="00A22591"/>
    <w:rsid w:val="00A22E09"/>
    <w:rsid w:val="00A270A0"/>
    <w:rsid w:val="00A30332"/>
    <w:rsid w:val="00A30A58"/>
    <w:rsid w:val="00A32738"/>
    <w:rsid w:val="00A32D00"/>
    <w:rsid w:val="00A33FE3"/>
    <w:rsid w:val="00A34D0B"/>
    <w:rsid w:val="00A3538E"/>
    <w:rsid w:val="00A35AA1"/>
    <w:rsid w:val="00A37D03"/>
    <w:rsid w:val="00A4229D"/>
    <w:rsid w:val="00A4240E"/>
    <w:rsid w:val="00A43AB0"/>
    <w:rsid w:val="00A4415D"/>
    <w:rsid w:val="00A4458D"/>
    <w:rsid w:val="00A453E9"/>
    <w:rsid w:val="00A5042D"/>
    <w:rsid w:val="00A5080A"/>
    <w:rsid w:val="00A51E2A"/>
    <w:rsid w:val="00A5267B"/>
    <w:rsid w:val="00A540C3"/>
    <w:rsid w:val="00A55133"/>
    <w:rsid w:val="00A552A3"/>
    <w:rsid w:val="00A559C0"/>
    <w:rsid w:val="00A57217"/>
    <w:rsid w:val="00A60E1B"/>
    <w:rsid w:val="00A62C29"/>
    <w:rsid w:val="00A62D8C"/>
    <w:rsid w:val="00A62F56"/>
    <w:rsid w:val="00A63027"/>
    <w:rsid w:val="00A63039"/>
    <w:rsid w:val="00A64658"/>
    <w:rsid w:val="00A652BE"/>
    <w:rsid w:val="00A65DF3"/>
    <w:rsid w:val="00A728B1"/>
    <w:rsid w:val="00A7457B"/>
    <w:rsid w:val="00A76324"/>
    <w:rsid w:val="00A8108C"/>
    <w:rsid w:val="00A8310C"/>
    <w:rsid w:val="00A83329"/>
    <w:rsid w:val="00A84A0F"/>
    <w:rsid w:val="00A86265"/>
    <w:rsid w:val="00A87A60"/>
    <w:rsid w:val="00A902FE"/>
    <w:rsid w:val="00A931B7"/>
    <w:rsid w:val="00A944C7"/>
    <w:rsid w:val="00A9494D"/>
    <w:rsid w:val="00A95FD6"/>
    <w:rsid w:val="00A974A8"/>
    <w:rsid w:val="00A97F22"/>
    <w:rsid w:val="00AA56E8"/>
    <w:rsid w:val="00AA6289"/>
    <w:rsid w:val="00AA7E2B"/>
    <w:rsid w:val="00AB01AC"/>
    <w:rsid w:val="00AB1148"/>
    <w:rsid w:val="00AB154F"/>
    <w:rsid w:val="00AB4BB5"/>
    <w:rsid w:val="00AB56B8"/>
    <w:rsid w:val="00AC175C"/>
    <w:rsid w:val="00AC1A2C"/>
    <w:rsid w:val="00AC33CC"/>
    <w:rsid w:val="00AC5C9F"/>
    <w:rsid w:val="00AC6913"/>
    <w:rsid w:val="00AC7215"/>
    <w:rsid w:val="00AC772E"/>
    <w:rsid w:val="00AD4818"/>
    <w:rsid w:val="00AD4B80"/>
    <w:rsid w:val="00AE1B25"/>
    <w:rsid w:val="00AE207F"/>
    <w:rsid w:val="00AE249D"/>
    <w:rsid w:val="00AE4744"/>
    <w:rsid w:val="00AE6B4C"/>
    <w:rsid w:val="00AE7C9E"/>
    <w:rsid w:val="00AF00AF"/>
    <w:rsid w:val="00AF48D3"/>
    <w:rsid w:val="00AF4A96"/>
    <w:rsid w:val="00AF55C1"/>
    <w:rsid w:val="00B058BE"/>
    <w:rsid w:val="00B05B02"/>
    <w:rsid w:val="00B061C2"/>
    <w:rsid w:val="00B102F1"/>
    <w:rsid w:val="00B11807"/>
    <w:rsid w:val="00B134DF"/>
    <w:rsid w:val="00B13B03"/>
    <w:rsid w:val="00B13CB5"/>
    <w:rsid w:val="00B159A1"/>
    <w:rsid w:val="00B16613"/>
    <w:rsid w:val="00B23326"/>
    <w:rsid w:val="00B247A5"/>
    <w:rsid w:val="00B24C2C"/>
    <w:rsid w:val="00B2760C"/>
    <w:rsid w:val="00B35643"/>
    <w:rsid w:val="00B35DC2"/>
    <w:rsid w:val="00B360C4"/>
    <w:rsid w:val="00B4122F"/>
    <w:rsid w:val="00B41F38"/>
    <w:rsid w:val="00B436E5"/>
    <w:rsid w:val="00B43A29"/>
    <w:rsid w:val="00B43F6F"/>
    <w:rsid w:val="00B4403E"/>
    <w:rsid w:val="00B45A49"/>
    <w:rsid w:val="00B462F3"/>
    <w:rsid w:val="00B549A8"/>
    <w:rsid w:val="00B5574D"/>
    <w:rsid w:val="00B55B15"/>
    <w:rsid w:val="00B55CC2"/>
    <w:rsid w:val="00B55F2A"/>
    <w:rsid w:val="00B55F40"/>
    <w:rsid w:val="00B560E5"/>
    <w:rsid w:val="00B567CE"/>
    <w:rsid w:val="00B568D0"/>
    <w:rsid w:val="00B62931"/>
    <w:rsid w:val="00B62C69"/>
    <w:rsid w:val="00B63292"/>
    <w:rsid w:val="00B64805"/>
    <w:rsid w:val="00B66AE8"/>
    <w:rsid w:val="00B67B83"/>
    <w:rsid w:val="00B67E7F"/>
    <w:rsid w:val="00B70172"/>
    <w:rsid w:val="00B71533"/>
    <w:rsid w:val="00B7252F"/>
    <w:rsid w:val="00B7264E"/>
    <w:rsid w:val="00B73006"/>
    <w:rsid w:val="00B74975"/>
    <w:rsid w:val="00B76E4C"/>
    <w:rsid w:val="00B76F05"/>
    <w:rsid w:val="00B772E4"/>
    <w:rsid w:val="00B80AFD"/>
    <w:rsid w:val="00B81031"/>
    <w:rsid w:val="00B8324E"/>
    <w:rsid w:val="00B83F11"/>
    <w:rsid w:val="00B84107"/>
    <w:rsid w:val="00B84FD6"/>
    <w:rsid w:val="00B87394"/>
    <w:rsid w:val="00B932F1"/>
    <w:rsid w:val="00B946BF"/>
    <w:rsid w:val="00B94B2D"/>
    <w:rsid w:val="00B9646C"/>
    <w:rsid w:val="00BA01EC"/>
    <w:rsid w:val="00BA05FB"/>
    <w:rsid w:val="00BA0F36"/>
    <w:rsid w:val="00BA271B"/>
    <w:rsid w:val="00BA4AF0"/>
    <w:rsid w:val="00BA4F8B"/>
    <w:rsid w:val="00BA7FC0"/>
    <w:rsid w:val="00BB12ED"/>
    <w:rsid w:val="00BB1EB4"/>
    <w:rsid w:val="00BB3EA7"/>
    <w:rsid w:val="00BB5A65"/>
    <w:rsid w:val="00BB5B8B"/>
    <w:rsid w:val="00BB636B"/>
    <w:rsid w:val="00BB6F25"/>
    <w:rsid w:val="00BC0D4D"/>
    <w:rsid w:val="00BC29AE"/>
    <w:rsid w:val="00BC2F26"/>
    <w:rsid w:val="00BC4A36"/>
    <w:rsid w:val="00BC6A6A"/>
    <w:rsid w:val="00BD0796"/>
    <w:rsid w:val="00BD35FC"/>
    <w:rsid w:val="00BD555D"/>
    <w:rsid w:val="00BD5972"/>
    <w:rsid w:val="00BD64E0"/>
    <w:rsid w:val="00BE212D"/>
    <w:rsid w:val="00BE28A4"/>
    <w:rsid w:val="00BE3CE1"/>
    <w:rsid w:val="00BE56D8"/>
    <w:rsid w:val="00BE6FBA"/>
    <w:rsid w:val="00BF5A9E"/>
    <w:rsid w:val="00C019EA"/>
    <w:rsid w:val="00C03E5A"/>
    <w:rsid w:val="00C044F1"/>
    <w:rsid w:val="00C0530F"/>
    <w:rsid w:val="00C07D3B"/>
    <w:rsid w:val="00C1178B"/>
    <w:rsid w:val="00C12CA9"/>
    <w:rsid w:val="00C13AD2"/>
    <w:rsid w:val="00C25D6B"/>
    <w:rsid w:val="00C26EAF"/>
    <w:rsid w:val="00C3211F"/>
    <w:rsid w:val="00C33BE9"/>
    <w:rsid w:val="00C35975"/>
    <w:rsid w:val="00C36E18"/>
    <w:rsid w:val="00C37140"/>
    <w:rsid w:val="00C43B51"/>
    <w:rsid w:val="00C44260"/>
    <w:rsid w:val="00C44EAC"/>
    <w:rsid w:val="00C450C3"/>
    <w:rsid w:val="00C47298"/>
    <w:rsid w:val="00C50FAC"/>
    <w:rsid w:val="00C512D5"/>
    <w:rsid w:val="00C51FE2"/>
    <w:rsid w:val="00C523E6"/>
    <w:rsid w:val="00C60503"/>
    <w:rsid w:val="00C60667"/>
    <w:rsid w:val="00C61858"/>
    <w:rsid w:val="00C625A5"/>
    <w:rsid w:val="00C637E7"/>
    <w:rsid w:val="00C63A9C"/>
    <w:rsid w:val="00C645F1"/>
    <w:rsid w:val="00C64EB7"/>
    <w:rsid w:val="00C67AAA"/>
    <w:rsid w:val="00C706C7"/>
    <w:rsid w:val="00C70940"/>
    <w:rsid w:val="00C7389D"/>
    <w:rsid w:val="00C73F78"/>
    <w:rsid w:val="00C75205"/>
    <w:rsid w:val="00C76B92"/>
    <w:rsid w:val="00C81298"/>
    <w:rsid w:val="00C82DC9"/>
    <w:rsid w:val="00C83224"/>
    <w:rsid w:val="00C8439A"/>
    <w:rsid w:val="00C84917"/>
    <w:rsid w:val="00C87D1F"/>
    <w:rsid w:val="00C90782"/>
    <w:rsid w:val="00C91B75"/>
    <w:rsid w:val="00C91F28"/>
    <w:rsid w:val="00C92C69"/>
    <w:rsid w:val="00C94608"/>
    <w:rsid w:val="00C9548C"/>
    <w:rsid w:val="00C97C71"/>
    <w:rsid w:val="00CA0C9B"/>
    <w:rsid w:val="00CA145C"/>
    <w:rsid w:val="00CA1A8B"/>
    <w:rsid w:val="00CA2534"/>
    <w:rsid w:val="00CA3B83"/>
    <w:rsid w:val="00CA40C4"/>
    <w:rsid w:val="00CA6874"/>
    <w:rsid w:val="00CB479A"/>
    <w:rsid w:val="00CC108F"/>
    <w:rsid w:val="00CC3595"/>
    <w:rsid w:val="00CC530B"/>
    <w:rsid w:val="00CC597F"/>
    <w:rsid w:val="00CC5C12"/>
    <w:rsid w:val="00CD17D1"/>
    <w:rsid w:val="00CD7241"/>
    <w:rsid w:val="00CD7E23"/>
    <w:rsid w:val="00CD7EA1"/>
    <w:rsid w:val="00CD7FF3"/>
    <w:rsid w:val="00CE046A"/>
    <w:rsid w:val="00CE1025"/>
    <w:rsid w:val="00CE1C57"/>
    <w:rsid w:val="00CE1EE1"/>
    <w:rsid w:val="00CE1EF6"/>
    <w:rsid w:val="00CE20E4"/>
    <w:rsid w:val="00CE2A85"/>
    <w:rsid w:val="00CE3441"/>
    <w:rsid w:val="00CE4C77"/>
    <w:rsid w:val="00CE4C78"/>
    <w:rsid w:val="00CE4F45"/>
    <w:rsid w:val="00CE5FF9"/>
    <w:rsid w:val="00CE7B86"/>
    <w:rsid w:val="00CF22C4"/>
    <w:rsid w:val="00CF24B3"/>
    <w:rsid w:val="00CF338C"/>
    <w:rsid w:val="00CF7047"/>
    <w:rsid w:val="00D00D11"/>
    <w:rsid w:val="00D0307D"/>
    <w:rsid w:val="00D111F1"/>
    <w:rsid w:val="00D120E0"/>
    <w:rsid w:val="00D14CF1"/>
    <w:rsid w:val="00D16E04"/>
    <w:rsid w:val="00D200F8"/>
    <w:rsid w:val="00D2017B"/>
    <w:rsid w:val="00D22DE2"/>
    <w:rsid w:val="00D26736"/>
    <w:rsid w:val="00D26EB7"/>
    <w:rsid w:val="00D27ACB"/>
    <w:rsid w:val="00D27D26"/>
    <w:rsid w:val="00D33A7C"/>
    <w:rsid w:val="00D33C95"/>
    <w:rsid w:val="00D34545"/>
    <w:rsid w:val="00D34A2D"/>
    <w:rsid w:val="00D36747"/>
    <w:rsid w:val="00D37530"/>
    <w:rsid w:val="00D40FC4"/>
    <w:rsid w:val="00D43CE2"/>
    <w:rsid w:val="00D43DB8"/>
    <w:rsid w:val="00D468DD"/>
    <w:rsid w:val="00D477AC"/>
    <w:rsid w:val="00D479C7"/>
    <w:rsid w:val="00D47E0C"/>
    <w:rsid w:val="00D53002"/>
    <w:rsid w:val="00D538E6"/>
    <w:rsid w:val="00D552B1"/>
    <w:rsid w:val="00D563B3"/>
    <w:rsid w:val="00D56774"/>
    <w:rsid w:val="00D57B04"/>
    <w:rsid w:val="00D6160E"/>
    <w:rsid w:val="00D6704B"/>
    <w:rsid w:val="00D72ECF"/>
    <w:rsid w:val="00D73912"/>
    <w:rsid w:val="00D7621D"/>
    <w:rsid w:val="00D8028C"/>
    <w:rsid w:val="00D864CE"/>
    <w:rsid w:val="00D8663E"/>
    <w:rsid w:val="00D8684F"/>
    <w:rsid w:val="00D910AF"/>
    <w:rsid w:val="00D92246"/>
    <w:rsid w:val="00D94ADE"/>
    <w:rsid w:val="00D95117"/>
    <w:rsid w:val="00D9582E"/>
    <w:rsid w:val="00DA0510"/>
    <w:rsid w:val="00DA0DEC"/>
    <w:rsid w:val="00DA1979"/>
    <w:rsid w:val="00DA36BE"/>
    <w:rsid w:val="00DA3DB8"/>
    <w:rsid w:val="00DA4A4C"/>
    <w:rsid w:val="00DA56FE"/>
    <w:rsid w:val="00DA63FD"/>
    <w:rsid w:val="00DB18F2"/>
    <w:rsid w:val="00DB3D42"/>
    <w:rsid w:val="00DB5160"/>
    <w:rsid w:val="00DC27D3"/>
    <w:rsid w:val="00DC2FA7"/>
    <w:rsid w:val="00DC36E4"/>
    <w:rsid w:val="00DC55CA"/>
    <w:rsid w:val="00DD018B"/>
    <w:rsid w:val="00DD2F3E"/>
    <w:rsid w:val="00DD3537"/>
    <w:rsid w:val="00DD58B9"/>
    <w:rsid w:val="00DD6939"/>
    <w:rsid w:val="00DE1296"/>
    <w:rsid w:val="00DE2710"/>
    <w:rsid w:val="00DE4AF8"/>
    <w:rsid w:val="00DE4C23"/>
    <w:rsid w:val="00DE6AA1"/>
    <w:rsid w:val="00DE7636"/>
    <w:rsid w:val="00DE78B7"/>
    <w:rsid w:val="00DF26DC"/>
    <w:rsid w:val="00DF3975"/>
    <w:rsid w:val="00DF6424"/>
    <w:rsid w:val="00DF7AD6"/>
    <w:rsid w:val="00E027DC"/>
    <w:rsid w:val="00E031D1"/>
    <w:rsid w:val="00E036E4"/>
    <w:rsid w:val="00E04189"/>
    <w:rsid w:val="00E058A6"/>
    <w:rsid w:val="00E06693"/>
    <w:rsid w:val="00E112A8"/>
    <w:rsid w:val="00E116C6"/>
    <w:rsid w:val="00E1400C"/>
    <w:rsid w:val="00E146EB"/>
    <w:rsid w:val="00E14A54"/>
    <w:rsid w:val="00E14DE3"/>
    <w:rsid w:val="00E156C1"/>
    <w:rsid w:val="00E15C4A"/>
    <w:rsid w:val="00E15F4A"/>
    <w:rsid w:val="00E17E05"/>
    <w:rsid w:val="00E203C6"/>
    <w:rsid w:val="00E203FE"/>
    <w:rsid w:val="00E2187F"/>
    <w:rsid w:val="00E23D8D"/>
    <w:rsid w:val="00E241C1"/>
    <w:rsid w:val="00E24EFD"/>
    <w:rsid w:val="00E268DE"/>
    <w:rsid w:val="00E30F1E"/>
    <w:rsid w:val="00E31EB0"/>
    <w:rsid w:val="00E33BB6"/>
    <w:rsid w:val="00E42962"/>
    <w:rsid w:val="00E437BF"/>
    <w:rsid w:val="00E45B51"/>
    <w:rsid w:val="00E466A1"/>
    <w:rsid w:val="00E46D3C"/>
    <w:rsid w:val="00E518FD"/>
    <w:rsid w:val="00E54C15"/>
    <w:rsid w:val="00E558CF"/>
    <w:rsid w:val="00E672AC"/>
    <w:rsid w:val="00E70B3B"/>
    <w:rsid w:val="00E71AD8"/>
    <w:rsid w:val="00E7207C"/>
    <w:rsid w:val="00E74703"/>
    <w:rsid w:val="00E74C30"/>
    <w:rsid w:val="00E768C1"/>
    <w:rsid w:val="00E772DA"/>
    <w:rsid w:val="00E8296E"/>
    <w:rsid w:val="00E83521"/>
    <w:rsid w:val="00E853F8"/>
    <w:rsid w:val="00E8598F"/>
    <w:rsid w:val="00E86004"/>
    <w:rsid w:val="00E90248"/>
    <w:rsid w:val="00E90565"/>
    <w:rsid w:val="00E92320"/>
    <w:rsid w:val="00E9393F"/>
    <w:rsid w:val="00E974D7"/>
    <w:rsid w:val="00EA0853"/>
    <w:rsid w:val="00EA0C9B"/>
    <w:rsid w:val="00EA1525"/>
    <w:rsid w:val="00EA5662"/>
    <w:rsid w:val="00EA7296"/>
    <w:rsid w:val="00EA7552"/>
    <w:rsid w:val="00EB271B"/>
    <w:rsid w:val="00EB27B4"/>
    <w:rsid w:val="00EB300C"/>
    <w:rsid w:val="00EB30F1"/>
    <w:rsid w:val="00EB6270"/>
    <w:rsid w:val="00EB62E3"/>
    <w:rsid w:val="00EB7374"/>
    <w:rsid w:val="00EC14B0"/>
    <w:rsid w:val="00EC4836"/>
    <w:rsid w:val="00EC5784"/>
    <w:rsid w:val="00EC743C"/>
    <w:rsid w:val="00ED0C1E"/>
    <w:rsid w:val="00ED42E9"/>
    <w:rsid w:val="00ED4B80"/>
    <w:rsid w:val="00ED67E8"/>
    <w:rsid w:val="00ED77FC"/>
    <w:rsid w:val="00ED7F92"/>
    <w:rsid w:val="00EE07BB"/>
    <w:rsid w:val="00EE16C7"/>
    <w:rsid w:val="00EE6EAF"/>
    <w:rsid w:val="00EF101A"/>
    <w:rsid w:val="00EF270C"/>
    <w:rsid w:val="00EF69C6"/>
    <w:rsid w:val="00EF79CC"/>
    <w:rsid w:val="00EF7F7B"/>
    <w:rsid w:val="00F011B7"/>
    <w:rsid w:val="00F01300"/>
    <w:rsid w:val="00F01F51"/>
    <w:rsid w:val="00F0564D"/>
    <w:rsid w:val="00F066A3"/>
    <w:rsid w:val="00F1399F"/>
    <w:rsid w:val="00F13F78"/>
    <w:rsid w:val="00F158EE"/>
    <w:rsid w:val="00F15F41"/>
    <w:rsid w:val="00F1794C"/>
    <w:rsid w:val="00F22950"/>
    <w:rsid w:val="00F23201"/>
    <w:rsid w:val="00F233E7"/>
    <w:rsid w:val="00F239EB"/>
    <w:rsid w:val="00F26C25"/>
    <w:rsid w:val="00F27345"/>
    <w:rsid w:val="00F318C2"/>
    <w:rsid w:val="00F32047"/>
    <w:rsid w:val="00F34469"/>
    <w:rsid w:val="00F36EA4"/>
    <w:rsid w:val="00F37C01"/>
    <w:rsid w:val="00F40EF7"/>
    <w:rsid w:val="00F42954"/>
    <w:rsid w:val="00F44D93"/>
    <w:rsid w:val="00F479F8"/>
    <w:rsid w:val="00F508C9"/>
    <w:rsid w:val="00F5285D"/>
    <w:rsid w:val="00F52DBF"/>
    <w:rsid w:val="00F60FA8"/>
    <w:rsid w:val="00F610CC"/>
    <w:rsid w:val="00F67879"/>
    <w:rsid w:val="00F7230E"/>
    <w:rsid w:val="00F732FD"/>
    <w:rsid w:val="00F8000B"/>
    <w:rsid w:val="00F81054"/>
    <w:rsid w:val="00F83151"/>
    <w:rsid w:val="00F83C12"/>
    <w:rsid w:val="00F84EAA"/>
    <w:rsid w:val="00F85E24"/>
    <w:rsid w:val="00F863D2"/>
    <w:rsid w:val="00F901CA"/>
    <w:rsid w:val="00F925CA"/>
    <w:rsid w:val="00F947D2"/>
    <w:rsid w:val="00F96995"/>
    <w:rsid w:val="00F96CE4"/>
    <w:rsid w:val="00FA1B87"/>
    <w:rsid w:val="00FA2F9E"/>
    <w:rsid w:val="00FA37B4"/>
    <w:rsid w:val="00FB24E5"/>
    <w:rsid w:val="00FB3BDE"/>
    <w:rsid w:val="00FB41C7"/>
    <w:rsid w:val="00FB6788"/>
    <w:rsid w:val="00FB6A62"/>
    <w:rsid w:val="00FB6E07"/>
    <w:rsid w:val="00FC17A3"/>
    <w:rsid w:val="00FC67A6"/>
    <w:rsid w:val="00FD071E"/>
    <w:rsid w:val="00FD08A5"/>
    <w:rsid w:val="00FD0FA7"/>
    <w:rsid w:val="00FD2867"/>
    <w:rsid w:val="00FD325E"/>
    <w:rsid w:val="00FD6390"/>
    <w:rsid w:val="00FD6ED8"/>
    <w:rsid w:val="00FD765F"/>
    <w:rsid w:val="00FD7812"/>
    <w:rsid w:val="00FE06B7"/>
    <w:rsid w:val="00FE1644"/>
    <w:rsid w:val="00FE3863"/>
    <w:rsid w:val="00FE5E1B"/>
    <w:rsid w:val="00FE700A"/>
    <w:rsid w:val="00FE7C1B"/>
    <w:rsid w:val="00FF06E1"/>
    <w:rsid w:val="00FF1E73"/>
    <w:rsid w:val="00FF3949"/>
    <w:rsid w:val="00FF3D30"/>
    <w:rsid w:val="00FF5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04B34C62"/>
  <w15:docId w15:val="{7C779630-7DED-443C-AA71-EE46FB6D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1E14C8"/>
    <w:pPr>
      <w:widowControl w:val="0"/>
      <w:numPr>
        <w:numId w:val="9"/>
      </w:numPr>
      <w:tabs>
        <w:tab w:val="left" w:pos="8280"/>
      </w:tabs>
      <w:autoSpaceDE w:val="0"/>
      <w:autoSpaceDN w:val="0"/>
      <w:adjustRightInd w:val="0"/>
      <w:spacing w:before="240" w:after="240" w:line="360" w:lineRule="auto"/>
      <w:jc w:val="both"/>
      <w:outlineLvl w:val="0"/>
    </w:pPr>
    <w:rPr>
      <w:rFonts w:ascii="Times New Roman" w:eastAsia="Times New Roman" w:hAnsi="Times New Roman"/>
      <w:b/>
      <w:sz w:val="3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F46D4"/>
    <w:pPr>
      <w:spacing w:after="0" w:line="240" w:lineRule="auto"/>
      <w:jc w:val="both"/>
    </w:pPr>
    <w:rPr>
      <w:rFonts w:ascii="Times New Roman" w:eastAsia="Times New Roman" w:hAnsi="Times New Roman"/>
      <w:sz w:val="20"/>
      <w:szCs w:val="20"/>
      <w:lang w:val="x-none" w:eastAsia="en-AU"/>
    </w:rPr>
  </w:style>
  <w:style w:type="character" w:customStyle="1" w:styleId="FootnoteTextChar">
    <w:name w:val="Footnote Text Char"/>
    <w:link w:val="FootnoteText"/>
    <w:uiPriority w:val="99"/>
    <w:rsid w:val="009F46D4"/>
    <w:rPr>
      <w:rFonts w:ascii="Times New Roman" w:eastAsia="Times New Roman" w:hAnsi="Times New Roman"/>
      <w:lang w:val="x-none"/>
    </w:rPr>
  </w:style>
  <w:style w:type="character" w:styleId="FootnoteReference">
    <w:name w:val="footnote reference"/>
    <w:uiPriority w:val="99"/>
    <w:rsid w:val="00663F79"/>
    <w:rPr>
      <w:vertAlign w:val="superscript"/>
    </w:rPr>
  </w:style>
  <w:style w:type="paragraph" w:styleId="Header">
    <w:name w:val="header"/>
    <w:basedOn w:val="Normal"/>
    <w:link w:val="HeaderChar"/>
    <w:uiPriority w:val="99"/>
    <w:unhideWhenUsed/>
    <w:rsid w:val="00663F79"/>
    <w:pPr>
      <w:tabs>
        <w:tab w:val="center" w:pos="4513"/>
        <w:tab w:val="right" w:pos="9026"/>
      </w:tabs>
      <w:spacing w:after="240" w:line="360" w:lineRule="auto"/>
      <w:jc w:val="both"/>
    </w:pPr>
    <w:rPr>
      <w:rFonts w:ascii="Times New Roman" w:hAnsi="Times New Roman"/>
      <w:lang w:val="x-none"/>
    </w:rPr>
  </w:style>
  <w:style w:type="character" w:customStyle="1" w:styleId="HeaderChar">
    <w:name w:val="Header Char"/>
    <w:link w:val="Header"/>
    <w:uiPriority w:val="99"/>
    <w:rsid w:val="00663F79"/>
    <w:rPr>
      <w:rFonts w:ascii="Times New Roman" w:hAnsi="Times New Roman"/>
      <w:sz w:val="22"/>
      <w:szCs w:val="22"/>
      <w:lang w:val="x-none" w:eastAsia="en-US"/>
    </w:rPr>
  </w:style>
  <w:style w:type="paragraph" w:styleId="Footer">
    <w:name w:val="footer"/>
    <w:basedOn w:val="Normal"/>
    <w:link w:val="FooterChar"/>
    <w:uiPriority w:val="99"/>
    <w:unhideWhenUsed/>
    <w:rsid w:val="00663F79"/>
    <w:pPr>
      <w:tabs>
        <w:tab w:val="center" w:pos="4513"/>
        <w:tab w:val="right" w:pos="9026"/>
      </w:tabs>
      <w:spacing w:after="240" w:line="360" w:lineRule="auto"/>
      <w:jc w:val="both"/>
    </w:pPr>
    <w:rPr>
      <w:rFonts w:ascii="Times New Roman" w:hAnsi="Times New Roman"/>
      <w:lang w:val="x-none"/>
    </w:rPr>
  </w:style>
  <w:style w:type="character" w:customStyle="1" w:styleId="FooterChar">
    <w:name w:val="Footer Char"/>
    <w:link w:val="Footer"/>
    <w:uiPriority w:val="99"/>
    <w:rsid w:val="00663F79"/>
    <w:rPr>
      <w:rFonts w:ascii="Times New Roman" w:hAnsi="Times New Roman"/>
      <w:sz w:val="22"/>
      <w:szCs w:val="22"/>
      <w:lang w:val="x-none" w:eastAsia="en-US"/>
    </w:rPr>
  </w:style>
  <w:style w:type="character" w:customStyle="1" w:styleId="FootnoteTextChar1">
    <w:name w:val="Footnote Text Char1"/>
    <w:semiHidden/>
    <w:rsid w:val="00663F79"/>
    <w:rPr>
      <w:rFonts w:ascii="Cambria" w:eastAsia="Cambria" w:hAnsi="Cambria"/>
      <w:sz w:val="24"/>
      <w:szCs w:val="24"/>
      <w:lang w:val="en-US" w:eastAsia="en-US"/>
    </w:rPr>
  </w:style>
  <w:style w:type="paragraph" w:customStyle="1" w:styleId="subsection">
    <w:name w:val="subsection"/>
    <w:basedOn w:val="Normal"/>
    <w:rsid w:val="00551C46"/>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551C46"/>
    <w:rPr>
      <w:color w:val="0000FF"/>
      <w:u w:val="single"/>
    </w:rPr>
  </w:style>
  <w:style w:type="paragraph" w:customStyle="1" w:styleId="paragraph">
    <w:name w:val="paragraph"/>
    <w:basedOn w:val="Normal"/>
    <w:rsid w:val="00551C46"/>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5B710A"/>
    <w:pPr>
      <w:spacing w:before="100" w:beforeAutospacing="1" w:after="100" w:afterAutospacing="1" w:line="240" w:lineRule="auto"/>
    </w:pPr>
    <w:rPr>
      <w:rFonts w:ascii="Times New Roman" w:eastAsia="Times New Roman" w:hAnsi="Times New Roman"/>
      <w:sz w:val="24"/>
      <w:szCs w:val="24"/>
      <w:lang w:eastAsia="en-AU"/>
    </w:rPr>
  </w:style>
  <w:style w:type="character" w:styleId="PageNumber">
    <w:name w:val="page number"/>
    <w:basedOn w:val="DefaultParagraphFont"/>
    <w:rsid w:val="004E0D29"/>
  </w:style>
  <w:style w:type="character" w:styleId="BookTitle">
    <w:name w:val="Book Title"/>
    <w:uiPriority w:val="33"/>
    <w:qFormat/>
    <w:rsid w:val="004C3E86"/>
  </w:style>
  <w:style w:type="paragraph" w:customStyle="1" w:styleId="Listparagrap">
    <w:name w:val="List paragrap"/>
    <w:basedOn w:val="Normal"/>
    <w:link w:val="ListparagrapChar"/>
    <w:qFormat/>
    <w:rsid w:val="004C3E86"/>
    <w:pPr>
      <w:numPr>
        <w:numId w:val="8"/>
      </w:numPr>
      <w:spacing w:before="360" w:after="360" w:line="240" w:lineRule="auto"/>
      <w:ind w:left="567" w:right="-8" w:hanging="567"/>
      <w:jc w:val="both"/>
    </w:pPr>
    <w:rPr>
      <w:rFonts w:eastAsia="Times New Roman"/>
      <w:szCs w:val="20"/>
      <w:lang w:bidi="en-US"/>
    </w:rPr>
  </w:style>
  <w:style w:type="character" w:customStyle="1" w:styleId="ListparagrapChar">
    <w:name w:val="List paragrap Char"/>
    <w:link w:val="Listparagrap"/>
    <w:rsid w:val="004C3E86"/>
    <w:rPr>
      <w:rFonts w:eastAsia="Times New Roman"/>
      <w:sz w:val="22"/>
      <w:lang w:eastAsia="en-US" w:bidi="en-US"/>
    </w:rPr>
  </w:style>
  <w:style w:type="paragraph" w:styleId="BalloonText">
    <w:name w:val="Balloon Text"/>
    <w:basedOn w:val="Normal"/>
    <w:link w:val="BalloonTextChar"/>
    <w:uiPriority w:val="99"/>
    <w:semiHidden/>
    <w:unhideWhenUsed/>
    <w:rsid w:val="003B03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03F6"/>
    <w:rPr>
      <w:rFonts w:ascii="Tahoma" w:hAnsi="Tahoma" w:cs="Tahoma"/>
      <w:sz w:val="16"/>
      <w:szCs w:val="16"/>
      <w:lang w:eastAsia="en-US"/>
    </w:rPr>
  </w:style>
  <w:style w:type="character" w:customStyle="1" w:styleId="Heading1Char">
    <w:name w:val="Heading 1 Char"/>
    <w:link w:val="Heading1"/>
    <w:uiPriority w:val="99"/>
    <w:rsid w:val="001E14C8"/>
    <w:rPr>
      <w:rFonts w:ascii="Times New Roman" w:eastAsia="Times New Roman" w:hAnsi="Times New Roman"/>
      <w:b/>
      <w:sz w:val="32"/>
      <w:szCs w:val="24"/>
    </w:rPr>
  </w:style>
  <w:style w:type="paragraph" w:styleId="ListParagraph">
    <w:name w:val="List Paragraph"/>
    <w:basedOn w:val="Normal"/>
    <w:uiPriority w:val="34"/>
    <w:qFormat/>
    <w:rsid w:val="001E14C8"/>
    <w:pPr>
      <w:ind w:left="720"/>
      <w:contextualSpacing/>
    </w:pPr>
  </w:style>
  <w:style w:type="paragraph" w:customStyle="1" w:styleId="Quote1">
    <w:name w:val="Quote1"/>
    <w:basedOn w:val="Normal"/>
    <w:link w:val="Quote1Char"/>
    <w:rsid w:val="00131DEB"/>
    <w:pPr>
      <w:widowControl w:val="0"/>
      <w:spacing w:after="240" w:line="240" w:lineRule="atLeast"/>
      <w:ind w:left="1440" w:right="720"/>
      <w:jc w:val="both"/>
    </w:pPr>
    <w:rPr>
      <w:rFonts w:ascii="Book Antiqua" w:eastAsia="Times New Roman" w:hAnsi="Book Antiqua"/>
      <w:szCs w:val="20"/>
    </w:rPr>
  </w:style>
  <w:style w:type="character" w:customStyle="1" w:styleId="Quote1Char">
    <w:name w:val="Quote1 Char"/>
    <w:link w:val="Quote1"/>
    <w:locked/>
    <w:rsid w:val="00131DEB"/>
    <w:rPr>
      <w:rFonts w:ascii="Book Antiqua" w:eastAsia="Times New Roman" w:hAnsi="Book Antiqua"/>
      <w:sz w:val="22"/>
      <w:lang w:eastAsia="en-US"/>
    </w:rPr>
  </w:style>
  <w:style w:type="character" w:styleId="FollowedHyperlink">
    <w:name w:val="FollowedHyperlink"/>
    <w:uiPriority w:val="99"/>
    <w:semiHidden/>
    <w:unhideWhenUsed/>
    <w:rsid w:val="00B560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7775">
      <w:bodyDiv w:val="1"/>
      <w:marLeft w:val="0"/>
      <w:marRight w:val="0"/>
      <w:marTop w:val="0"/>
      <w:marBottom w:val="0"/>
      <w:divBdr>
        <w:top w:val="none" w:sz="0" w:space="0" w:color="auto"/>
        <w:left w:val="none" w:sz="0" w:space="0" w:color="auto"/>
        <w:bottom w:val="none" w:sz="0" w:space="0" w:color="auto"/>
        <w:right w:val="none" w:sz="0" w:space="0" w:color="auto"/>
      </w:divBdr>
    </w:div>
    <w:div w:id="460655054">
      <w:bodyDiv w:val="1"/>
      <w:marLeft w:val="0"/>
      <w:marRight w:val="0"/>
      <w:marTop w:val="0"/>
      <w:marBottom w:val="0"/>
      <w:divBdr>
        <w:top w:val="none" w:sz="0" w:space="0" w:color="auto"/>
        <w:left w:val="none" w:sz="0" w:space="0" w:color="auto"/>
        <w:bottom w:val="none" w:sz="0" w:space="0" w:color="auto"/>
        <w:right w:val="none" w:sz="0" w:space="0" w:color="auto"/>
      </w:divBdr>
    </w:div>
    <w:div w:id="688331131">
      <w:bodyDiv w:val="1"/>
      <w:marLeft w:val="0"/>
      <w:marRight w:val="0"/>
      <w:marTop w:val="0"/>
      <w:marBottom w:val="0"/>
      <w:divBdr>
        <w:top w:val="none" w:sz="0" w:space="0" w:color="auto"/>
        <w:left w:val="none" w:sz="0" w:space="0" w:color="auto"/>
        <w:bottom w:val="none" w:sz="0" w:space="0" w:color="auto"/>
        <w:right w:val="none" w:sz="0" w:space="0" w:color="auto"/>
      </w:divBdr>
    </w:div>
    <w:div w:id="1486316336">
      <w:bodyDiv w:val="1"/>
      <w:marLeft w:val="0"/>
      <w:marRight w:val="0"/>
      <w:marTop w:val="0"/>
      <w:marBottom w:val="0"/>
      <w:divBdr>
        <w:top w:val="none" w:sz="0" w:space="0" w:color="auto"/>
        <w:left w:val="none" w:sz="0" w:space="0" w:color="auto"/>
        <w:bottom w:val="none" w:sz="0" w:space="0" w:color="auto"/>
        <w:right w:val="none" w:sz="0" w:space="0" w:color="auto"/>
      </w:divBdr>
      <w:divsChild>
        <w:div w:id="1363894848">
          <w:marLeft w:val="0"/>
          <w:marRight w:val="0"/>
          <w:marTop w:val="0"/>
          <w:marBottom w:val="0"/>
          <w:divBdr>
            <w:top w:val="none" w:sz="0" w:space="0" w:color="auto"/>
            <w:left w:val="none" w:sz="0" w:space="0" w:color="auto"/>
            <w:bottom w:val="none" w:sz="0" w:space="0" w:color="auto"/>
            <w:right w:val="none" w:sz="0" w:space="0" w:color="auto"/>
          </w:divBdr>
          <w:divsChild>
            <w:div w:id="2132090206">
              <w:marLeft w:val="0"/>
              <w:marRight w:val="0"/>
              <w:marTop w:val="300"/>
              <w:marBottom w:val="300"/>
              <w:divBdr>
                <w:top w:val="none" w:sz="0" w:space="0" w:color="auto"/>
                <w:left w:val="none" w:sz="0" w:space="0" w:color="auto"/>
                <w:bottom w:val="none" w:sz="0" w:space="0" w:color="auto"/>
                <w:right w:val="none" w:sz="0" w:space="0" w:color="auto"/>
              </w:divBdr>
              <w:divsChild>
                <w:div w:id="490873445">
                  <w:marLeft w:val="0"/>
                  <w:marRight w:val="0"/>
                  <w:marTop w:val="0"/>
                  <w:marBottom w:val="0"/>
                  <w:divBdr>
                    <w:top w:val="none" w:sz="0" w:space="0" w:color="auto"/>
                    <w:left w:val="none" w:sz="0" w:space="0" w:color="auto"/>
                    <w:bottom w:val="none" w:sz="0" w:space="0" w:color="auto"/>
                    <w:right w:val="none" w:sz="0" w:space="0" w:color="auto"/>
                  </w:divBdr>
                  <w:divsChild>
                    <w:div w:id="854732417">
                      <w:marLeft w:val="0"/>
                      <w:marRight w:val="0"/>
                      <w:marTop w:val="0"/>
                      <w:marBottom w:val="0"/>
                      <w:divBdr>
                        <w:top w:val="none" w:sz="0" w:space="0" w:color="auto"/>
                        <w:left w:val="none" w:sz="0" w:space="0" w:color="auto"/>
                        <w:bottom w:val="none" w:sz="0" w:space="0" w:color="auto"/>
                        <w:right w:val="none" w:sz="0" w:space="0" w:color="auto"/>
                      </w:divBdr>
                      <w:divsChild>
                        <w:div w:id="1321153004">
                          <w:marLeft w:val="0"/>
                          <w:marRight w:val="0"/>
                          <w:marTop w:val="0"/>
                          <w:marBottom w:val="0"/>
                          <w:divBdr>
                            <w:top w:val="none" w:sz="0" w:space="0" w:color="auto"/>
                            <w:left w:val="none" w:sz="0" w:space="0" w:color="auto"/>
                            <w:bottom w:val="none" w:sz="0" w:space="0" w:color="auto"/>
                            <w:right w:val="none" w:sz="0" w:space="0" w:color="auto"/>
                          </w:divBdr>
                          <w:divsChild>
                            <w:div w:id="1735816829">
                              <w:marLeft w:val="375"/>
                              <w:marRight w:val="300"/>
                              <w:marTop w:val="0"/>
                              <w:marBottom w:val="0"/>
                              <w:divBdr>
                                <w:top w:val="none" w:sz="0" w:space="0" w:color="auto"/>
                                <w:left w:val="none" w:sz="0" w:space="0" w:color="auto"/>
                                <w:bottom w:val="none" w:sz="0" w:space="0" w:color="auto"/>
                                <w:right w:val="none" w:sz="0" w:space="0" w:color="auto"/>
                              </w:divBdr>
                              <w:divsChild>
                                <w:div w:id="260643811">
                                  <w:marLeft w:val="0"/>
                                  <w:marRight w:val="3900"/>
                                  <w:marTop w:val="0"/>
                                  <w:marBottom w:val="0"/>
                                  <w:divBdr>
                                    <w:top w:val="none" w:sz="0" w:space="0" w:color="auto"/>
                                    <w:left w:val="none" w:sz="0" w:space="0" w:color="auto"/>
                                    <w:bottom w:val="none" w:sz="0" w:space="0" w:color="auto"/>
                                    <w:right w:val="none" w:sz="0" w:space="0" w:color="auto"/>
                                  </w:divBdr>
                                  <w:divsChild>
                                    <w:div w:id="1730765014">
                                      <w:marLeft w:val="0"/>
                                      <w:marRight w:val="0"/>
                                      <w:marTop w:val="0"/>
                                      <w:marBottom w:val="0"/>
                                      <w:divBdr>
                                        <w:top w:val="none" w:sz="0" w:space="0" w:color="auto"/>
                                        <w:left w:val="none" w:sz="0" w:space="0" w:color="auto"/>
                                        <w:bottom w:val="none" w:sz="0" w:space="0" w:color="auto"/>
                                        <w:right w:val="none" w:sz="0" w:space="0" w:color="auto"/>
                                      </w:divBdr>
                                      <w:divsChild>
                                        <w:div w:id="1262370703">
                                          <w:marLeft w:val="0"/>
                                          <w:marRight w:val="0"/>
                                          <w:marTop w:val="0"/>
                                          <w:marBottom w:val="0"/>
                                          <w:divBdr>
                                            <w:top w:val="none" w:sz="0" w:space="0" w:color="auto"/>
                                            <w:left w:val="none" w:sz="0" w:space="0" w:color="auto"/>
                                            <w:bottom w:val="none" w:sz="0" w:space="0" w:color="auto"/>
                                            <w:right w:val="none" w:sz="0" w:space="0" w:color="auto"/>
                                          </w:divBdr>
                                          <w:divsChild>
                                            <w:div w:id="13811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306855">
      <w:bodyDiv w:val="1"/>
      <w:marLeft w:val="0"/>
      <w:marRight w:val="0"/>
      <w:marTop w:val="0"/>
      <w:marBottom w:val="0"/>
      <w:divBdr>
        <w:top w:val="none" w:sz="0" w:space="0" w:color="auto"/>
        <w:left w:val="none" w:sz="0" w:space="0" w:color="auto"/>
        <w:bottom w:val="none" w:sz="0" w:space="0" w:color="auto"/>
        <w:right w:val="none" w:sz="0" w:space="0" w:color="auto"/>
      </w:divBdr>
      <w:divsChild>
        <w:div w:id="1914316064">
          <w:marLeft w:val="0"/>
          <w:marRight w:val="0"/>
          <w:marTop w:val="0"/>
          <w:marBottom w:val="0"/>
          <w:divBdr>
            <w:top w:val="none" w:sz="0" w:space="0" w:color="auto"/>
            <w:left w:val="none" w:sz="0" w:space="0" w:color="auto"/>
            <w:bottom w:val="none" w:sz="0" w:space="0" w:color="auto"/>
            <w:right w:val="none" w:sz="0" w:space="0" w:color="auto"/>
          </w:divBdr>
          <w:divsChild>
            <w:div w:id="1227567100">
              <w:marLeft w:val="0"/>
              <w:marRight w:val="0"/>
              <w:marTop w:val="0"/>
              <w:marBottom w:val="0"/>
              <w:divBdr>
                <w:top w:val="none" w:sz="0" w:space="0" w:color="auto"/>
                <w:left w:val="none" w:sz="0" w:space="0" w:color="auto"/>
                <w:bottom w:val="none" w:sz="0" w:space="0" w:color="auto"/>
                <w:right w:val="none" w:sz="0" w:space="0" w:color="auto"/>
              </w:divBdr>
            </w:div>
            <w:div w:id="1490172217">
              <w:marLeft w:val="0"/>
              <w:marRight w:val="0"/>
              <w:marTop w:val="0"/>
              <w:marBottom w:val="0"/>
              <w:divBdr>
                <w:top w:val="none" w:sz="0" w:space="0" w:color="auto"/>
                <w:left w:val="none" w:sz="0" w:space="0" w:color="auto"/>
                <w:bottom w:val="none" w:sz="0" w:space="0" w:color="auto"/>
                <w:right w:val="none" w:sz="0" w:space="0" w:color="auto"/>
              </w:divBdr>
            </w:div>
            <w:div w:id="1771975081">
              <w:marLeft w:val="0"/>
              <w:marRight w:val="0"/>
              <w:marTop w:val="0"/>
              <w:marBottom w:val="0"/>
              <w:divBdr>
                <w:top w:val="none" w:sz="0" w:space="0" w:color="auto"/>
                <w:left w:val="none" w:sz="0" w:space="0" w:color="auto"/>
                <w:bottom w:val="none" w:sz="0" w:space="0" w:color="auto"/>
                <w:right w:val="none" w:sz="0" w:space="0" w:color="auto"/>
              </w:divBdr>
            </w:div>
            <w:div w:id="19556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0908">
      <w:bodyDiv w:val="1"/>
      <w:marLeft w:val="0"/>
      <w:marRight w:val="0"/>
      <w:marTop w:val="0"/>
      <w:marBottom w:val="0"/>
      <w:divBdr>
        <w:top w:val="none" w:sz="0" w:space="0" w:color="auto"/>
        <w:left w:val="none" w:sz="0" w:space="0" w:color="auto"/>
        <w:bottom w:val="none" w:sz="0" w:space="0" w:color="auto"/>
        <w:right w:val="none" w:sz="0" w:space="0" w:color="auto"/>
      </w:divBdr>
    </w:div>
    <w:div w:id="2145928788">
      <w:bodyDiv w:val="1"/>
      <w:marLeft w:val="0"/>
      <w:marRight w:val="0"/>
      <w:marTop w:val="0"/>
      <w:marBottom w:val="0"/>
      <w:divBdr>
        <w:top w:val="none" w:sz="0" w:space="0" w:color="auto"/>
        <w:left w:val="none" w:sz="0" w:space="0" w:color="auto"/>
        <w:bottom w:val="none" w:sz="0" w:space="0" w:color="auto"/>
        <w:right w:val="none" w:sz="0" w:space="0" w:color="auto"/>
      </w:divBdr>
      <w:divsChild>
        <w:div w:id="979765512">
          <w:marLeft w:val="0"/>
          <w:marRight w:val="0"/>
          <w:marTop w:val="0"/>
          <w:marBottom w:val="0"/>
          <w:divBdr>
            <w:top w:val="none" w:sz="0" w:space="0" w:color="auto"/>
            <w:left w:val="none" w:sz="0" w:space="0" w:color="auto"/>
            <w:bottom w:val="none" w:sz="0" w:space="0" w:color="auto"/>
            <w:right w:val="none" w:sz="0" w:space="0" w:color="auto"/>
          </w:divBdr>
          <w:divsChild>
            <w:div w:id="313148153">
              <w:marLeft w:val="0"/>
              <w:marRight w:val="0"/>
              <w:marTop w:val="300"/>
              <w:marBottom w:val="300"/>
              <w:divBdr>
                <w:top w:val="none" w:sz="0" w:space="0" w:color="auto"/>
                <w:left w:val="none" w:sz="0" w:space="0" w:color="auto"/>
                <w:bottom w:val="none" w:sz="0" w:space="0" w:color="auto"/>
                <w:right w:val="none" w:sz="0" w:space="0" w:color="auto"/>
              </w:divBdr>
              <w:divsChild>
                <w:div w:id="2088529174">
                  <w:marLeft w:val="0"/>
                  <w:marRight w:val="0"/>
                  <w:marTop w:val="0"/>
                  <w:marBottom w:val="0"/>
                  <w:divBdr>
                    <w:top w:val="none" w:sz="0" w:space="0" w:color="auto"/>
                    <w:left w:val="none" w:sz="0" w:space="0" w:color="auto"/>
                    <w:bottom w:val="none" w:sz="0" w:space="0" w:color="auto"/>
                    <w:right w:val="none" w:sz="0" w:space="0" w:color="auto"/>
                  </w:divBdr>
                  <w:divsChild>
                    <w:div w:id="1350256334">
                      <w:marLeft w:val="0"/>
                      <w:marRight w:val="0"/>
                      <w:marTop w:val="0"/>
                      <w:marBottom w:val="0"/>
                      <w:divBdr>
                        <w:top w:val="none" w:sz="0" w:space="0" w:color="auto"/>
                        <w:left w:val="none" w:sz="0" w:space="0" w:color="auto"/>
                        <w:bottom w:val="none" w:sz="0" w:space="0" w:color="auto"/>
                        <w:right w:val="none" w:sz="0" w:space="0" w:color="auto"/>
                      </w:divBdr>
                      <w:divsChild>
                        <w:div w:id="475151853">
                          <w:marLeft w:val="0"/>
                          <w:marRight w:val="0"/>
                          <w:marTop w:val="0"/>
                          <w:marBottom w:val="0"/>
                          <w:divBdr>
                            <w:top w:val="none" w:sz="0" w:space="0" w:color="auto"/>
                            <w:left w:val="none" w:sz="0" w:space="0" w:color="auto"/>
                            <w:bottom w:val="none" w:sz="0" w:space="0" w:color="auto"/>
                            <w:right w:val="none" w:sz="0" w:space="0" w:color="auto"/>
                          </w:divBdr>
                          <w:divsChild>
                            <w:div w:id="313529273">
                              <w:marLeft w:val="375"/>
                              <w:marRight w:val="300"/>
                              <w:marTop w:val="0"/>
                              <w:marBottom w:val="0"/>
                              <w:divBdr>
                                <w:top w:val="none" w:sz="0" w:space="0" w:color="auto"/>
                                <w:left w:val="none" w:sz="0" w:space="0" w:color="auto"/>
                                <w:bottom w:val="none" w:sz="0" w:space="0" w:color="auto"/>
                                <w:right w:val="none" w:sz="0" w:space="0" w:color="auto"/>
                              </w:divBdr>
                              <w:divsChild>
                                <w:div w:id="1840660758">
                                  <w:marLeft w:val="0"/>
                                  <w:marRight w:val="3900"/>
                                  <w:marTop w:val="0"/>
                                  <w:marBottom w:val="0"/>
                                  <w:divBdr>
                                    <w:top w:val="none" w:sz="0" w:space="0" w:color="auto"/>
                                    <w:left w:val="none" w:sz="0" w:space="0" w:color="auto"/>
                                    <w:bottom w:val="none" w:sz="0" w:space="0" w:color="auto"/>
                                    <w:right w:val="none" w:sz="0" w:space="0" w:color="auto"/>
                                  </w:divBdr>
                                  <w:divsChild>
                                    <w:div w:id="576481981">
                                      <w:marLeft w:val="0"/>
                                      <w:marRight w:val="0"/>
                                      <w:marTop w:val="0"/>
                                      <w:marBottom w:val="0"/>
                                      <w:divBdr>
                                        <w:top w:val="none" w:sz="0" w:space="0" w:color="auto"/>
                                        <w:left w:val="none" w:sz="0" w:space="0" w:color="auto"/>
                                        <w:bottom w:val="none" w:sz="0" w:space="0" w:color="auto"/>
                                        <w:right w:val="none" w:sz="0" w:space="0" w:color="auto"/>
                                      </w:divBdr>
                                      <w:divsChild>
                                        <w:div w:id="1235429623">
                                          <w:marLeft w:val="0"/>
                                          <w:marRight w:val="0"/>
                                          <w:marTop w:val="0"/>
                                          <w:marBottom w:val="0"/>
                                          <w:divBdr>
                                            <w:top w:val="none" w:sz="0" w:space="0" w:color="auto"/>
                                            <w:left w:val="none" w:sz="0" w:space="0" w:color="auto"/>
                                            <w:bottom w:val="none" w:sz="0" w:space="0" w:color="auto"/>
                                            <w:right w:val="none" w:sz="0" w:space="0" w:color="auto"/>
                                          </w:divBdr>
                                          <w:divsChild>
                                            <w:div w:id="122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BCEF52195A54E98C3BBB970CCAE75" ma:contentTypeVersion="2" ma:contentTypeDescription="Create a new document." ma:contentTypeScope="" ma:versionID="9a77d81b41f474296fbe0d1554cac56a">
  <xsd:schema xmlns:xsd="http://www.w3.org/2001/XMLSchema" xmlns:xs="http://www.w3.org/2001/XMLSchema" xmlns:p="http://schemas.microsoft.com/office/2006/metadata/properties" xmlns:ns2="2a527dec-6b6f-4d7b-9f6f-447bdb5b7cda" targetNamespace="http://schemas.microsoft.com/office/2006/metadata/properties" ma:root="true" ma:fieldsID="082a0ae61cae42df58642b1cbed072dd" ns2:_="">
    <xsd:import namespace="2a527dec-6b6f-4d7b-9f6f-447bdb5b7cd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27dec-6b6f-4d7b-9f6f-447bdb5b7c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5F36-D1E7-4268-9DF2-57FEA266AA92}">
  <ds:schemaRefs>
    <ds:schemaRef ds:uri="http://schemas.microsoft.com/sharepoint/v3/contenttype/forms"/>
  </ds:schemaRefs>
</ds:datastoreItem>
</file>

<file path=customXml/itemProps2.xml><?xml version="1.0" encoding="utf-8"?>
<ds:datastoreItem xmlns:ds="http://schemas.openxmlformats.org/officeDocument/2006/customXml" ds:itemID="{EE5D335F-0418-407A-A13F-A1D02520CAB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a527dec-6b6f-4d7b-9f6f-447bdb5b7cda"/>
    <ds:schemaRef ds:uri="http://www.w3.org/XML/1998/namespace"/>
  </ds:schemaRefs>
</ds:datastoreItem>
</file>

<file path=customXml/itemProps3.xml><?xml version="1.0" encoding="utf-8"?>
<ds:datastoreItem xmlns:ds="http://schemas.openxmlformats.org/officeDocument/2006/customXml" ds:itemID="{87B88BAE-13A7-4EA5-AB70-157B61B4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27dec-6b6f-4d7b-9f6f-447bdb5b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7DBF8-3EAF-4CDB-B555-85F0F444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17</Pages>
  <Words>5830</Words>
  <Characters>29952</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Promoting Australia as an Attractive Arbitral Hub</vt:lpstr>
    </vt:vector>
  </TitlesOfParts>
  <Company>Department of Justice Victoria</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Australia as an Attractive Arbitral Hub</dc:title>
  <dc:subject/>
  <dc:creator>Karen Salviato</dc:creator>
  <cp:keywords/>
  <cp:lastModifiedBy>Bronwyn Gardiner</cp:lastModifiedBy>
  <cp:revision>158</cp:revision>
  <cp:lastPrinted>2016-02-22T00:57:00Z</cp:lastPrinted>
  <dcterms:created xsi:type="dcterms:W3CDTF">2016-02-21T21:43:00Z</dcterms:created>
  <dcterms:modified xsi:type="dcterms:W3CDTF">2016-03-07T23:06:00Z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0x010100C1FBCEF52195A54E98C3BBB970CCAE75</vt:lpwstr>
  </property>
</Properties>
</file>