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2A8AD" w14:textId="77777777" w:rsidR="00C84BBB" w:rsidRPr="00DC0273" w:rsidRDefault="00C84BBB" w:rsidP="00905BC2">
      <w:pPr>
        <w:spacing w:after="0" w:line="276" w:lineRule="auto"/>
        <w:jc w:val="right"/>
        <w:rPr>
          <w:rFonts w:ascii="Times New Roman" w:eastAsia="Times New Roman" w:hAnsi="Times New Roman" w:cs="Times New Roman"/>
          <w:sz w:val="24"/>
          <w:szCs w:val="24"/>
          <w:lang w:eastAsia="en-AU"/>
        </w:rPr>
      </w:pPr>
    </w:p>
    <w:p w14:paraId="77140ABF" w14:textId="5DED2203" w:rsidR="008E2C58" w:rsidRPr="00DC0273" w:rsidRDefault="00C84BBB" w:rsidP="00905BC2">
      <w:pPr>
        <w:spacing w:after="0" w:line="276" w:lineRule="auto"/>
        <w:jc w:val="center"/>
        <w:rPr>
          <w:rFonts w:ascii="Times New Roman" w:eastAsia="Times New Roman" w:hAnsi="Times New Roman" w:cs="Times New Roman"/>
          <w:b/>
          <w:sz w:val="24"/>
          <w:szCs w:val="24"/>
          <w:lang w:eastAsia="en-AU"/>
        </w:rPr>
      </w:pPr>
      <w:r w:rsidRPr="00DC0273">
        <w:rPr>
          <w:rFonts w:ascii="Times New Roman" w:eastAsia="Times New Roman" w:hAnsi="Times New Roman" w:cs="Times New Roman"/>
          <w:b/>
          <w:sz w:val="24"/>
          <w:szCs w:val="24"/>
          <w:lang w:eastAsia="en-AU"/>
        </w:rPr>
        <w:t>Remarks of the Hon</w:t>
      </w:r>
      <w:r w:rsidR="008E2C58" w:rsidRPr="00DC0273">
        <w:rPr>
          <w:rFonts w:ascii="Times New Roman" w:eastAsia="Times New Roman" w:hAnsi="Times New Roman" w:cs="Times New Roman"/>
          <w:b/>
          <w:sz w:val="24"/>
          <w:szCs w:val="24"/>
          <w:lang w:eastAsia="en-AU"/>
        </w:rPr>
        <w:t xml:space="preserve"> Marilyn Warren AC</w:t>
      </w:r>
    </w:p>
    <w:p w14:paraId="56ED2C15" w14:textId="77777777" w:rsidR="008E2C58" w:rsidRPr="00DC0273" w:rsidRDefault="008E2C58" w:rsidP="00905BC2">
      <w:pPr>
        <w:spacing w:after="0" w:line="276" w:lineRule="auto"/>
        <w:jc w:val="center"/>
        <w:rPr>
          <w:rFonts w:ascii="Times New Roman" w:eastAsia="Times New Roman" w:hAnsi="Times New Roman" w:cs="Times New Roman"/>
          <w:b/>
          <w:sz w:val="24"/>
          <w:szCs w:val="24"/>
          <w:lang w:eastAsia="en-AU"/>
        </w:rPr>
      </w:pPr>
      <w:r w:rsidRPr="00DC0273">
        <w:rPr>
          <w:rFonts w:ascii="Times New Roman" w:eastAsia="Times New Roman" w:hAnsi="Times New Roman" w:cs="Times New Roman"/>
          <w:b/>
          <w:sz w:val="24"/>
          <w:szCs w:val="24"/>
          <w:lang w:eastAsia="en-AU"/>
        </w:rPr>
        <w:t>Chief Justice of the Supreme Court of Victoria</w:t>
      </w:r>
    </w:p>
    <w:p w14:paraId="63C114A4" w14:textId="77777777" w:rsidR="008E2C58" w:rsidRPr="00DC0273" w:rsidRDefault="008E2C58" w:rsidP="00905BC2">
      <w:pPr>
        <w:spacing w:after="0" w:line="276" w:lineRule="auto"/>
        <w:jc w:val="center"/>
        <w:rPr>
          <w:rFonts w:ascii="Times New Roman" w:eastAsia="Times New Roman" w:hAnsi="Times New Roman" w:cs="Times New Roman"/>
          <w:sz w:val="24"/>
          <w:szCs w:val="24"/>
        </w:rPr>
      </w:pPr>
    </w:p>
    <w:p w14:paraId="0141D0D1" w14:textId="77777777" w:rsidR="008E2C58" w:rsidRPr="005163F0" w:rsidRDefault="008E2C58" w:rsidP="00905BC2">
      <w:pPr>
        <w:spacing w:after="0" w:line="276" w:lineRule="auto"/>
        <w:jc w:val="center"/>
        <w:rPr>
          <w:rFonts w:ascii="Times New Roman" w:hAnsi="Times New Roman" w:cs="Times New Roman"/>
          <w:sz w:val="24"/>
          <w:szCs w:val="24"/>
        </w:rPr>
      </w:pPr>
      <w:r w:rsidRPr="005163F0">
        <w:rPr>
          <w:rFonts w:ascii="Times New Roman" w:hAnsi="Times New Roman" w:cs="Times New Roman"/>
          <w:sz w:val="24"/>
          <w:szCs w:val="24"/>
        </w:rPr>
        <w:t xml:space="preserve">Monash University - Australian Centre </w:t>
      </w:r>
      <w:proofErr w:type="gramStart"/>
      <w:r w:rsidRPr="005163F0">
        <w:rPr>
          <w:rFonts w:ascii="Times New Roman" w:hAnsi="Times New Roman" w:cs="Times New Roman"/>
          <w:sz w:val="24"/>
          <w:szCs w:val="24"/>
        </w:rPr>
        <w:t>For</w:t>
      </w:r>
      <w:proofErr w:type="gramEnd"/>
      <w:r w:rsidRPr="005163F0">
        <w:rPr>
          <w:rFonts w:ascii="Times New Roman" w:hAnsi="Times New Roman" w:cs="Times New Roman"/>
          <w:sz w:val="24"/>
          <w:szCs w:val="24"/>
        </w:rPr>
        <w:t xml:space="preserve"> Justice Innovation</w:t>
      </w:r>
    </w:p>
    <w:p w14:paraId="54F4915B" w14:textId="77777777" w:rsidR="008E2C58" w:rsidRPr="005163F0" w:rsidRDefault="008E2C58" w:rsidP="00905BC2">
      <w:pPr>
        <w:spacing w:after="0" w:line="276" w:lineRule="auto"/>
        <w:jc w:val="center"/>
        <w:rPr>
          <w:rFonts w:ascii="Times New Roman" w:hAnsi="Times New Roman" w:cs="Times New Roman"/>
          <w:sz w:val="24"/>
          <w:szCs w:val="24"/>
        </w:rPr>
      </w:pPr>
      <w:r w:rsidRPr="005163F0">
        <w:rPr>
          <w:rFonts w:ascii="Times New Roman" w:hAnsi="Times New Roman" w:cs="Times New Roman"/>
          <w:sz w:val="24"/>
          <w:szCs w:val="24"/>
        </w:rPr>
        <w:t>Wednesday 17 February 2016</w:t>
      </w:r>
    </w:p>
    <w:p w14:paraId="4C81B686" w14:textId="77777777" w:rsidR="00DC0273" w:rsidRPr="00DC0273" w:rsidRDefault="00DC0273" w:rsidP="00905BC2">
      <w:pPr>
        <w:spacing w:after="0" w:line="276" w:lineRule="auto"/>
        <w:jc w:val="center"/>
        <w:rPr>
          <w:rFonts w:ascii="Times New Roman" w:hAnsi="Times New Roman" w:cs="Times New Roman"/>
          <w:sz w:val="24"/>
          <w:szCs w:val="24"/>
        </w:rPr>
      </w:pPr>
    </w:p>
    <w:p w14:paraId="45792913" w14:textId="77777777" w:rsidR="008E2C58" w:rsidRPr="00E02DF3" w:rsidRDefault="008E2C58" w:rsidP="00905BC2">
      <w:pPr>
        <w:spacing w:after="0" w:line="276" w:lineRule="auto"/>
        <w:jc w:val="center"/>
        <w:rPr>
          <w:rFonts w:ascii="Times New Roman" w:hAnsi="Times New Roman" w:cs="Times New Roman"/>
          <w:b/>
          <w:sz w:val="24"/>
          <w:szCs w:val="24"/>
        </w:rPr>
      </w:pPr>
      <w:r w:rsidRPr="00E02DF3">
        <w:rPr>
          <w:rFonts w:ascii="Times New Roman" w:hAnsi="Times New Roman" w:cs="Times New Roman"/>
          <w:b/>
          <w:sz w:val="24"/>
          <w:szCs w:val="24"/>
        </w:rPr>
        <w:t>The Future of Civil Procedure: Innovation and Inertia</w:t>
      </w:r>
    </w:p>
    <w:p w14:paraId="54299B1D" w14:textId="77777777" w:rsidR="008E2C58" w:rsidRPr="00DC0273" w:rsidRDefault="008E2C58" w:rsidP="00905BC2">
      <w:pPr>
        <w:spacing w:after="0" w:line="276" w:lineRule="auto"/>
        <w:jc w:val="both"/>
        <w:rPr>
          <w:rFonts w:ascii="Times New Roman" w:hAnsi="Times New Roman" w:cs="Times New Roman"/>
          <w:sz w:val="24"/>
          <w:szCs w:val="24"/>
        </w:rPr>
      </w:pPr>
    </w:p>
    <w:p w14:paraId="6EA69421" w14:textId="77777777" w:rsidR="008E2C58" w:rsidRPr="00DC0273" w:rsidRDefault="008E2C58" w:rsidP="00905BC2">
      <w:pPr>
        <w:spacing w:after="0" w:line="276" w:lineRule="auto"/>
        <w:ind w:firstLine="720"/>
        <w:jc w:val="both"/>
        <w:rPr>
          <w:rFonts w:ascii="Times New Roman" w:hAnsi="Times New Roman" w:cs="Times New Roman"/>
          <w:sz w:val="24"/>
          <w:szCs w:val="24"/>
        </w:rPr>
      </w:pPr>
    </w:p>
    <w:p w14:paraId="078DBB70" w14:textId="380891F8" w:rsidR="00254CED" w:rsidRPr="00DC0273" w:rsidRDefault="00254CE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This morning I will provide an overview of current developments in civil litigation, with a particular Victorian focus.  For over 20 years now, the area of civil litigation reform has been dominated by reports coming out of England, the most recent being the </w:t>
      </w:r>
      <w:r w:rsidRPr="00DC0273">
        <w:rPr>
          <w:rFonts w:ascii="Times New Roman" w:hAnsi="Times New Roman" w:cs="Times New Roman"/>
          <w:i/>
          <w:sz w:val="24"/>
          <w:szCs w:val="24"/>
        </w:rPr>
        <w:t>Civil Court Structure Review Interim Report</w:t>
      </w:r>
      <w:r w:rsidRPr="00DC0273">
        <w:rPr>
          <w:rFonts w:ascii="Times New Roman" w:hAnsi="Times New Roman" w:cs="Times New Roman"/>
          <w:sz w:val="24"/>
          <w:szCs w:val="24"/>
        </w:rPr>
        <w:t xml:space="preserve"> by </w:t>
      </w:r>
      <w:r w:rsidR="009A63F7" w:rsidRPr="00DC0273">
        <w:rPr>
          <w:rFonts w:ascii="Times New Roman" w:hAnsi="Times New Roman" w:cs="Times New Roman"/>
          <w:sz w:val="24"/>
          <w:szCs w:val="24"/>
        </w:rPr>
        <w:t xml:space="preserve">Lord Justice </w:t>
      </w:r>
      <w:r w:rsidRPr="00DC0273">
        <w:rPr>
          <w:rFonts w:ascii="Times New Roman" w:hAnsi="Times New Roman" w:cs="Times New Roman"/>
          <w:sz w:val="24"/>
          <w:szCs w:val="24"/>
        </w:rPr>
        <w:t>Briggs</w:t>
      </w:r>
      <w:r w:rsidR="0016316C" w:rsidRPr="00DC0273">
        <w:rPr>
          <w:rStyle w:val="FootnoteReference"/>
          <w:rFonts w:ascii="Times New Roman" w:hAnsi="Times New Roman" w:cs="Times New Roman"/>
          <w:sz w:val="24"/>
          <w:szCs w:val="24"/>
        </w:rPr>
        <w:footnoteReference w:id="1"/>
      </w:r>
      <w:r w:rsidRPr="00DC0273">
        <w:rPr>
          <w:rFonts w:ascii="Times New Roman" w:hAnsi="Times New Roman" w:cs="Times New Roman"/>
          <w:sz w:val="24"/>
          <w:szCs w:val="24"/>
        </w:rPr>
        <w:t xml:space="preserve"> </w:t>
      </w:r>
      <w:r w:rsidR="009A63F7" w:rsidRPr="00DC0273">
        <w:rPr>
          <w:rFonts w:ascii="Times New Roman" w:hAnsi="Times New Roman" w:cs="Times New Roman"/>
          <w:sz w:val="24"/>
          <w:szCs w:val="24"/>
        </w:rPr>
        <w:t xml:space="preserve">in </w:t>
      </w:r>
      <w:r w:rsidRPr="00DC0273">
        <w:rPr>
          <w:rFonts w:ascii="Times New Roman" w:hAnsi="Times New Roman" w:cs="Times New Roman"/>
          <w:sz w:val="24"/>
          <w:szCs w:val="24"/>
        </w:rPr>
        <w:t>December 2015.  In that report, the Lord Justice refers back to and draws from the earlier reports and reforms of Lord Wo</w:t>
      </w:r>
      <w:r w:rsidR="006063B1" w:rsidRPr="00DC0273">
        <w:rPr>
          <w:rFonts w:ascii="Times New Roman" w:hAnsi="Times New Roman" w:cs="Times New Roman"/>
          <w:sz w:val="24"/>
          <w:szCs w:val="24"/>
        </w:rPr>
        <w:t>olf</w:t>
      </w:r>
      <w:r w:rsidRPr="00DC0273">
        <w:rPr>
          <w:rFonts w:ascii="Times New Roman" w:hAnsi="Times New Roman" w:cs="Times New Roman"/>
          <w:sz w:val="24"/>
          <w:szCs w:val="24"/>
        </w:rPr>
        <w:t xml:space="preserve"> on civil justice</w:t>
      </w:r>
      <w:r w:rsidR="0016316C" w:rsidRPr="00DC0273">
        <w:rPr>
          <w:rStyle w:val="FootnoteReference"/>
          <w:rFonts w:ascii="Times New Roman" w:hAnsi="Times New Roman" w:cs="Times New Roman"/>
          <w:sz w:val="24"/>
          <w:szCs w:val="24"/>
        </w:rPr>
        <w:footnoteReference w:id="2"/>
      </w:r>
      <w:r w:rsidRPr="00DC0273">
        <w:rPr>
          <w:rFonts w:ascii="Times New Roman" w:hAnsi="Times New Roman" w:cs="Times New Roman"/>
          <w:sz w:val="24"/>
          <w:szCs w:val="24"/>
        </w:rPr>
        <w:t xml:space="preserve"> and Lord Jackson on costs reform.</w:t>
      </w:r>
      <w:r w:rsidR="0016316C" w:rsidRPr="00DC0273">
        <w:rPr>
          <w:rStyle w:val="FootnoteReference"/>
          <w:rFonts w:ascii="Times New Roman" w:hAnsi="Times New Roman" w:cs="Times New Roman"/>
          <w:sz w:val="24"/>
          <w:szCs w:val="24"/>
        </w:rPr>
        <w:footnoteReference w:id="3"/>
      </w:r>
    </w:p>
    <w:p w14:paraId="635C7E7E" w14:textId="77777777" w:rsidR="008E2C58" w:rsidRPr="00DC0273" w:rsidRDefault="008E2C58" w:rsidP="00905BC2">
      <w:pPr>
        <w:spacing w:after="0" w:line="276" w:lineRule="auto"/>
        <w:jc w:val="both"/>
        <w:rPr>
          <w:rFonts w:ascii="Times New Roman" w:hAnsi="Times New Roman" w:cs="Times New Roman"/>
          <w:sz w:val="24"/>
          <w:szCs w:val="24"/>
        </w:rPr>
      </w:pPr>
    </w:p>
    <w:p w14:paraId="6E6D9A90" w14:textId="44A12F8D" w:rsidR="00254CED" w:rsidRPr="00DC0273" w:rsidRDefault="00254CE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However, it is sometimes forgotten that Australia – and I would suggest to a considerable extent, Victoria – has been </w:t>
      </w:r>
      <w:r w:rsidR="009A63F7" w:rsidRPr="00DC0273">
        <w:rPr>
          <w:rFonts w:ascii="Times New Roman" w:hAnsi="Times New Roman" w:cs="Times New Roman"/>
          <w:sz w:val="24"/>
          <w:szCs w:val="24"/>
        </w:rPr>
        <w:t>a</w:t>
      </w:r>
      <w:r w:rsidRPr="00DC0273">
        <w:rPr>
          <w:rFonts w:ascii="Times New Roman" w:hAnsi="Times New Roman" w:cs="Times New Roman"/>
          <w:sz w:val="24"/>
          <w:szCs w:val="24"/>
        </w:rPr>
        <w:t xml:space="preserve"> leader in civil justice reform and innovation.  We need </w:t>
      </w:r>
      <w:r w:rsidR="006063B1" w:rsidRPr="00DC0273">
        <w:rPr>
          <w:rFonts w:ascii="Times New Roman" w:hAnsi="Times New Roman" w:cs="Times New Roman"/>
          <w:sz w:val="24"/>
          <w:szCs w:val="24"/>
        </w:rPr>
        <w:t>only recall that when Lord Woolf</w:t>
      </w:r>
      <w:r w:rsidRPr="00DC0273">
        <w:rPr>
          <w:rFonts w:ascii="Times New Roman" w:hAnsi="Times New Roman" w:cs="Times New Roman"/>
          <w:sz w:val="24"/>
          <w:szCs w:val="24"/>
        </w:rPr>
        <w:t xml:space="preserve"> was researching his reforms, he came to Australia and spent time studying the then </w:t>
      </w:r>
      <w:r w:rsidR="009A63F7" w:rsidRPr="00DC0273">
        <w:rPr>
          <w:rFonts w:ascii="Times New Roman" w:hAnsi="Times New Roman" w:cs="Times New Roman"/>
          <w:sz w:val="24"/>
          <w:szCs w:val="24"/>
        </w:rPr>
        <w:t>expedited</w:t>
      </w:r>
      <w:r w:rsidR="008E2C58"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Commercial List </w:t>
      </w:r>
      <w:r w:rsidR="008E2C58" w:rsidRPr="00DC0273">
        <w:rPr>
          <w:rFonts w:ascii="Times New Roman" w:hAnsi="Times New Roman" w:cs="Times New Roman"/>
          <w:sz w:val="24"/>
          <w:szCs w:val="24"/>
        </w:rPr>
        <w:t>procedures</w:t>
      </w:r>
      <w:r w:rsidRPr="00DC0273">
        <w:rPr>
          <w:rFonts w:ascii="Times New Roman" w:hAnsi="Times New Roman" w:cs="Times New Roman"/>
          <w:sz w:val="24"/>
          <w:szCs w:val="24"/>
        </w:rPr>
        <w:t xml:space="preserve"> in the Supreme Court of Victoria.  M</w:t>
      </w:r>
      <w:r w:rsidR="008E2C58" w:rsidRPr="00DC0273">
        <w:rPr>
          <w:rFonts w:ascii="Times New Roman" w:hAnsi="Times New Roman" w:cs="Times New Roman"/>
          <w:sz w:val="24"/>
          <w:szCs w:val="24"/>
        </w:rPr>
        <w:t>any of the practices from that l</w:t>
      </w:r>
      <w:r w:rsidRPr="00DC0273">
        <w:rPr>
          <w:rFonts w:ascii="Times New Roman" w:hAnsi="Times New Roman" w:cs="Times New Roman"/>
          <w:sz w:val="24"/>
          <w:szCs w:val="24"/>
        </w:rPr>
        <w:t>ist were later developed in Lord Wo</w:t>
      </w:r>
      <w:r w:rsidR="006063B1" w:rsidRPr="00DC0273">
        <w:rPr>
          <w:rFonts w:ascii="Times New Roman" w:hAnsi="Times New Roman" w:cs="Times New Roman"/>
          <w:sz w:val="24"/>
          <w:szCs w:val="24"/>
        </w:rPr>
        <w:t>olf</w:t>
      </w:r>
      <w:r w:rsidRPr="00DC0273">
        <w:rPr>
          <w:rFonts w:ascii="Times New Roman" w:hAnsi="Times New Roman" w:cs="Times New Roman"/>
          <w:sz w:val="24"/>
          <w:szCs w:val="24"/>
        </w:rPr>
        <w:t>’s reforms.</w:t>
      </w:r>
    </w:p>
    <w:p w14:paraId="7DCF6AA3" w14:textId="77777777" w:rsidR="008E2C58" w:rsidRPr="00DC0273" w:rsidRDefault="008E2C58" w:rsidP="00905BC2">
      <w:pPr>
        <w:spacing w:after="0" w:line="276" w:lineRule="auto"/>
        <w:ind w:firstLine="720"/>
        <w:jc w:val="both"/>
        <w:rPr>
          <w:rFonts w:ascii="Times New Roman" w:hAnsi="Times New Roman" w:cs="Times New Roman"/>
          <w:sz w:val="24"/>
          <w:szCs w:val="24"/>
        </w:rPr>
      </w:pPr>
    </w:p>
    <w:p w14:paraId="193AF7D0" w14:textId="6F8F5C8E" w:rsidR="00254CED" w:rsidRPr="00DC0273" w:rsidRDefault="00254CE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When </w:t>
      </w:r>
      <w:r w:rsidR="009A63F7" w:rsidRPr="00DC0273">
        <w:rPr>
          <w:rFonts w:ascii="Times New Roman" w:hAnsi="Times New Roman" w:cs="Times New Roman"/>
          <w:sz w:val="24"/>
          <w:szCs w:val="24"/>
        </w:rPr>
        <w:t xml:space="preserve">Lord </w:t>
      </w:r>
      <w:r w:rsidRPr="00DC0273">
        <w:rPr>
          <w:rFonts w:ascii="Times New Roman" w:hAnsi="Times New Roman" w:cs="Times New Roman"/>
          <w:sz w:val="24"/>
          <w:szCs w:val="24"/>
        </w:rPr>
        <w:t>Jackson was researching his reforms, he came to Australia on a study tour; he spent time with the Cost</w:t>
      </w:r>
      <w:r w:rsidR="009A63F7" w:rsidRPr="00DC0273">
        <w:rPr>
          <w:rFonts w:ascii="Times New Roman" w:hAnsi="Times New Roman" w:cs="Times New Roman"/>
          <w:sz w:val="24"/>
          <w:szCs w:val="24"/>
        </w:rPr>
        <w:t>s</w:t>
      </w:r>
      <w:r w:rsidRPr="00DC0273">
        <w:rPr>
          <w:rFonts w:ascii="Times New Roman" w:hAnsi="Times New Roman" w:cs="Times New Roman"/>
          <w:sz w:val="24"/>
          <w:szCs w:val="24"/>
        </w:rPr>
        <w:t xml:space="preserve"> Judge in the Victorian Supreme Court, learning about our approach to costs in civil litigation.</w:t>
      </w:r>
    </w:p>
    <w:p w14:paraId="06419F23" w14:textId="77777777" w:rsidR="008E2C58" w:rsidRPr="00DC0273" w:rsidRDefault="008E2C58" w:rsidP="00905BC2">
      <w:pPr>
        <w:spacing w:after="0" w:line="276" w:lineRule="auto"/>
        <w:ind w:firstLine="720"/>
        <w:jc w:val="both"/>
        <w:rPr>
          <w:rFonts w:ascii="Times New Roman" w:hAnsi="Times New Roman" w:cs="Times New Roman"/>
          <w:sz w:val="24"/>
          <w:szCs w:val="24"/>
        </w:rPr>
      </w:pPr>
    </w:p>
    <w:p w14:paraId="69DEB0F0" w14:textId="3B25FE00" w:rsidR="009A63F7" w:rsidRPr="00DC0273" w:rsidRDefault="006E4087"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w:t>
      </w:r>
      <w:r w:rsidR="00254CED" w:rsidRPr="00DC0273">
        <w:rPr>
          <w:rFonts w:ascii="Times New Roman" w:hAnsi="Times New Roman" w:cs="Times New Roman"/>
          <w:sz w:val="24"/>
          <w:szCs w:val="24"/>
        </w:rPr>
        <w:t xml:space="preserve">here have been significant reports published in Australia, but with perhaps a little less fanfare than the English reports.  For example, the Australian Law Reform Commission Report on </w:t>
      </w:r>
      <w:r w:rsidR="00254CED" w:rsidRPr="00DC0273">
        <w:rPr>
          <w:rFonts w:ascii="Times New Roman" w:hAnsi="Times New Roman" w:cs="Times New Roman"/>
          <w:i/>
          <w:sz w:val="24"/>
          <w:szCs w:val="24"/>
        </w:rPr>
        <w:t>Discovery of Documents in Federal Courts</w:t>
      </w:r>
      <w:r w:rsidR="00254CED" w:rsidRPr="00DC0273">
        <w:rPr>
          <w:rFonts w:ascii="Times New Roman" w:hAnsi="Times New Roman" w:cs="Times New Roman"/>
          <w:sz w:val="24"/>
          <w:szCs w:val="24"/>
        </w:rPr>
        <w:t xml:space="preserve"> in March 2011.</w:t>
      </w:r>
      <w:r w:rsidR="00675C20" w:rsidRPr="00DC0273">
        <w:rPr>
          <w:rStyle w:val="FootnoteReference"/>
          <w:rFonts w:ascii="Times New Roman" w:hAnsi="Times New Roman" w:cs="Times New Roman"/>
          <w:sz w:val="24"/>
          <w:szCs w:val="24"/>
        </w:rPr>
        <w:footnoteReference w:id="4"/>
      </w:r>
      <w:r w:rsidR="00254CED" w:rsidRPr="00DC0273">
        <w:rPr>
          <w:rFonts w:ascii="Times New Roman" w:hAnsi="Times New Roman" w:cs="Times New Roman"/>
          <w:sz w:val="24"/>
          <w:szCs w:val="24"/>
        </w:rPr>
        <w:t xml:space="preserve">  There was the very significant Victorian Law Reform Commission Report on </w:t>
      </w:r>
      <w:r w:rsidR="00254CED" w:rsidRPr="00DC0273">
        <w:rPr>
          <w:rFonts w:ascii="Times New Roman" w:hAnsi="Times New Roman" w:cs="Times New Roman"/>
          <w:i/>
          <w:sz w:val="24"/>
          <w:szCs w:val="24"/>
        </w:rPr>
        <w:t>Civil Justice</w:t>
      </w:r>
      <w:r w:rsidR="00254CED" w:rsidRPr="00DC0273">
        <w:rPr>
          <w:rFonts w:ascii="Times New Roman" w:hAnsi="Times New Roman" w:cs="Times New Roman"/>
          <w:sz w:val="24"/>
          <w:szCs w:val="24"/>
        </w:rPr>
        <w:t xml:space="preserve"> led by Professor Cashman.</w:t>
      </w:r>
      <w:r w:rsidR="00675C20" w:rsidRPr="00DC0273">
        <w:rPr>
          <w:rStyle w:val="FootnoteReference"/>
          <w:rFonts w:ascii="Times New Roman" w:hAnsi="Times New Roman" w:cs="Times New Roman"/>
          <w:sz w:val="24"/>
          <w:szCs w:val="24"/>
        </w:rPr>
        <w:footnoteReference w:id="5"/>
      </w:r>
      <w:r w:rsidR="00254CED" w:rsidRPr="00DC0273">
        <w:rPr>
          <w:rFonts w:ascii="Times New Roman" w:hAnsi="Times New Roman" w:cs="Times New Roman"/>
          <w:sz w:val="24"/>
          <w:szCs w:val="24"/>
        </w:rPr>
        <w:t xml:space="preserve">  This report resulted in the introduction of the </w:t>
      </w:r>
      <w:r w:rsidR="00254CED" w:rsidRPr="00DC0273">
        <w:rPr>
          <w:rFonts w:ascii="Times New Roman" w:hAnsi="Times New Roman" w:cs="Times New Roman"/>
          <w:i/>
          <w:sz w:val="24"/>
          <w:szCs w:val="24"/>
        </w:rPr>
        <w:t>Civil Procedure Act</w:t>
      </w:r>
      <w:r w:rsidR="00254CED" w:rsidRPr="00DC0273">
        <w:rPr>
          <w:rFonts w:ascii="Times New Roman" w:hAnsi="Times New Roman" w:cs="Times New Roman"/>
          <w:sz w:val="24"/>
          <w:szCs w:val="24"/>
        </w:rPr>
        <w:t>, which I will suggest later has had a seismic i</w:t>
      </w:r>
      <w:r w:rsidR="0099208D" w:rsidRPr="00DC0273">
        <w:rPr>
          <w:rFonts w:ascii="Times New Roman" w:hAnsi="Times New Roman" w:cs="Times New Roman"/>
          <w:sz w:val="24"/>
          <w:szCs w:val="24"/>
        </w:rPr>
        <w:t>mpact on Victorian litigation.</w:t>
      </w:r>
      <w:r w:rsidR="008E2C58" w:rsidRPr="00DC0273">
        <w:rPr>
          <w:rFonts w:ascii="Times New Roman" w:hAnsi="Times New Roman" w:cs="Times New Roman"/>
          <w:sz w:val="24"/>
          <w:szCs w:val="24"/>
        </w:rPr>
        <w:t xml:space="preserve">  </w:t>
      </w:r>
    </w:p>
    <w:p w14:paraId="7F27B4CA" w14:textId="77777777" w:rsidR="009A63F7" w:rsidRPr="00DC0273" w:rsidRDefault="009A63F7" w:rsidP="00905BC2">
      <w:pPr>
        <w:spacing w:after="0" w:line="276" w:lineRule="auto"/>
        <w:ind w:firstLine="720"/>
        <w:jc w:val="both"/>
        <w:rPr>
          <w:rFonts w:ascii="Times New Roman" w:hAnsi="Times New Roman" w:cs="Times New Roman"/>
          <w:sz w:val="24"/>
          <w:szCs w:val="24"/>
        </w:rPr>
      </w:pPr>
    </w:p>
    <w:p w14:paraId="04505B96" w14:textId="7D3501E7" w:rsidR="00254CED" w:rsidRPr="00DC0273" w:rsidRDefault="00254CE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More recently, there has been the Productivity Commission Report on </w:t>
      </w:r>
      <w:r w:rsidRPr="00DC0273">
        <w:rPr>
          <w:rFonts w:ascii="Times New Roman" w:hAnsi="Times New Roman" w:cs="Times New Roman"/>
          <w:i/>
          <w:sz w:val="24"/>
          <w:szCs w:val="24"/>
        </w:rPr>
        <w:t>Access to Justice</w:t>
      </w:r>
      <w:r w:rsidRPr="00DC0273">
        <w:rPr>
          <w:rFonts w:ascii="Times New Roman" w:hAnsi="Times New Roman" w:cs="Times New Roman"/>
          <w:sz w:val="24"/>
          <w:szCs w:val="24"/>
        </w:rPr>
        <w:t xml:space="preserve">.  At present in Victoria, the </w:t>
      </w:r>
      <w:r w:rsidR="009A63F7" w:rsidRPr="00DC0273">
        <w:rPr>
          <w:rFonts w:ascii="Times New Roman" w:hAnsi="Times New Roman" w:cs="Times New Roman"/>
          <w:sz w:val="24"/>
          <w:szCs w:val="24"/>
        </w:rPr>
        <w:t xml:space="preserve">Victorian </w:t>
      </w:r>
      <w:r w:rsidRPr="00DC0273">
        <w:rPr>
          <w:rFonts w:ascii="Times New Roman" w:hAnsi="Times New Roman" w:cs="Times New Roman"/>
          <w:sz w:val="24"/>
          <w:szCs w:val="24"/>
        </w:rPr>
        <w:t xml:space="preserve">Attorney-General has </w:t>
      </w:r>
      <w:r w:rsidR="006063B1" w:rsidRPr="00DC0273">
        <w:rPr>
          <w:rFonts w:ascii="Times New Roman" w:hAnsi="Times New Roman" w:cs="Times New Roman"/>
          <w:sz w:val="24"/>
          <w:szCs w:val="24"/>
        </w:rPr>
        <w:t>asked</w:t>
      </w:r>
      <w:r w:rsidRPr="00DC0273">
        <w:rPr>
          <w:rFonts w:ascii="Times New Roman" w:hAnsi="Times New Roman" w:cs="Times New Roman"/>
          <w:sz w:val="24"/>
          <w:szCs w:val="24"/>
        </w:rPr>
        <w:t xml:space="preserve"> the Department of Justice and Regulation to conduct a review of civil litigation to identify reforms and recommendations to pick up the proposals contained in the Productivity Commission Report.  Consultation is underway.</w:t>
      </w:r>
      <w:r w:rsidR="0099208D"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With respect to the Productivity Commission Report itself, ultimately, it had a </w:t>
      </w:r>
      <w:r w:rsidR="009A63F7" w:rsidRPr="00DC0273">
        <w:rPr>
          <w:rFonts w:ascii="Times New Roman" w:hAnsi="Times New Roman" w:cs="Times New Roman"/>
          <w:sz w:val="24"/>
          <w:szCs w:val="24"/>
        </w:rPr>
        <w:t>f</w:t>
      </w:r>
      <w:r w:rsidRPr="00DC0273">
        <w:rPr>
          <w:rFonts w:ascii="Times New Roman" w:hAnsi="Times New Roman" w:cs="Times New Roman"/>
          <w:sz w:val="24"/>
          <w:szCs w:val="24"/>
        </w:rPr>
        <w:t xml:space="preserve">ederal focus.  However, it drew from the </w:t>
      </w:r>
      <w:r w:rsidR="009A63F7" w:rsidRPr="00DC0273">
        <w:rPr>
          <w:rFonts w:ascii="Times New Roman" w:hAnsi="Times New Roman" w:cs="Times New Roman"/>
          <w:sz w:val="24"/>
          <w:szCs w:val="24"/>
        </w:rPr>
        <w:t xml:space="preserve">Victorian </w:t>
      </w:r>
      <w:r w:rsidRPr="00DC0273">
        <w:rPr>
          <w:rFonts w:ascii="Times New Roman" w:hAnsi="Times New Roman" w:cs="Times New Roman"/>
          <w:sz w:val="24"/>
          <w:szCs w:val="24"/>
        </w:rPr>
        <w:t xml:space="preserve">civil experience and made many recommendations that are </w:t>
      </w:r>
      <w:r w:rsidR="009A63F7" w:rsidRPr="00DC0273">
        <w:rPr>
          <w:rFonts w:ascii="Times New Roman" w:hAnsi="Times New Roman" w:cs="Times New Roman"/>
          <w:sz w:val="24"/>
          <w:szCs w:val="24"/>
        </w:rPr>
        <w:t xml:space="preserve">already </w:t>
      </w:r>
      <w:r w:rsidRPr="00DC0273">
        <w:rPr>
          <w:rFonts w:ascii="Times New Roman" w:hAnsi="Times New Roman" w:cs="Times New Roman"/>
          <w:sz w:val="24"/>
          <w:szCs w:val="24"/>
        </w:rPr>
        <w:t>in place</w:t>
      </w:r>
      <w:r w:rsidR="009A63F7" w:rsidRPr="00DC0273">
        <w:rPr>
          <w:rFonts w:ascii="Times New Roman" w:hAnsi="Times New Roman" w:cs="Times New Roman"/>
          <w:sz w:val="24"/>
          <w:szCs w:val="24"/>
        </w:rPr>
        <w:t xml:space="preserve"> </w:t>
      </w:r>
      <w:r w:rsidRPr="00DC0273">
        <w:rPr>
          <w:rFonts w:ascii="Times New Roman" w:hAnsi="Times New Roman" w:cs="Times New Roman"/>
          <w:sz w:val="24"/>
          <w:szCs w:val="24"/>
        </w:rPr>
        <w:t>here in Victoria.</w:t>
      </w:r>
    </w:p>
    <w:p w14:paraId="19D64BF5" w14:textId="77777777" w:rsidR="008E2C58" w:rsidRPr="00DC0273" w:rsidRDefault="008E2C58" w:rsidP="00905BC2">
      <w:pPr>
        <w:spacing w:after="0" w:line="276" w:lineRule="auto"/>
        <w:ind w:firstLine="720"/>
        <w:jc w:val="both"/>
        <w:rPr>
          <w:rFonts w:ascii="Times New Roman" w:hAnsi="Times New Roman" w:cs="Times New Roman"/>
          <w:sz w:val="24"/>
          <w:szCs w:val="24"/>
        </w:rPr>
      </w:pPr>
    </w:p>
    <w:p w14:paraId="4D2CADE6" w14:textId="1C55B4B2" w:rsidR="0099208D" w:rsidRPr="00DC0273" w:rsidRDefault="0099208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So now to the overview.  In doing so, I will, as indicated, focus on the Victorian experience, particularly the Supreme Court of Victoria.  However, I note that there ha</w:t>
      </w:r>
      <w:r w:rsidR="009A63F7" w:rsidRPr="00DC0273">
        <w:rPr>
          <w:rFonts w:ascii="Times New Roman" w:hAnsi="Times New Roman" w:cs="Times New Roman"/>
          <w:sz w:val="24"/>
          <w:szCs w:val="24"/>
        </w:rPr>
        <w:t>ve</w:t>
      </w:r>
      <w:r w:rsidRPr="00DC0273">
        <w:rPr>
          <w:rFonts w:ascii="Times New Roman" w:hAnsi="Times New Roman" w:cs="Times New Roman"/>
          <w:sz w:val="24"/>
          <w:szCs w:val="24"/>
        </w:rPr>
        <w:t xml:space="preserve"> been important civil reforms in civil litigation in the Federal sector.  I refer in par</w:t>
      </w:r>
      <w:r w:rsidR="00B70E55" w:rsidRPr="00DC0273">
        <w:rPr>
          <w:rFonts w:ascii="Times New Roman" w:hAnsi="Times New Roman" w:cs="Times New Roman"/>
          <w:sz w:val="24"/>
          <w:szCs w:val="24"/>
        </w:rPr>
        <w:t xml:space="preserve">ticular to the Federal Court’s </w:t>
      </w:r>
      <w:r w:rsidR="00B70E55" w:rsidRPr="00DC0273">
        <w:rPr>
          <w:rFonts w:ascii="Times New Roman" w:hAnsi="Times New Roman" w:cs="Times New Roman"/>
          <w:i/>
          <w:sz w:val="24"/>
          <w:szCs w:val="24"/>
        </w:rPr>
        <w:t>D</w:t>
      </w:r>
      <w:r w:rsidRPr="00DC0273">
        <w:rPr>
          <w:rFonts w:ascii="Times New Roman" w:hAnsi="Times New Roman" w:cs="Times New Roman"/>
          <w:i/>
          <w:sz w:val="24"/>
          <w:szCs w:val="24"/>
        </w:rPr>
        <w:t>raft Practice Note on the National Court Framework and Case Management</w:t>
      </w:r>
      <w:r w:rsidRPr="00DC0273">
        <w:rPr>
          <w:rFonts w:ascii="Times New Roman" w:hAnsi="Times New Roman" w:cs="Times New Roman"/>
          <w:sz w:val="24"/>
          <w:szCs w:val="24"/>
        </w:rPr>
        <w:t>,</w:t>
      </w:r>
      <w:r w:rsidR="00675C20" w:rsidRPr="00DC0273">
        <w:rPr>
          <w:rStyle w:val="FootnoteReference"/>
          <w:rFonts w:ascii="Times New Roman" w:hAnsi="Times New Roman" w:cs="Times New Roman"/>
          <w:sz w:val="24"/>
          <w:szCs w:val="24"/>
        </w:rPr>
        <w:footnoteReference w:id="6"/>
      </w:r>
      <w:r w:rsidR="00B70E55" w:rsidRPr="00DC0273">
        <w:rPr>
          <w:rFonts w:ascii="Times New Roman" w:hAnsi="Times New Roman" w:cs="Times New Roman"/>
          <w:sz w:val="24"/>
          <w:szCs w:val="24"/>
        </w:rPr>
        <w:t xml:space="preserve"> and also that Court’s </w:t>
      </w:r>
      <w:r w:rsidR="00B70E55" w:rsidRPr="00DC0273">
        <w:rPr>
          <w:rFonts w:ascii="Times New Roman" w:hAnsi="Times New Roman" w:cs="Times New Roman"/>
          <w:i/>
          <w:sz w:val="24"/>
          <w:szCs w:val="24"/>
        </w:rPr>
        <w:t>D</w:t>
      </w:r>
      <w:r w:rsidRPr="00DC0273">
        <w:rPr>
          <w:rFonts w:ascii="Times New Roman" w:hAnsi="Times New Roman" w:cs="Times New Roman"/>
          <w:i/>
          <w:sz w:val="24"/>
          <w:szCs w:val="24"/>
        </w:rPr>
        <w:t xml:space="preserve">raft Practice Note on Commercial and </w:t>
      </w:r>
      <w:r w:rsidR="00675C20" w:rsidRPr="00DC0273">
        <w:rPr>
          <w:rFonts w:ascii="Times New Roman" w:hAnsi="Times New Roman" w:cs="Times New Roman"/>
          <w:i/>
          <w:sz w:val="24"/>
          <w:szCs w:val="24"/>
        </w:rPr>
        <w:t>Corporations National Practice A</w:t>
      </w:r>
      <w:r w:rsidRPr="00DC0273">
        <w:rPr>
          <w:rFonts w:ascii="Times New Roman" w:hAnsi="Times New Roman" w:cs="Times New Roman"/>
          <w:i/>
          <w:sz w:val="24"/>
          <w:szCs w:val="24"/>
        </w:rPr>
        <w:t>rea</w:t>
      </w:r>
      <w:r w:rsidR="00675C20" w:rsidRPr="00DC0273">
        <w:rPr>
          <w:rFonts w:ascii="Times New Roman" w:hAnsi="Times New Roman" w:cs="Times New Roman"/>
          <w:i/>
          <w:sz w:val="24"/>
          <w:szCs w:val="24"/>
        </w:rPr>
        <w:t>s</w:t>
      </w:r>
      <w:r w:rsidR="00675C20" w:rsidRPr="00DC0273">
        <w:rPr>
          <w:rStyle w:val="FootnoteReference"/>
          <w:rFonts w:ascii="Times New Roman" w:hAnsi="Times New Roman" w:cs="Times New Roman"/>
          <w:sz w:val="24"/>
          <w:szCs w:val="24"/>
        </w:rPr>
        <w:footnoteReference w:id="7"/>
      </w:r>
      <w:r w:rsidRPr="00DC0273">
        <w:rPr>
          <w:rFonts w:ascii="Times New Roman" w:hAnsi="Times New Roman" w:cs="Times New Roman"/>
          <w:sz w:val="24"/>
          <w:szCs w:val="24"/>
        </w:rPr>
        <w:t xml:space="preserve"> and, in addition, </w:t>
      </w:r>
      <w:r w:rsidR="009A63F7" w:rsidRPr="00DC0273">
        <w:rPr>
          <w:rFonts w:ascii="Times New Roman" w:hAnsi="Times New Roman" w:cs="Times New Roman"/>
          <w:sz w:val="24"/>
          <w:szCs w:val="24"/>
        </w:rPr>
        <w:t xml:space="preserve">the </w:t>
      </w:r>
      <w:r w:rsidRPr="00DC0273">
        <w:rPr>
          <w:rFonts w:ascii="Times New Roman" w:hAnsi="Times New Roman" w:cs="Times New Roman"/>
          <w:sz w:val="24"/>
          <w:szCs w:val="24"/>
        </w:rPr>
        <w:t xml:space="preserve">revised Practice Note with respect to </w:t>
      </w:r>
      <w:r w:rsidR="009A63F7" w:rsidRPr="00DC0273">
        <w:rPr>
          <w:rFonts w:ascii="Times New Roman" w:hAnsi="Times New Roman" w:cs="Times New Roman"/>
          <w:sz w:val="24"/>
          <w:szCs w:val="24"/>
        </w:rPr>
        <w:t>C</w:t>
      </w:r>
      <w:r w:rsidRPr="00DC0273">
        <w:rPr>
          <w:rFonts w:ascii="Times New Roman" w:hAnsi="Times New Roman" w:cs="Times New Roman"/>
          <w:sz w:val="24"/>
          <w:szCs w:val="24"/>
        </w:rPr>
        <w:t xml:space="preserve">lass </w:t>
      </w:r>
      <w:r w:rsidR="009A63F7" w:rsidRPr="00DC0273">
        <w:rPr>
          <w:rFonts w:ascii="Times New Roman" w:hAnsi="Times New Roman" w:cs="Times New Roman"/>
          <w:sz w:val="24"/>
          <w:szCs w:val="24"/>
        </w:rPr>
        <w:t>A</w:t>
      </w:r>
      <w:r w:rsidRPr="00DC0273">
        <w:rPr>
          <w:rFonts w:ascii="Times New Roman" w:hAnsi="Times New Roman" w:cs="Times New Roman"/>
          <w:sz w:val="24"/>
          <w:szCs w:val="24"/>
        </w:rPr>
        <w:t>ctions.</w:t>
      </w:r>
    </w:p>
    <w:p w14:paraId="46183DBA" w14:textId="77777777" w:rsidR="008E2C58" w:rsidRPr="00DC0273" w:rsidRDefault="008E2C58" w:rsidP="00905BC2">
      <w:pPr>
        <w:spacing w:after="0" w:line="276" w:lineRule="auto"/>
        <w:ind w:firstLine="720"/>
        <w:jc w:val="both"/>
        <w:rPr>
          <w:rFonts w:ascii="Times New Roman" w:hAnsi="Times New Roman" w:cs="Times New Roman"/>
          <w:sz w:val="24"/>
          <w:szCs w:val="24"/>
        </w:rPr>
      </w:pPr>
    </w:p>
    <w:p w14:paraId="2B04D500" w14:textId="2C1D1451" w:rsidR="0099208D" w:rsidRPr="00DC0273" w:rsidRDefault="009A63F7"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W</w:t>
      </w:r>
      <w:r w:rsidR="0099208D" w:rsidRPr="00DC0273">
        <w:rPr>
          <w:rFonts w:ascii="Times New Roman" w:hAnsi="Times New Roman" w:cs="Times New Roman"/>
          <w:sz w:val="24"/>
          <w:szCs w:val="24"/>
        </w:rPr>
        <w:t xml:space="preserve">hat I intend to do </w:t>
      </w:r>
      <w:r w:rsidR="002452DC" w:rsidRPr="00DC0273">
        <w:rPr>
          <w:rFonts w:ascii="Times New Roman" w:hAnsi="Times New Roman" w:cs="Times New Roman"/>
          <w:sz w:val="24"/>
          <w:szCs w:val="24"/>
        </w:rPr>
        <w:t>is</w:t>
      </w:r>
      <w:r w:rsidR="0099208D" w:rsidRPr="00DC0273">
        <w:rPr>
          <w:rFonts w:ascii="Times New Roman" w:hAnsi="Times New Roman" w:cs="Times New Roman"/>
          <w:sz w:val="24"/>
          <w:szCs w:val="24"/>
        </w:rPr>
        <w:t xml:space="preserve"> move quickly through a wide range of developments and, I believe, future directions in civil litigation</w:t>
      </w:r>
      <w:r w:rsidR="006063B1" w:rsidRPr="00DC0273">
        <w:rPr>
          <w:rFonts w:ascii="Times New Roman" w:hAnsi="Times New Roman" w:cs="Times New Roman"/>
          <w:sz w:val="24"/>
          <w:szCs w:val="24"/>
        </w:rPr>
        <w:t>.</w:t>
      </w:r>
    </w:p>
    <w:p w14:paraId="51F3D9E7" w14:textId="2F0DD641" w:rsidR="009A63F7" w:rsidRPr="00DC0273" w:rsidRDefault="009A63F7" w:rsidP="00905BC2">
      <w:pPr>
        <w:spacing w:after="0" w:line="276" w:lineRule="auto"/>
        <w:jc w:val="both"/>
        <w:rPr>
          <w:rFonts w:ascii="Times New Roman" w:hAnsi="Times New Roman" w:cs="Times New Roman"/>
          <w:sz w:val="24"/>
          <w:szCs w:val="24"/>
        </w:rPr>
      </w:pPr>
    </w:p>
    <w:p w14:paraId="57E95FD2" w14:textId="3DB9AA87" w:rsidR="009A63F7" w:rsidRPr="00DC0273" w:rsidRDefault="009A63F7" w:rsidP="00905BC2">
      <w:pPr>
        <w:spacing w:after="0" w:line="276" w:lineRule="auto"/>
        <w:jc w:val="both"/>
        <w:rPr>
          <w:rFonts w:ascii="Times New Roman" w:hAnsi="Times New Roman" w:cs="Times New Roman"/>
          <w:b/>
          <w:i/>
          <w:sz w:val="24"/>
          <w:szCs w:val="24"/>
        </w:rPr>
      </w:pPr>
      <w:r w:rsidRPr="00DC0273">
        <w:rPr>
          <w:rFonts w:ascii="Times New Roman" w:hAnsi="Times New Roman" w:cs="Times New Roman"/>
          <w:b/>
          <w:i/>
          <w:sz w:val="24"/>
          <w:szCs w:val="24"/>
        </w:rPr>
        <w:t>Civil Procedure Act 2010</w:t>
      </w:r>
    </w:p>
    <w:p w14:paraId="24F863A3" w14:textId="77777777" w:rsidR="00C84BBB" w:rsidRPr="00DC0273" w:rsidRDefault="00C84BBB" w:rsidP="00905BC2">
      <w:pPr>
        <w:spacing w:after="0" w:line="276" w:lineRule="auto"/>
        <w:jc w:val="both"/>
        <w:rPr>
          <w:rFonts w:ascii="Times New Roman" w:hAnsi="Times New Roman" w:cs="Times New Roman"/>
          <w:sz w:val="24"/>
          <w:szCs w:val="24"/>
        </w:rPr>
      </w:pPr>
    </w:p>
    <w:p w14:paraId="15ECCBE4" w14:textId="2C92DB06" w:rsidR="00686972" w:rsidRPr="00DC0273" w:rsidRDefault="00686972"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 start first with the </w:t>
      </w:r>
      <w:r w:rsidRPr="00DC0273">
        <w:rPr>
          <w:rFonts w:ascii="Times New Roman" w:hAnsi="Times New Roman" w:cs="Times New Roman"/>
          <w:i/>
          <w:sz w:val="24"/>
          <w:szCs w:val="24"/>
        </w:rPr>
        <w:t>Civil Procedure Act</w:t>
      </w:r>
      <w:r w:rsidR="006063B1" w:rsidRPr="00DC0273">
        <w:rPr>
          <w:rFonts w:ascii="Times New Roman" w:hAnsi="Times New Roman" w:cs="Times New Roman"/>
          <w:sz w:val="24"/>
          <w:szCs w:val="24"/>
        </w:rPr>
        <w:t>,</w:t>
      </w:r>
      <w:r w:rsidR="00C84BBB" w:rsidRPr="00DC0273">
        <w:rPr>
          <w:rFonts w:ascii="Times New Roman" w:hAnsi="Times New Roman" w:cs="Times New Roman"/>
          <w:sz w:val="24"/>
          <w:szCs w:val="24"/>
        </w:rPr>
        <w:t xml:space="preserve"> </w:t>
      </w:r>
      <w:r w:rsidRPr="00DC0273">
        <w:rPr>
          <w:rFonts w:ascii="Times New Roman" w:hAnsi="Times New Roman" w:cs="Times New Roman"/>
          <w:sz w:val="24"/>
          <w:szCs w:val="24"/>
        </w:rPr>
        <w:t>itself based</w:t>
      </w:r>
      <w:r w:rsidR="009A63F7" w:rsidRPr="00DC0273">
        <w:rPr>
          <w:rFonts w:ascii="Times New Roman" w:hAnsi="Times New Roman" w:cs="Times New Roman"/>
          <w:sz w:val="24"/>
          <w:szCs w:val="24"/>
        </w:rPr>
        <w:t xml:space="preserve"> o</w:t>
      </w:r>
      <w:r w:rsidRPr="00DC0273">
        <w:rPr>
          <w:rFonts w:ascii="Times New Roman" w:hAnsi="Times New Roman" w:cs="Times New Roman"/>
          <w:sz w:val="24"/>
          <w:szCs w:val="24"/>
        </w:rPr>
        <w:t xml:space="preserve">n the </w:t>
      </w:r>
      <w:r w:rsidR="009A63F7" w:rsidRPr="00DC0273">
        <w:rPr>
          <w:rFonts w:ascii="Times New Roman" w:hAnsi="Times New Roman" w:cs="Times New Roman"/>
          <w:sz w:val="24"/>
          <w:szCs w:val="24"/>
        </w:rPr>
        <w:t xml:space="preserve">Victorian </w:t>
      </w:r>
      <w:r w:rsidRPr="00DC0273">
        <w:rPr>
          <w:rFonts w:ascii="Times New Roman" w:hAnsi="Times New Roman" w:cs="Times New Roman"/>
          <w:sz w:val="24"/>
          <w:szCs w:val="24"/>
        </w:rPr>
        <w:t xml:space="preserve">Law </w:t>
      </w:r>
      <w:r w:rsidR="008E2C58" w:rsidRPr="00DC0273">
        <w:rPr>
          <w:rFonts w:ascii="Times New Roman" w:hAnsi="Times New Roman" w:cs="Times New Roman"/>
          <w:sz w:val="24"/>
          <w:szCs w:val="24"/>
        </w:rPr>
        <w:t>Reform Commission Report.  The r</w:t>
      </w:r>
      <w:r w:rsidRPr="00DC0273">
        <w:rPr>
          <w:rFonts w:ascii="Times New Roman" w:hAnsi="Times New Roman" w:cs="Times New Roman"/>
          <w:sz w:val="24"/>
          <w:szCs w:val="24"/>
        </w:rPr>
        <w:t>eport is a weighty tome, b</w:t>
      </w:r>
      <w:r w:rsidR="008E2C58" w:rsidRPr="00DC0273">
        <w:rPr>
          <w:rFonts w:ascii="Times New Roman" w:hAnsi="Times New Roman" w:cs="Times New Roman"/>
          <w:sz w:val="24"/>
          <w:szCs w:val="24"/>
        </w:rPr>
        <w:t>ut for anybody interested in</w:t>
      </w:r>
      <w:r w:rsidRPr="00DC0273">
        <w:rPr>
          <w:rFonts w:ascii="Times New Roman" w:hAnsi="Times New Roman" w:cs="Times New Roman"/>
          <w:sz w:val="24"/>
          <w:szCs w:val="24"/>
        </w:rPr>
        <w:t xml:space="preserve"> civil procedure, it is a must read.  One of the fascinating aspects of that report was the way in which it</w:t>
      </w:r>
      <w:r w:rsidR="009A63F7" w:rsidRPr="00DC0273">
        <w:rPr>
          <w:rFonts w:ascii="Times New Roman" w:hAnsi="Times New Roman" w:cs="Times New Roman"/>
          <w:sz w:val="24"/>
          <w:szCs w:val="24"/>
        </w:rPr>
        <w:t xml:space="preserve">s recommendations </w:t>
      </w:r>
      <w:r w:rsidRPr="00DC0273">
        <w:rPr>
          <w:rFonts w:ascii="Times New Roman" w:hAnsi="Times New Roman" w:cs="Times New Roman"/>
          <w:sz w:val="24"/>
          <w:szCs w:val="24"/>
        </w:rPr>
        <w:t>w</w:t>
      </w:r>
      <w:r w:rsidR="009A63F7" w:rsidRPr="00DC0273">
        <w:rPr>
          <w:rFonts w:ascii="Times New Roman" w:hAnsi="Times New Roman" w:cs="Times New Roman"/>
          <w:sz w:val="24"/>
          <w:szCs w:val="24"/>
        </w:rPr>
        <w:t>ere</w:t>
      </w:r>
      <w:r w:rsidRPr="00DC0273">
        <w:rPr>
          <w:rFonts w:ascii="Times New Roman" w:hAnsi="Times New Roman" w:cs="Times New Roman"/>
          <w:sz w:val="24"/>
          <w:szCs w:val="24"/>
        </w:rPr>
        <w:t xml:space="preserve"> implemented.  It was a special, if not unique model, and </w:t>
      </w:r>
      <w:proofErr w:type="gramStart"/>
      <w:r w:rsidRPr="00DC0273">
        <w:rPr>
          <w:rFonts w:ascii="Times New Roman" w:hAnsi="Times New Roman" w:cs="Times New Roman"/>
          <w:sz w:val="24"/>
          <w:szCs w:val="24"/>
        </w:rPr>
        <w:t>one</w:t>
      </w:r>
      <w:proofErr w:type="gramEnd"/>
      <w:r w:rsidRPr="00DC0273">
        <w:rPr>
          <w:rFonts w:ascii="Times New Roman" w:hAnsi="Times New Roman" w:cs="Times New Roman"/>
          <w:sz w:val="24"/>
          <w:szCs w:val="24"/>
        </w:rPr>
        <w:t xml:space="preserve"> which I highly recommend because of its inclusiveness and the cooperation that was achieved across all sectors of the civil justice system.</w:t>
      </w:r>
    </w:p>
    <w:p w14:paraId="38569B82" w14:textId="77777777" w:rsidR="00592A71" w:rsidRPr="00DC0273" w:rsidRDefault="00592A71" w:rsidP="00905BC2">
      <w:pPr>
        <w:spacing w:after="0" w:line="276" w:lineRule="auto"/>
        <w:ind w:firstLine="720"/>
        <w:jc w:val="both"/>
        <w:rPr>
          <w:rFonts w:ascii="Times New Roman" w:hAnsi="Times New Roman" w:cs="Times New Roman"/>
          <w:sz w:val="24"/>
          <w:szCs w:val="24"/>
        </w:rPr>
      </w:pPr>
    </w:p>
    <w:p w14:paraId="6D988E1C" w14:textId="654EC454" w:rsidR="00686972" w:rsidRPr="00DC0273" w:rsidRDefault="00592A7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After the r</w:t>
      </w:r>
      <w:r w:rsidR="00686972" w:rsidRPr="00DC0273">
        <w:rPr>
          <w:rFonts w:ascii="Times New Roman" w:hAnsi="Times New Roman" w:cs="Times New Roman"/>
          <w:sz w:val="24"/>
          <w:szCs w:val="24"/>
        </w:rPr>
        <w:t xml:space="preserve">eport had been received from the Commission, the then Victorian Attorney-General asked me to Chair a Civil Procedure Advisory Group.  This </w:t>
      </w:r>
      <w:r w:rsidR="009A63F7" w:rsidRPr="00DC0273">
        <w:rPr>
          <w:rFonts w:ascii="Times New Roman" w:hAnsi="Times New Roman" w:cs="Times New Roman"/>
          <w:sz w:val="24"/>
          <w:szCs w:val="24"/>
        </w:rPr>
        <w:t xml:space="preserve">body was ably </w:t>
      </w:r>
      <w:r w:rsidR="00686972" w:rsidRPr="00DC0273">
        <w:rPr>
          <w:rFonts w:ascii="Times New Roman" w:hAnsi="Times New Roman" w:cs="Times New Roman"/>
          <w:sz w:val="24"/>
          <w:szCs w:val="24"/>
        </w:rPr>
        <w:t xml:space="preserve">supported by senior officers from the Department of Justice.  The Attorney-General invited to </w:t>
      </w:r>
      <w:r w:rsidR="009A63F7" w:rsidRPr="00DC0273">
        <w:rPr>
          <w:rFonts w:ascii="Times New Roman" w:hAnsi="Times New Roman" w:cs="Times New Roman"/>
          <w:sz w:val="24"/>
          <w:szCs w:val="24"/>
        </w:rPr>
        <w:t xml:space="preserve">join </w:t>
      </w:r>
      <w:r w:rsidR="00686972" w:rsidRPr="00DC0273">
        <w:rPr>
          <w:rFonts w:ascii="Times New Roman" w:hAnsi="Times New Roman" w:cs="Times New Roman"/>
          <w:sz w:val="24"/>
          <w:szCs w:val="24"/>
        </w:rPr>
        <w:t xml:space="preserve">the Advisory Group representatives of the </w:t>
      </w:r>
      <w:r w:rsidR="009A63F7" w:rsidRPr="00DC0273">
        <w:rPr>
          <w:rFonts w:ascii="Times New Roman" w:hAnsi="Times New Roman" w:cs="Times New Roman"/>
          <w:sz w:val="24"/>
          <w:szCs w:val="24"/>
        </w:rPr>
        <w:t xml:space="preserve">Victorian </w:t>
      </w:r>
      <w:r w:rsidR="00686972" w:rsidRPr="00DC0273">
        <w:rPr>
          <w:rFonts w:ascii="Times New Roman" w:hAnsi="Times New Roman" w:cs="Times New Roman"/>
          <w:sz w:val="24"/>
          <w:szCs w:val="24"/>
        </w:rPr>
        <w:t xml:space="preserve">Bar, the profession, each of the </w:t>
      </w:r>
      <w:r w:rsidR="009A63F7" w:rsidRPr="00DC0273">
        <w:rPr>
          <w:rFonts w:ascii="Times New Roman" w:hAnsi="Times New Roman" w:cs="Times New Roman"/>
          <w:sz w:val="24"/>
          <w:szCs w:val="24"/>
        </w:rPr>
        <w:t xml:space="preserve">Victorian </w:t>
      </w:r>
      <w:r w:rsidR="00686972" w:rsidRPr="00DC0273">
        <w:rPr>
          <w:rFonts w:ascii="Times New Roman" w:hAnsi="Times New Roman" w:cs="Times New Roman"/>
          <w:sz w:val="24"/>
          <w:szCs w:val="24"/>
        </w:rPr>
        <w:t>jurisdictions</w:t>
      </w:r>
      <w:r w:rsidR="009A63F7" w:rsidRPr="00DC0273">
        <w:rPr>
          <w:rFonts w:ascii="Times New Roman" w:hAnsi="Times New Roman" w:cs="Times New Roman"/>
          <w:sz w:val="24"/>
          <w:szCs w:val="24"/>
        </w:rPr>
        <w:t xml:space="preserve">, </w:t>
      </w:r>
      <w:r w:rsidR="00686972" w:rsidRPr="00DC0273">
        <w:rPr>
          <w:rFonts w:ascii="Times New Roman" w:hAnsi="Times New Roman" w:cs="Times New Roman"/>
          <w:sz w:val="24"/>
          <w:szCs w:val="24"/>
        </w:rPr>
        <w:t>the community legal groups</w:t>
      </w:r>
      <w:r w:rsidR="009A63F7" w:rsidRPr="00DC0273">
        <w:rPr>
          <w:rFonts w:ascii="Times New Roman" w:hAnsi="Times New Roman" w:cs="Times New Roman"/>
          <w:sz w:val="24"/>
          <w:szCs w:val="24"/>
        </w:rPr>
        <w:t xml:space="preserve"> and </w:t>
      </w:r>
      <w:r w:rsidR="00686972" w:rsidRPr="00DC0273">
        <w:rPr>
          <w:rFonts w:ascii="Times New Roman" w:hAnsi="Times New Roman" w:cs="Times New Roman"/>
          <w:sz w:val="24"/>
          <w:szCs w:val="24"/>
        </w:rPr>
        <w:t>corporate counsel</w:t>
      </w:r>
      <w:r w:rsidR="009A63F7" w:rsidRPr="00DC0273">
        <w:rPr>
          <w:rFonts w:ascii="Times New Roman" w:hAnsi="Times New Roman" w:cs="Times New Roman"/>
          <w:sz w:val="24"/>
          <w:szCs w:val="24"/>
        </w:rPr>
        <w:t>.  A</w:t>
      </w:r>
      <w:r w:rsidR="00686972" w:rsidRPr="00DC0273">
        <w:rPr>
          <w:rFonts w:ascii="Times New Roman" w:hAnsi="Times New Roman" w:cs="Times New Roman"/>
          <w:sz w:val="24"/>
          <w:szCs w:val="24"/>
        </w:rPr>
        <w:t xml:space="preserve"> very real endeavour was made to ensure that everybody who needed to be involved and brought in to this process</w:t>
      </w:r>
      <w:r w:rsidR="009A63F7" w:rsidRPr="00DC0273">
        <w:rPr>
          <w:rFonts w:ascii="Times New Roman" w:hAnsi="Times New Roman" w:cs="Times New Roman"/>
          <w:sz w:val="24"/>
          <w:szCs w:val="24"/>
        </w:rPr>
        <w:t xml:space="preserve"> was present</w:t>
      </w:r>
      <w:r w:rsidR="006063B1" w:rsidRPr="00DC0273">
        <w:rPr>
          <w:rFonts w:ascii="Times New Roman" w:hAnsi="Times New Roman" w:cs="Times New Roman"/>
          <w:sz w:val="24"/>
          <w:szCs w:val="24"/>
        </w:rPr>
        <w:t xml:space="preserve"> at the table</w:t>
      </w:r>
      <w:r w:rsidR="00686972" w:rsidRPr="00DC0273">
        <w:rPr>
          <w:rFonts w:ascii="Times New Roman" w:hAnsi="Times New Roman" w:cs="Times New Roman"/>
          <w:sz w:val="24"/>
          <w:szCs w:val="24"/>
        </w:rPr>
        <w:t>.</w:t>
      </w:r>
    </w:p>
    <w:p w14:paraId="1090B7BE" w14:textId="77777777" w:rsidR="00592A71" w:rsidRPr="00DC0273" w:rsidRDefault="00592A71" w:rsidP="00905BC2">
      <w:pPr>
        <w:spacing w:after="0" w:line="276" w:lineRule="auto"/>
        <w:ind w:firstLine="720"/>
        <w:jc w:val="both"/>
        <w:rPr>
          <w:rFonts w:ascii="Times New Roman" w:hAnsi="Times New Roman" w:cs="Times New Roman"/>
          <w:sz w:val="24"/>
          <w:szCs w:val="24"/>
        </w:rPr>
      </w:pPr>
    </w:p>
    <w:p w14:paraId="1AE5B956" w14:textId="401F0481" w:rsidR="00686972" w:rsidRPr="00DC0273" w:rsidRDefault="00686972"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way it was tackled, with the support of the Department – and it could not have been achieved without the Department’s support – was </w:t>
      </w:r>
      <w:r w:rsidR="009A63F7" w:rsidRPr="00DC0273">
        <w:rPr>
          <w:rFonts w:ascii="Times New Roman" w:hAnsi="Times New Roman" w:cs="Times New Roman"/>
          <w:sz w:val="24"/>
          <w:szCs w:val="24"/>
        </w:rPr>
        <w:t xml:space="preserve">for the </w:t>
      </w:r>
      <w:r w:rsidR="00675C20" w:rsidRPr="00DC0273">
        <w:rPr>
          <w:rFonts w:ascii="Times New Roman" w:hAnsi="Times New Roman" w:cs="Times New Roman"/>
          <w:sz w:val="24"/>
          <w:szCs w:val="24"/>
        </w:rPr>
        <w:t>A</w:t>
      </w:r>
      <w:r w:rsidR="009A63F7" w:rsidRPr="00DC0273">
        <w:rPr>
          <w:rFonts w:ascii="Times New Roman" w:hAnsi="Times New Roman" w:cs="Times New Roman"/>
          <w:sz w:val="24"/>
          <w:szCs w:val="24"/>
        </w:rPr>
        <w:t xml:space="preserve">dvisory </w:t>
      </w:r>
      <w:r w:rsidR="00675C20" w:rsidRPr="00DC0273">
        <w:rPr>
          <w:rFonts w:ascii="Times New Roman" w:hAnsi="Times New Roman" w:cs="Times New Roman"/>
          <w:sz w:val="24"/>
          <w:szCs w:val="24"/>
        </w:rPr>
        <w:t>G</w:t>
      </w:r>
      <w:r w:rsidR="009A63F7" w:rsidRPr="00DC0273">
        <w:rPr>
          <w:rFonts w:ascii="Times New Roman" w:hAnsi="Times New Roman" w:cs="Times New Roman"/>
          <w:sz w:val="24"/>
          <w:szCs w:val="24"/>
        </w:rPr>
        <w:t xml:space="preserve">roup </w:t>
      </w:r>
      <w:r w:rsidRPr="00DC0273">
        <w:rPr>
          <w:rFonts w:ascii="Times New Roman" w:hAnsi="Times New Roman" w:cs="Times New Roman"/>
          <w:sz w:val="24"/>
          <w:szCs w:val="24"/>
        </w:rPr>
        <w:t xml:space="preserve">to take topics </w:t>
      </w:r>
      <w:r w:rsidR="009A63F7" w:rsidRPr="00DC0273">
        <w:rPr>
          <w:rFonts w:ascii="Times New Roman" w:hAnsi="Times New Roman" w:cs="Times New Roman"/>
          <w:sz w:val="24"/>
          <w:szCs w:val="24"/>
        </w:rPr>
        <w:t xml:space="preserve">from </w:t>
      </w:r>
      <w:r w:rsidR="00DE7EF8" w:rsidRPr="00DC0273">
        <w:rPr>
          <w:rFonts w:ascii="Times New Roman" w:hAnsi="Times New Roman" w:cs="Times New Roman"/>
          <w:sz w:val="24"/>
          <w:szCs w:val="24"/>
        </w:rPr>
        <w:t>the Commission’s r</w:t>
      </w:r>
      <w:r w:rsidRPr="00DC0273">
        <w:rPr>
          <w:rFonts w:ascii="Times New Roman" w:hAnsi="Times New Roman" w:cs="Times New Roman"/>
          <w:sz w:val="24"/>
          <w:szCs w:val="24"/>
        </w:rPr>
        <w:t xml:space="preserve">eport, prioritise them in terms of what the </w:t>
      </w:r>
      <w:r w:rsidR="009A63F7" w:rsidRPr="00DC0273">
        <w:rPr>
          <w:rFonts w:ascii="Times New Roman" w:hAnsi="Times New Roman" w:cs="Times New Roman"/>
          <w:sz w:val="24"/>
          <w:szCs w:val="24"/>
        </w:rPr>
        <w:t>c</w:t>
      </w:r>
      <w:r w:rsidRPr="00DC0273">
        <w:rPr>
          <w:rFonts w:ascii="Times New Roman" w:hAnsi="Times New Roman" w:cs="Times New Roman"/>
          <w:sz w:val="24"/>
          <w:szCs w:val="24"/>
        </w:rPr>
        <w:t>ourt</w:t>
      </w:r>
      <w:r w:rsidR="009A63F7" w:rsidRPr="00DC0273">
        <w:rPr>
          <w:rFonts w:ascii="Times New Roman" w:hAnsi="Times New Roman" w:cs="Times New Roman"/>
          <w:sz w:val="24"/>
          <w:szCs w:val="24"/>
        </w:rPr>
        <w:t>s</w:t>
      </w:r>
      <w:r w:rsidRPr="00DC0273">
        <w:rPr>
          <w:rFonts w:ascii="Times New Roman" w:hAnsi="Times New Roman" w:cs="Times New Roman"/>
          <w:sz w:val="24"/>
          <w:szCs w:val="24"/>
        </w:rPr>
        <w:t xml:space="preserve"> and the profession saw as pressing, and then to move through a topic at a time, with very lively debate following the provision of provocative and informative papers.  </w:t>
      </w:r>
      <w:r w:rsidR="00DE7EF8" w:rsidRPr="00DC0273">
        <w:rPr>
          <w:rFonts w:ascii="Times New Roman" w:hAnsi="Times New Roman" w:cs="Times New Roman"/>
          <w:sz w:val="24"/>
          <w:szCs w:val="24"/>
        </w:rPr>
        <w:t>At ou</w:t>
      </w:r>
      <w:r w:rsidRPr="00DC0273">
        <w:rPr>
          <w:rFonts w:ascii="Times New Roman" w:hAnsi="Times New Roman" w:cs="Times New Roman"/>
          <w:sz w:val="24"/>
          <w:szCs w:val="24"/>
        </w:rPr>
        <w:t xml:space="preserve">r </w:t>
      </w:r>
      <w:r w:rsidR="00DE7EF8" w:rsidRPr="00DC0273">
        <w:rPr>
          <w:rFonts w:ascii="Times New Roman" w:hAnsi="Times New Roman" w:cs="Times New Roman"/>
          <w:sz w:val="24"/>
          <w:szCs w:val="24"/>
        </w:rPr>
        <w:t xml:space="preserve">meetings, </w:t>
      </w:r>
      <w:r w:rsidRPr="00DC0273">
        <w:rPr>
          <w:rFonts w:ascii="Times New Roman" w:hAnsi="Times New Roman" w:cs="Times New Roman"/>
          <w:sz w:val="24"/>
          <w:szCs w:val="24"/>
        </w:rPr>
        <w:t>assisted by the Department, resolutions would be achieved</w:t>
      </w:r>
      <w:r w:rsidR="009A63F7" w:rsidRPr="00DC0273">
        <w:rPr>
          <w:rFonts w:ascii="Times New Roman" w:hAnsi="Times New Roman" w:cs="Times New Roman"/>
          <w:sz w:val="24"/>
          <w:szCs w:val="24"/>
        </w:rPr>
        <w:t>.  I</w:t>
      </w:r>
      <w:r w:rsidRPr="00DC0273">
        <w:rPr>
          <w:rFonts w:ascii="Times New Roman" w:hAnsi="Times New Roman" w:cs="Times New Roman"/>
          <w:sz w:val="24"/>
          <w:szCs w:val="24"/>
        </w:rPr>
        <w:t xml:space="preserve">f I take, for example, a relatively typical topic – discovery.  </w:t>
      </w:r>
      <w:r w:rsidR="009A63F7" w:rsidRPr="00DC0273">
        <w:rPr>
          <w:rFonts w:ascii="Times New Roman" w:hAnsi="Times New Roman" w:cs="Times New Roman"/>
          <w:sz w:val="24"/>
          <w:szCs w:val="24"/>
        </w:rPr>
        <w:t>W</w:t>
      </w:r>
      <w:r w:rsidRPr="00DC0273">
        <w:rPr>
          <w:rFonts w:ascii="Times New Roman" w:hAnsi="Times New Roman" w:cs="Times New Roman"/>
          <w:sz w:val="24"/>
          <w:szCs w:val="24"/>
        </w:rPr>
        <w:t>e had all the players around the table</w:t>
      </w:r>
      <w:r w:rsidR="009A63F7" w:rsidRPr="00DC0273">
        <w:rPr>
          <w:rFonts w:ascii="Times New Roman" w:hAnsi="Times New Roman" w:cs="Times New Roman"/>
          <w:sz w:val="24"/>
          <w:szCs w:val="24"/>
        </w:rPr>
        <w:t>.  What</w:t>
      </w:r>
      <w:r w:rsidRPr="00DC0273">
        <w:rPr>
          <w:rFonts w:ascii="Times New Roman" w:hAnsi="Times New Roman" w:cs="Times New Roman"/>
          <w:sz w:val="24"/>
          <w:szCs w:val="24"/>
        </w:rPr>
        <w:t xml:space="preserve"> some of the courts did – and I certainly d</w:t>
      </w:r>
      <w:r w:rsidR="006063B1" w:rsidRPr="00DC0273">
        <w:rPr>
          <w:rFonts w:ascii="Times New Roman" w:hAnsi="Times New Roman" w:cs="Times New Roman"/>
          <w:sz w:val="24"/>
          <w:szCs w:val="24"/>
        </w:rPr>
        <w:t>id this – was to bring in a ‘</w:t>
      </w:r>
      <w:r w:rsidRPr="00DC0273">
        <w:rPr>
          <w:rFonts w:ascii="Times New Roman" w:hAnsi="Times New Roman" w:cs="Times New Roman"/>
          <w:sz w:val="24"/>
          <w:szCs w:val="24"/>
        </w:rPr>
        <w:t>specialist judge’, who would be there to speak on the particular topic.</w:t>
      </w:r>
    </w:p>
    <w:p w14:paraId="7A03CC64"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7EC50259" w14:textId="3EE57F1D" w:rsidR="00686972" w:rsidRPr="00DC0273" w:rsidRDefault="009A63F7"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W</w:t>
      </w:r>
      <w:r w:rsidR="00686972" w:rsidRPr="00DC0273">
        <w:rPr>
          <w:rFonts w:ascii="Times New Roman" w:hAnsi="Times New Roman" w:cs="Times New Roman"/>
          <w:sz w:val="24"/>
          <w:szCs w:val="24"/>
        </w:rPr>
        <w:t>e had these intensive seminars, effectively, on a discrete topic and the individuals directly engaged in the discussion were experts in their particular area.  Recommendations would be resolved, circulated, agreed, and then they would be forwarded to the Attorney-General, w</w:t>
      </w:r>
      <w:r w:rsidR="00DE7EF8" w:rsidRPr="00DC0273">
        <w:rPr>
          <w:rFonts w:ascii="Times New Roman" w:hAnsi="Times New Roman" w:cs="Times New Roman"/>
          <w:sz w:val="24"/>
          <w:szCs w:val="24"/>
        </w:rPr>
        <w:t xml:space="preserve">ho would discuss them with </w:t>
      </w:r>
      <w:r w:rsidRPr="00DC0273">
        <w:rPr>
          <w:rFonts w:ascii="Times New Roman" w:hAnsi="Times New Roman" w:cs="Times New Roman"/>
          <w:sz w:val="24"/>
          <w:szCs w:val="24"/>
        </w:rPr>
        <w:t xml:space="preserve">the </w:t>
      </w:r>
      <w:r w:rsidR="00DE7EF8" w:rsidRPr="00DC0273">
        <w:rPr>
          <w:rFonts w:ascii="Times New Roman" w:hAnsi="Times New Roman" w:cs="Times New Roman"/>
          <w:sz w:val="24"/>
          <w:szCs w:val="24"/>
        </w:rPr>
        <w:t>department</w:t>
      </w:r>
      <w:r w:rsidR="00686972" w:rsidRPr="00DC0273">
        <w:rPr>
          <w:rFonts w:ascii="Times New Roman" w:hAnsi="Times New Roman" w:cs="Times New Roman"/>
          <w:sz w:val="24"/>
          <w:szCs w:val="24"/>
        </w:rPr>
        <w:t xml:space="preserve"> and, by and large, almost uniformly, all the recommendations of the Civil Procedure Advisory Group were adopted, instructions then went to Parliamentary Counsel and</w:t>
      </w:r>
      <w:r w:rsidR="002149E6" w:rsidRPr="00DC0273">
        <w:rPr>
          <w:rFonts w:ascii="Times New Roman" w:hAnsi="Times New Roman" w:cs="Times New Roman"/>
          <w:sz w:val="24"/>
          <w:szCs w:val="24"/>
        </w:rPr>
        <w:t xml:space="preserve"> –</w:t>
      </w:r>
      <w:r w:rsidR="00686972" w:rsidRPr="00DC0273">
        <w:rPr>
          <w:rFonts w:ascii="Times New Roman" w:hAnsi="Times New Roman" w:cs="Times New Roman"/>
          <w:sz w:val="24"/>
          <w:szCs w:val="24"/>
        </w:rPr>
        <w:t xml:space="preserve"> this was one of the keys to the success of the whole model – we had Parliamentary Counsel at the table.  So as we progressed through our recommendations, the drafts came back to us and </w:t>
      </w:r>
      <w:r w:rsidRPr="00DC0273">
        <w:rPr>
          <w:rFonts w:ascii="Times New Roman" w:hAnsi="Times New Roman" w:cs="Times New Roman"/>
          <w:sz w:val="24"/>
          <w:szCs w:val="24"/>
        </w:rPr>
        <w:t xml:space="preserve">the group was </w:t>
      </w:r>
      <w:r w:rsidR="00686972" w:rsidRPr="00DC0273">
        <w:rPr>
          <w:rFonts w:ascii="Times New Roman" w:hAnsi="Times New Roman" w:cs="Times New Roman"/>
          <w:sz w:val="24"/>
          <w:szCs w:val="24"/>
        </w:rPr>
        <w:t xml:space="preserve">therefore right at the very forefront of the drafting of the </w:t>
      </w:r>
      <w:r w:rsidR="00686972" w:rsidRPr="00DC0273">
        <w:rPr>
          <w:rFonts w:ascii="Times New Roman" w:hAnsi="Times New Roman" w:cs="Times New Roman"/>
          <w:i/>
          <w:sz w:val="24"/>
          <w:szCs w:val="24"/>
        </w:rPr>
        <w:t>Civil Procedure Act</w:t>
      </w:r>
      <w:r w:rsidR="00686972" w:rsidRPr="00DC0273">
        <w:rPr>
          <w:rFonts w:ascii="Times New Roman" w:hAnsi="Times New Roman" w:cs="Times New Roman"/>
          <w:sz w:val="24"/>
          <w:szCs w:val="24"/>
        </w:rPr>
        <w:t>.</w:t>
      </w:r>
      <w:r w:rsidR="00675C20" w:rsidRPr="00DC0273">
        <w:rPr>
          <w:rStyle w:val="FootnoteReference"/>
          <w:rFonts w:ascii="Times New Roman" w:hAnsi="Times New Roman" w:cs="Times New Roman"/>
          <w:sz w:val="24"/>
          <w:szCs w:val="24"/>
        </w:rPr>
        <w:footnoteReference w:id="8"/>
      </w:r>
    </w:p>
    <w:p w14:paraId="66F8116E"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55C1A7F7" w14:textId="2F97A9B9" w:rsidR="00686972" w:rsidRPr="00DC0273" w:rsidRDefault="00675C20"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Act </w:t>
      </w:r>
      <w:r w:rsidR="00686972" w:rsidRPr="00DC0273">
        <w:rPr>
          <w:rFonts w:ascii="Times New Roman" w:hAnsi="Times New Roman" w:cs="Times New Roman"/>
          <w:sz w:val="24"/>
          <w:szCs w:val="24"/>
        </w:rPr>
        <w:t xml:space="preserve">has been </w:t>
      </w:r>
      <w:r w:rsidRPr="00DC0273">
        <w:rPr>
          <w:rFonts w:ascii="Times New Roman" w:hAnsi="Times New Roman" w:cs="Times New Roman"/>
          <w:sz w:val="24"/>
          <w:szCs w:val="24"/>
        </w:rPr>
        <w:t xml:space="preserve">very </w:t>
      </w:r>
      <w:r w:rsidR="00C37F84" w:rsidRPr="00DC0273">
        <w:rPr>
          <w:rFonts w:ascii="Times New Roman" w:hAnsi="Times New Roman" w:cs="Times New Roman"/>
          <w:sz w:val="24"/>
          <w:szCs w:val="24"/>
        </w:rPr>
        <w:t xml:space="preserve">successful in Victoria.  Importantly, </w:t>
      </w:r>
      <w:r w:rsidRPr="00DC0273">
        <w:rPr>
          <w:rFonts w:ascii="Times New Roman" w:hAnsi="Times New Roman" w:cs="Times New Roman"/>
          <w:sz w:val="24"/>
          <w:szCs w:val="24"/>
        </w:rPr>
        <w:t xml:space="preserve">I believe </w:t>
      </w:r>
      <w:r w:rsidR="00C37F84" w:rsidRPr="00DC0273">
        <w:rPr>
          <w:rFonts w:ascii="Times New Roman" w:hAnsi="Times New Roman" w:cs="Times New Roman"/>
          <w:sz w:val="24"/>
          <w:szCs w:val="24"/>
        </w:rPr>
        <w:t xml:space="preserve">it has been embraced because of the </w:t>
      </w:r>
      <w:r w:rsidR="00DE7EF8" w:rsidRPr="00DC0273">
        <w:rPr>
          <w:rFonts w:ascii="Times New Roman" w:hAnsi="Times New Roman" w:cs="Times New Roman"/>
          <w:sz w:val="24"/>
          <w:szCs w:val="24"/>
        </w:rPr>
        <w:t>law r</w:t>
      </w:r>
      <w:r w:rsidR="00C37F84" w:rsidRPr="00DC0273">
        <w:rPr>
          <w:rFonts w:ascii="Times New Roman" w:hAnsi="Times New Roman" w:cs="Times New Roman"/>
          <w:sz w:val="24"/>
          <w:szCs w:val="24"/>
        </w:rPr>
        <w:t>eform model that was undertaken</w:t>
      </w:r>
      <w:r w:rsidRPr="00DC0273">
        <w:rPr>
          <w:rFonts w:ascii="Times New Roman" w:hAnsi="Times New Roman" w:cs="Times New Roman"/>
          <w:sz w:val="24"/>
          <w:szCs w:val="24"/>
        </w:rPr>
        <w:t xml:space="preserve"> to achieve its implementation</w:t>
      </w:r>
      <w:r w:rsidR="00C37F84" w:rsidRPr="00DC0273">
        <w:rPr>
          <w:rFonts w:ascii="Times New Roman" w:hAnsi="Times New Roman" w:cs="Times New Roman"/>
          <w:sz w:val="24"/>
          <w:szCs w:val="24"/>
        </w:rPr>
        <w:t>.</w:t>
      </w:r>
    </w:p>
    <w:p w14:paraId="01558401"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48B5C299" w14:textId="050FCE99" w:rsidR="00C37F84" w:rsidRPr="00DC0273" w:rsidRDefault="00C37F84"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Since its implementation, it was </w:t>
      </w:r>
      <w:r w:rsidR="00675C20" w:rsidRPr="00DC0273">
        <w:rPr>
          <w:rFonts w:ascii="Times New Roman" w:hAnsi="Times New Roman" w:cs="Times New Roman"/>
          <w:sz w:val="24"/>
          <w:szCs w:val="24"/>
        </w:rPr>
        <w:t xml:space="preserve">slow </w:t>
      </w:r>
      <w:r w:rsidRPr="00DC0273">
        <w:rPr>
          <w:rFonts w:ascii="Times New Roman" w:hAnsi="Times New Roman" w:cs="Times New Roman"/>
          <w:sz w:val="24"/>
          <w:szCs w:val="24"/>
        </w:rPr>
        <w:t>to start with</w:t>
      </w:r>
      <w:r w:rsidR="006063B1" w:rsidRPr="00DC0273">
        <w:rPr>
          <w:rFonts w:ascii="Times New Roman" w:hAnsi="Times New Roman" w:cs="Times New Roman"/>
          <w:sz w:val="24"/>
          <w:szCs w:val="24"/>
        </w:rPr>
        <w:t xml:space="preserve"> in</w:t>
      </w:r>
      <w:r w:rsidR="00675C20" w:rsidRPr="00DC0273">
        <w:rPr>
          <w:rFonts w:ascii="Times New Roman" w:hAnsi="Times New Roman" w:cs="Times New Roman"/>
          <w:sz w:val="24"/>
          <w:szCs w:val="24"/>
        </w:rPr>
        <w:t xml:space="preserve"> many </w:t>
      </w:r>
      <w:r w:rsidRPr="00DC0273">
        <w:rPr>
          <w:rFonts w:ascii="Times New Roman" w:hAnsi="Times New Roman" w:cs="Times New Roman"/>
          <w:sz w:val="24"/>
          <w:szCs w:val="24"/>
        </w:rPr>
        <w:t xml:space="preserve">jurisdictions </w:t>
      </w:r>
      <w:r w:rsidR="00675C20" w:rsidRPr="00DC0273">
        <w:rPr>
          <w:rFonts w:ascii="Times New Roman" w:hAnsi="Times New Roman" w:cs="Times New Roman"/>
          <w:sz w:val="24"/>
          <w:szCs w:val="24"/>
        </w:rPr>
        <w:t>outside the Supreme Court</w:t>
      </w:r>
      <w:r w:rsidRPr="00DC0273">
        <w:rPr>
          <w:rFonts w:ascii="Times New Roman" w:hAnsi="Times New Roman" w:cs="Times New Roman"/>
          <w:sz w:val="24"/>
          <w:szCs w:val="24"/>
        </w:rPr>
        <w:t>.  We found in the Supreme Court that judges, when the opportunity arose, would apply the</w:t>
      </w:r>
      <w:r w:rsidRPr="00DC0273">
        <w:rPr>
          <w:rFonts w:ascii="Times New Roman" w:hAnsi="Times New Roman" w:cs="Times New Roman"/>
          <w:i/>
          <w:sz w:val="24"/>
          <w:szCs w:val="24"/>
        </w:rPr>
        <w:t xml:space="preserve"> Act</w:t>
      </w:r>
      <w:r w:rsidRPr="00DC0273">
        <w:rPr>
          <w:rFonts w:ascii="Times New Roman" w:hAnsi="Times New Roman" w:cs="Times New Roman"/>
          <w:sz w:val="24"/>
          <w:szCs w:val="24"/>
        </w:rPr>
        <w:t>, particularly the overarching obligation provisions in the</w:t>
      </w:r>
      <w:r w:rsidRPr="00DC0273">
        <w:rPr>
          <w:rFonts w:ascii="Times New Roman" w:hAnsi="Times New Roman" w:cs="Times New Roman"/>
          <w:i/>
          <w:sz w:val="24"/>
          <w:szCs w:val="24"/>
        </w:rPr>
        <w:t xml:space="preserve"> Act</w:t>
      </w:r>
      <w:r w:rsidRPr="00DC0273">
        <w:rPr>
          <w:rFonts w:ascii="Times New Roman" w:hAnsi="Times New Roman" w:cs="Times New Roman"/>
          <w:sz w:val="24"/>
          <w:szCs w:val="24"/>
        </w:rPr>
        <w:t xml:space="preserve"> with respect to counse</w:t>
      </w:r>
      <w:r w:rsidR="001167D5" w:rsidRPr="00DC0273">
        <w:rPr>
          <w:rFonts w:ascii="Times New Roman" w:hAnsi="Times New Roman" w:cs="Times New Roman"/>
          <w:sz w:val="24"/>
          <w:szCs w:val="24"/>
        </w:rPr>
        <w:t>l and practitioners and parties. A</w:t>
      </w:r>
      <w:r w:rsidRPr="00DC0273">
        <w:rPr>
          <w:rFonts w:ascii="Times New Roman" w:hAnsi="Times New Roman" w:cs="Times New Roman"/>
          <w:sz w:val="24"/>
          <w:szCs w:val="24"/>
        </w:rPr>
        <w:t xml:space="preserve"> number of judgments were delivered, but not </w:t>
      </w:r>
      <w:r w:rsidR="002452DC" w:rsidRPr="00DC0273">
        <w:rPr>
          <w:rFonts w:ascii="Times New Roman" w:hAnsi="Times New Roman" w:cs="Times New Roman"/>
          <w:sz w:val="24"/>
          <w:szCs w:val="24"/>
        </w:rPr>
        <w:t>much attention</w:t>
      </w:r>
      <w:r w:rsidRPr="00DC0273">
        <w:rPr>
          <w:rFonts w:ascii="Times New Roman" w:hAnsi="Times New Roman" w:cs="Times New Roman"/>
          <w:sz w:val="24"/>
          <w:szCs w:val="24"/>
        </w:rPr>
        <w:t xml:space="preserve"> was being </w:t>
      </w:r>
      <w:r w:rsidR="002452DC" w:rsidRPr="00DC0273">
        <w:rPr>
          <w:rFonts w:ascii="Times New Roman" w:hAnsi="Times New Roman" w:cs="Times New Roman"/>
          <w:sz w:val="24"/>
          <w:szCs w:val="24"/>
        </w:rPr>
        <w:t>given to</w:t>
      </w:r>
      <w:r w:rsidRPr="00DC0273">
        <w:rPr>
          <w:rFonts w:ascii="Times New Roman" w:hAnsi="Times New Roman" w:cs="Times New Roman"/>
          <w:sz w:val="24"/>
          <w:szCs w:val="24"/>
        </w:rPr>
        <w:t xml:space="preserve"> the</w:t>
      </w:r>
      <w:r w:rsidR="001167D5" w:rsidRPr="00DC0273">
        <w:rPr>
          <w:rFonts w:ascii="Times New Roman" w:hAnsi="Times New Roman" w:cs="Times New Roman"/>
          <w:sz w:val="24"/>
          <w:szCs w:val="24"/>
        </w:rPr>
        <w:t xml:space="preserve"> decision</w:t>
      </w:r>
      <w:r w:rsidR="0026799E" w:rsidRPr="00DC0273">
        <w:rPr>
          <w:rFonts w:ascii="Times New Roman" w:hAnsi="Times New Roman" w:cs="Times New Roman"/>
          <w:sz w:val="24"/>
          <w:szCs w:val="24"/>
        </w:rPr>
        <w:t>s</w:t>
      </w:r>
      <w:r w:rsidR="001167D5" w:rsidRPr="00DC0273">
        <w:rPr>
          <w:rFonts w:ascii="Times New Roman" w:hAnsi="Times New Roman" w:cs="Times New Roman"/>
          <w:sz w:val="24"/>
          <w:szCs w:val="24"/>
        </w:rPr>
        <w:t xml:space="preserve"> and the Act </w:t>
      </w:r>
      <w:r w:rsidRPr="00DC0273">
        <w:rPr>
          <w:rFonts w:ascii="Times New Roman" w:hAnsi="Times New Roman" w:cs="Times New Roman"/>
          <w:sz w:val="24"/>
          <w:szCs w:val="24"/>
        </w:rPr>
        <w:t>outside the Supreme Court.</w:t>
      </w:r>
    </w:p>
    <w:p w14:paraId="7FF7562C"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4EB1E58C" w14:textId="186C80C0" w:rsidR="00DE7EF8" w:rsidRPr="00DC0273" w:rsidRDefault="006063B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In one of my other capacities, </w:t>
      </w:r>
      <w:r w:rsidR="00C37F84" w:rsidRPr="00DC0273">
        <w:rPr>
          <w:rFonts w:ascii="Times New Roman" w:hAnsi="Times New Roman" w:cs="Times New Roman"/>
          <w:sz w:val="24"/>
          <w:szCs w:val="24"/>
        </w:rPr>
        <w:t xml:space="preserve">I </w:t>
      </w:r>
      <w:r w:rsidR="00DE7EF8" w:rsidRPr="00DC0273">
        <w:rPr>
          <w:rFonts w:ascii="Times New Roman" w:hAnsi="Times New Roman" w:cs="Times New Roman"/>
          <w:sz w:val="24"/>
          <w:szCs w:val="24"/>
        </w:rPr>
        <w:t>c</w:t>
      </w:r>
      <w:r w:rsidR="001271DD" w:rsidRPr="00DC0273">
        <w:rPr>
          <w:rFonts w:ascii="Times New Roman" w:hAnsi="Times New Roman" w:cs="Times New Roman"/>
          <w:sz w:val="24"/>
          <w:szCs w:val="24"/>
        </w:rPr>
        <w:t xml:space="preserve">hair the Judicial College of Victoria.  I </w:t>
      </w:r>
      <w:r w:rsidR="00C35BA1" w:rsidRPr="00DC0273">
        <w:rPr>
          <w:rFonts w:ascii="Times New Roman" w:hAnsi="Times New Roman" w:cs="Times New Roman"/>
          <w:sz w:val="24"/>
          <w:szCs w:val="24"/>
        </w:rPr>
        <w:t xml:space="preserve">requested </w:t>
      </w:r>
      <w:r w:rsidRPr="00DC0273">
        <w:rPr>
          <w:rFonts w:ascii="Times New Roman" w:hAnsi="Times New Roman" w:cs="Times New Roman"/>
          <w:sz w:val="24"/>
          <w:szCs w:val="24"/>
        </w:rPr>
        <w:t xml:space="preserve">that </w:t>
      </w:r>
      <w:r w:rsidR="001271DD" w:rsidRPr="00DC0273">
        <w:rPr>
          <w:rFonts w:ascii="Times New Roman" w:hAnsi="Times New Roman" w:cs="Times New Roman"/>
          <w:sz w:val="24"/>
          <w:szCs w:val="24"/>
        </w:rPr>
        <w:t>the College run cross-ju</w:t>
      </w:r>
      <w:r w:rsidR="00DE7EF8" w:rsidRPr="00DC0273">
        <w:rPr>
          <w:rFonts w:ascii="Times New Roman" w:hAnsi="Times New Roman" w:cs="Times New Roman"/>
          <w:sz w:val="24"/>
          <w:szCs w:val="24"/>
        </w:rPr>
        <w:t xml:space="preserve">risdictional education programs </w:t>
      </w:r>
      <w:r w:rsidR="00C35BA1" w:rsidRPr="00DC0273">
        <w:rPr>
          <w:rFonts w:ascii="Times New Roman" w:hAnsi="Times New Roman" w:cs="Times New Roman"/>
          <w:sz w:val="24"/>
          <w:szCs w:val="24"/>
        </w:rPr>
        <w:t xml:space="preserve">on the application of the </w:t>
      </w:r>
      <w:r w:rsidR="00C35BA1" w:rsidRPr="00DC0273">
        <w:rPr>
          <w:rFonts w:ascii="Times New Roman" w:hAnsi="Times New Roman" w:cs="Times New Roman"/>
          <w:i/>
          <w:sz w:val="24"/>
          <w:szCs w:val="24"/>
        </w:rPr>
        <w:t>Civil Procedure Act</w:t>
      </w:r>
      <w:r w:rsidR="00C35BA1" w:rsidRPr="00DC0273">
        <w:rPr>
          <w:rFonts w:ascii="Times New Roman" w:hAnsi="Times New Roman" w:cs="Times New Roman"/>
          <w:sz w:val="24"/>
          <w:szCs w:val="24"/>
        </w:rPr>
        <w:t>.  S</w:t>
      </w:r>
      <w:r w:rsidR="00DE7EF8" w:rsidRPr="00DC0273">
        <w:rPr>
          <w:rFonts w:ascii="Times New Roman" w:hAnsi="Times New Roman" w:cs="Times New Roman"/>
          <w:sz w:val="24"/>
          <w:szCs w:val="24"/>
        </w:rPr>
        <w:t>o we had m</w:t>
      </w:r>
      <w:r w:rsidR="001271DD" w:rsidRPr="00DC0273">
        <w:rPr>
          <w:rFonts w:ascii="Times New Roman" w:hAnsi="Times New Roman" w:cs="Times New Roman"/>
          <w:sz w:val="24"/>
          <w:szCs w:val="24"/>
        </w:rPr>
        <w:t xml:space="preserve">agistrates, County Court and Supreme Court judges all </w:t>
      </w:r>
      <w:r w:rsidR="00C35BA1" w:rsidRPr="00DC0273">
        <w:rPr>
          <w:rFonts w:ascii="Times New Roman" w:hAnsi="Times New Roman" w:cs="Times New Roman"/>
          <w:sz w:val="24"/>
          <w:szCs w:val="24"/>
        </w:rPr>
        <w:t xml:space="preserve">training </w:t>
      </w:r>
      <w:r w:rsidR="001271DD" w:rsidRPr="00DC0273">
        <w:rPr>
          <w:rFonts w:ascii="Times New Roman" w:hAnsi="Times New Roman" w:cs="Times New Roman"/>
          <w:sz w:val="24"/>
          <w:szCs w:val="24"/>
        </w:rPr>
        <w:t>together</w:t>
      </w:r>
      <w:r w:rsidRPr="00DC0273">
        <w:rPr>
          <w:rFonts w:ascii="Times New Roman" w:hAnsi="Times New Roman" w:cs="Times New Roman"/>
          <w:sz w:val="24"/>
          <w:szCs w:val="24"/>
        </w:rPr>
        <w:t>,</w:t>
      </w:r>
      <w:r w:rsidR="001271DD" w:rsidRPr="00DC0273">
        <w:rPr>
          <w:rFonts w:ascii="Times New Roman" w:hAnsi="Times New Roman" w:cs="Times New Roman"/>
          <w:sz w:val="24"/>
          <w:szCs w:val="24"/>
        </w:rPr>
        <w:t xml:space="preserve"> and </w:t>
      </w:r>
      <w:r w:rsidRPr="00DC0273">
        <w:rPr>
          <w:rFonts w:ascii="Times New Roman" w:hAnsi="Times New Roman" w:cs="Times New Roman"/>
          <w:sz w:val="24"/>
          <w:szCs w:val="24"/>
        </w:rPr>
        <w:t xml:space="preserve">even </w:t>
      </w:r>
      <w:r w:rsidR="001271DD" w:rsidRPr="00DC0273">
        <w:rPr>
          <w:rFonts w:ascii="Times New Roman" w:hAnsi="Times New Roman" w:cs="Times New Roman"/>
          <w:sz w:val="24"/>
          <w:szCs w:val="24"/>
        </w:rPr>
        <w:t xml:space="preserve">some VCAT members </w:t>
      </w:r>
      <w:r w:rsidR="00C35BA1" w:rsidRPr="00DC0273">
        <w:rPr>
          <w:rFonts w:ascii="Times New Roman" w:hAnsi="Times New Roman" w:cs="Times New Roman"/>
          <w:sz w:val="24"/>
          <w:szCs w:val="24"/>
        </w:rPr>
        <w:t>(</w:t>
      </w:r>
      <w:r w:rsidR="001271DD" w:rsidRPr="00DC0273">
        <w:rPr>
          <w:rFonts w:ascii="Times New Roman" w:hAnsi="Times New Roman" w:cs="Times New Roman"/>
          <w:sz w:val="24"/>
          <w:szCs w:val="24"/>
        </w:rPr>
        <w:t xml:space="preserve">although VCAT is not subject to the </w:t>
      </w:r>
      <w:r w:rsidR="001271DD" w:rsidRPr="00DC0273">
        <w:rPr>
          <w:rFonts w:ascii="Times New Roman" w:hAnsi="Times New Roman" w:cs="Times New Roman"/>
          <w:i/>
          <w:sz w:val="24"/>
          <w:szCs w:val="24"/>
        </w:rPr>
        <w:t>Civil Procedure Act</w:t>
      </w:r>
      <w:r w:rsidR="00C35BA1" w:rsidRPr="00DC0273">
        <w:rPr>
          <w:rFonts w:ascii="Times New Roman" w:hAnsi="Times New Roman" w:cs="Times New Roman"/>
          <w:sz w:val="24"/>
          <w:szCs w:val="24"/>
        </w:rPr>
        <w:t>)</w:t>
      </w:r>
      <w:r w:rsidR="001271DD" w:rsidRPr="00DC0273">
        <w:rPr>
          <w:rFonts w:ascii="Times New Roman" w:hAnsi="Times New Roman" w:cs="Times New Roman"/>
          <w:sz w:val="24"/>
          <w:szCs w:val="24"/>
        </w:rPr>
        <w:t xml:space="preserve">.  </w:t>
      </w:r>
      <w:r w:rsidR="00C35BA1" w:rsidRPr="00DC0273">
        <w:rPr>
          <w:rFonts w:ascii="Times New Roman" w:hAnsi="Times New Roman" w:cs="Times New Roman"/>
          <w:sz w:val="24"/>
          <w:szCs w:val="24"/>
        </w:rPr>
        <w:t xml:space="preserve">The College </w:t>
      </w:r>
      <w:r w:rsidR="001271DD" w:rsidRPr="00DC0273">
        <w:rPr>
          <w:rFonts w:ascii="Times New Roman" w:hAnsi="Times New Roman" w:cs="Times New Roman"/>
          <w:sz w:val="24"/>
          <w:szCs w:val="24"/>
        </w:rPr>
        <w:t xml:space="preserve">had all the jurisdictions being educated about the particular provisions and how to apply the </w:t>
      </w:r>
      <w:r w:rsidR="001271DD" w:rsidRPr="00DC0273">
        <w:rPr>
          <w:rFonts w:ascii="Times New Roman" w:hAnsi="Times New Roman" w:cs="Times New Roman"/>
          <w:i/>
          <w:sz w:val="24"/>
          <w:szCs w:val="24"/>
        </w:rPr>
        <w:t>Civil Procedure Act</w:t>
      </w:r>
      <w:r w:rsidR="001271DD" w:rsidRPr="00DC0273">
        <w:rPr>
          <w:rFonts w:ascii="Times New Roman" w:hAnsi="Times New Roman" w:cs="Times New Roman"/>
          <w:sz w:val="24"/>
          <w:szCs w:val="24"/>
        </w:rPr>
        <w:t>.  It has been dramatic in its impact in the Supreme Court and across the jurisdictions.</w:t>
      </w:r>
    </w:p>
    <w:p w14:paraId="19C0069A"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76C9F425" w14:textId="5DEB08B8" w:rsidR="001271DD" w:rsidRPr="00DC0273" w:rsidRDefault="001271D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We have seen a very significant increase in the number of cases resolved in the Supreme Court.  That can be for a variety of reasons.  It can be because of </w:t>
      </w:r>
      <w:r w:rsidR="00DE7EF8" w:rsidRPr="00DC0273">
        <w:rPr>
          <w:rFonts w:ascii="Times New Roman" w:hAnsi="Times New Roman" w:cs="Times New Roman"/>
          <w:sz w:val="24"/>
          <w:szCs w:val="24"/>
        </w:rPr>
        <w:t>case management. I</w:t>
      </w:r>
      <w:r w:rsidRPr="00DC0273">
        <w:rPr>
          <w:rFonts w:ascii="Times New Roman" w:hAnsi="Times New Roman" w:cs="Times New Roman"/>
          <w:sz w:val="24"/>
          <w:szCs w:val="24"/>
        </w:rPr>
        <w:t>t can be because of alternative dispute resolution</w:t>
      </w:r>
      <w:r w:rsidR="00C35BA1" w:rsidRPr="00DC0273">
        <w:rPr>
          <w:rFonts w:ascii="Times New Roman" w:hAnsi="Times New Roman" w:cs="Times New Roman"/>
          <w:sz w:val="24"/>
          <w:szCs w:val="24"/>
        </w:rPr>
        <w:t xml:space="preserve">.  However, </w:t>
      </w:r>
      <w:r w:rsidRPr="00DC0273">
        <w:rPr>
          <w:rFonts w:ascii="Times New Roman" w:hAnsi="Times New Roman" w:cs="Times New Roman"/>
          <w:sz w:val="24"/>
          <w:szCs w:val="24"/>
        </w:rPr>
        <w:t xml:space="preserve">if we conduct an analysis of the last few years of </w:t>
      </w:r>
      <w:r w:rsidR="00BC3B20" w:rsidRPr="00DC0273">
        <w:rPr>
          <w:rFonts w:ascii="Times New Roman" w:hAnsi="Times New Roman" w:cs="Times New Roman"/>
          <w:sz w:val="24"/>
          <w:szCs w:val="24"/>
        </w:rPr>
        <w:t xml:space="preserve">operation of </w:t>
      </w:r>
      <w:r w:rsidRPr="00DC0273">
        <w:rPr>
          <w:rFonts w:ascii="Times New Roman" w:hAnsi="Times New Roman" w:cs="Times New Roman"/>
          <w:sz w:val="24"/>
          <w:szCs w:val="24"/>
        </w:rPr>
        <w:t xml:space="preserve">the </w:t>
      </w:r>
      <w:r w:rsidRPr="00DC0273">
        <w:rPr>
          <w:rFonts w:ascii="Times New Roman" w:hAnsi="Times New Roman" w:cs="Times New Roman"/>
          <w:i/>
          <w:sz w:val="24"/>
          <w:szCs w:val="24"/>
        </w:rPr>
        <w:t>Civil Procedure Act</w:t>
      </w:r>
      <w:r w:rsidRPr="00DC0273">
        <w:rPr>
          <w:rFonts w:ascii="Times New Roman" w:hAnsi="Times New Roman" w:cs="Times New Roman"/>
          <w:sz w:val="24"/>
          <w:szCs w:val="24"/>
        </w:rPr>
        <w:t>, it has been an important contributor</w:t>
      </w:r>
      <w:r w:rsidR="00BC3B20" w:rsidRPr="00DC0273">
        <w:rPr>
          <w:rFonts w:ascii="Times New Roman" w:hAnsi="Times New Roman" w:cs="Times New Roman"/>
          <w:sz w:val="24"/>
          <w:szCs w:val="24"/>
        </w:rPr>
        <w:t xml:space="preserve"> in the management of litigation.  Anecdotally, this is certainly the case.</w:t>
      </w:r>
    </w:p>
    <w:p w14:paraId="3CA8241B"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197DF29B" w14:textId="1CBA59C8" w:rsidR="001271DD" w:rsidRPr="00DC0273" w:rsidRDefault="00DE7EF8"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For members of the a</w:t>
      </w:r>
      <w:r w:rsidR="001271DD" w:rsidRPr="00DC0273">
        <w:rPr>
          <w:rFonts w:ascii="Times New Roman" w:hAnsi="Times New Roman" w:cs="Times New Roman"/>
          <w:sz w:val="24"/>
          <w:szCs w:val="24"/>
        </w:rPr>
        <w:t xml:space="preserve">cademy in the audience today, there is a wonderful opportunity in Victoria to conduct an overview and longitudinal study of the impact of the </w:t>
      </w:r>
      <w:r w:rsidR="001271DD" w:rsidRPr="00DC0273">
        <w:rPr>
          <w:rFonts w:ascii="Times New Roman" w:hAnsi="Times New Roman" w:cs="Times New Roman"/>
          <w:i/>
          <w:sz w:val="24"/>
          <w:szCs w:val="24"/>
        </w:rPr>
        <w:t>Civil Procedure Act</w:t>
      </w:r>
      <w:r w:rsidR="001271DD" w:rsidRPr="00DC0273">
        <w:rPr>
          <w:rFonts w:ascii="Times New Roman" w:hAnsi="Times New Roman" w:cs="Times New Roman"/>
          <w:sz w:val="24"/>
          <w:szCs w:val="24"/>
        </w:rPr>
        <w:t xml:space="preserve"> in Victorian civil litigation.</w:t>
      </w:r>
    </w:p>
    <w:p w14:paraId="0FD0F323"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2F2D890D" w14:textId="15940332" w:rsidR="002452DC" w:rsidRPr="00DC0273" w:rsidRDefault="001271D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In terms of specific examples of how </w:t>
      </w:r>
      <w:r w:rsidR="00BC3B20" w:rsidRPr="00DC0273">
        <w:rPr>
          <w:rFonts w:ascii="Times New Roman" w:hAnsi="Times New Roman" w:cs="Times New Roman"/>
          <w:sz w:val="24"/>
          <w:szCs w:val="24"/>
        </w:rPr>
        <w:t>the Act</w:t>
      </w:r>
      <w:r w:rsidRPr="00DC0273">
        <w:rPr>
          <w:rFonts w:ascii="Times New Roman" w:hAnsi="Times New Roman" w:cs="Times New Roman"/>
          <w:sz w:val="24"/>
          <w:szCs w:val="24"/>
        </w:rPr>
        <w:t xml:space="preserve"> has had an impact, there is a very powerful provision in the Act</w:t>
      </w:r>
      <w:r w:rsidR="00DE7EF8" w:rsidRPr="00DC0273">
        <w:rPr>
          <w:rFonts w:ascii="Times New Roman" w:hAnsi="Times New Roman" w:cs="Times New Roman"/>
          <w:sz w:val="24"/>
          <w:szCs w:val="24"/>
        </w:rPr>
        <w:t>, s</w:t>
      </w:r>
      <w:r w:rsidR="006063B1"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29.  This provision, in a nutshell, enables a judge or a magistrate to </w:t>
      </w:r>
      <w:r w:rsidR="00BC3B20" w:rsidRPr="00DC0273">
        <w:rPr>
          <w:rFonts w:ascii="Times New Roman" w:hAnsi="Times New Roman" w:cs="Times New Roman"/>
          <w:sz w:val="24"/>
          <w:szCs w:val="24"/>
        </w:rPr>
        <w:t xml:space="preserve">initiate </w:t>
      </w:r>
      <w:r w:rsidRPr="00DC0273">
        <w:rPr>
          <w:rFonts w:ascii="Times New Roman" w:hAnsi="Times New Roman" w:cs="Times New Roman"/>
          <w:sz w:val="24"/>
          <w:szCs w:val="24"/>
        </w:rPr>
        <w:t>an investigation into the conduct of a proceeding, with a view to making special orders and provisions in relation to an individual.  It has not been used very often and</w:t>
      </w:r>
      <w:r w:rsidR="00BC3B20" w:rsidRPr="00DC0273">
        <w:rPr>
          <w:rFonts w:ascii="Times New Roman" w:hAnsi="Times New Roman" w:cs="Times New Roman"/>
          <w:sz w:val="24"/>
          <w:szCs w:val="24"/>
        </w:rPr>
        <w:t>,</w:t>
      </w:r>
      <w:r w:rsidRPr="00DC0273">
        <w:rPr>
          <w:rFonts w:ascii="Times New Roman" w:hAnsi="Times New Roman" w:cs="Times New Roman"/>
          <w:sz w:val="24"/>
          <w:szCs w:val="24"/>
        </w:rPr>
        <w:t xml:space="preserve"> of course</w:t>
      </w:r>
      <w:r w:rsidR="00BC3B20" w:rsidRPr="00DC0273">
        <w:rPr>
          <w:rFonts w:ascii="Times New Roman" w:hAnsi="Times New Roman" w:cs="Times New Roman"/>
          <w:sz w:val="24"/>
          <w:szCs w:val="24"/>
        </w:rPr>
        <w:t>,</w:t>
      </w:r>
      <w:r w:rsidRPr="00DC0273">
        <w:rPr>
          <w:rFonts w:ascii="Times New Roman" w:hAnsi="Times New Roman" w:cs="Times New Roman"/>
          <w:sz w:val="24"/>
          <w:szCs w:val="24"/>
        </w:rPr>
        <w:t xml:space="preserve"> it is saved for serious cases.</w:t>
      </w:r>
      <w:r w:rsidR="00086A6D" w:rsidRPr="00DC0273">
        <w:rPr>
          <w:rFonts w:ascii="Times New Roman" w:hAnsi="Times New Roman" w:cs="Times New Roman"/>
          <w:sz w:val="24"/>
          <w:szCs w:val="24"/>
        </w:rPr>
        <w:t xml:space="preserve">  </w:t>
      </w:r>
    </w:p>
    <w:p w14:paraId="477E7DE4" w14:textId="77777777" w:rsidR="002452DC" w:rsidRPr="00DC0273" w:rsidRDefault="002452DC" w:rsidP="00905BC2">
      <w:pPr>
        <w:spacing w:after="0" w:line="276" w:lineRule="auto"/>
        <w:ind w:firstLine="720"/>
        <w:jc w:val="both"/>
        <w:rPr>
          <w:rFonts w:ascii="Times New Roman" w:hAnsi="Times New Roman" w:cs="Times New Roman"/>
          <w:sz w:val="24"/>
          <w:szCs w:val="24"/>
        </w:rPr>
      </w:pPr>
    </w:p>
    <w:p w14:paraId="2D42CD78" w14:textId="42D5016E" w:rsidR="00BC3B20" w:rsidRPr="00DC0273" w:rsidRDefault="00086A6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One such case was a matter called </w:t>
      </w:r>
      <w:proofErr w:type="spellStart"/>
      <w:r w:rsidRPr="00DC0273">
        <w:rPr>
          <w:rFonts w:ascii="Times New Roman" w:hAnsi="Times New Roman" w:cs="Times New Roman"/>
          <w:i/>
          <w:sz w:val="24"/>
          <w:szCs w:val="24"/>
        </w:rPr>
        <w:t>Huds</w:t>
      </w:r>
      <w:r w:rsidR="0026799E" w:rsidRPr="00DC0273">
        <w:rPr>
          <w:rFonts w:ascii="Times New Roman" w:hAnsi="Times New Roman" w:cs="Times New Roman"/>
          <w:i/>
          <w:sz w:val="24"/>
          <w:szCs w:val="24"/>
        </w:rPr>
        <w:t>p</w:t>
      </w:r>
      <w:r w:rsidRPr="00DC0273">
        <w:rPr>
          <w:rFonts w:ascii="Times New Roman" w:hAnsi="Times New Roman" w:cs="Times New Roman"/>
          <w:i/>
          <w:sz w:val="24"/>
          <w:szCs w:val="24"/>
        </w:rPr>
        <w:t>eth</w:t>
      </w:r>
      <w:proofErr w:type="spellEnd"/>
      <w:r w:rsidR="00BC3B20" w:rsidRPr="00DC0273">
        <w:rPr>
          <w:rFonts w:ascii="Times New Roman" w:hAnsi="Times New Roman" w:cs="Times New Roman"/>
          <w:i/>
          <w:sz w:val="24"/>
          <w:szCs w:val="24"/>
        </w:rPr>
        <w:t xml:space="preserve"> v Scholastic Cleaning and Consu</w:t>
      </w:r>
      <w:r w:rsidR="006063B1" w:rsidRPr="00DC0273">
        <w:rPr>
          <w:rFonts w:ascii="Times New Roman" w:hAnsi="Times New Roman" w:cs="Times New Roman"/>
          <w:i/>
          <w:sz w:val="24"/>
          <w:szCs w:val="24"/>
        </w:rPr>
        <w:t>ltancy Services Pty Ltd</w:t>
      </w:r>
      <w:r w:rsidR="00BC3B20" w:rsidRPr="00DC0273">
        <w:rPr>
          <w:rFonts w:ascii="Times New Roman" w:hAnsi="Times New Roman" w:cs="Times New Roman"/>
          <w:i/>
          <w:sz w:val="24"/>
          <w:szCs w:val="24"/>
        </w:rPr>
        <w:t xml:space="preserve"> (Nos 1 and 2)</w:t>
      </w:r>
      <w:r w:rsidR="00BC3B20" w:rsidRPr="00DC0273">
        <w:rPr>
          <w:rStyle w:val="FootnoteReference"/>
          <w:rFonts w:ascii="Times New Roman" w:hAnsi="Times New Roman" w:cs="Times New Roman"/>
          <w:sz w:val="24"/>
          <w:szCs w:val="24"/>
        </w:rPr>
        <w:footnoteReference w:id="9"/>
      </w:r>
      <w:r w:rsidRPr="00DC0273">
        <w:rPr>
          <w:rFonts w:ascii="Times New Roman" w:hAnsi="Times New Roman" w:cs="Times New Roman"/>
          <w:sz w:val="24"/>
          <w:szCs w:val="24"/>
        </w:rPr>
        <w:t xml:space="preserve"> where there were suggestions that in a civil jury trial, an expert had changed his report</w:t>
      </w:r>
      <w:r w:rsidR="00BC3B20" w:rsidRPr="00DC0273">
        <w:rPr>
          <w:rFonts w:ascii="Times New Roman" w:hAnsi="Times New Roman" w:cs="Times New Roman"/>
          <w:sz w:val="24"/>
          <w:szCs w:val="24"/>
        </w:rPr>
        <w:t xml:space="preserve">.  </w:t>
      </w:r>
    </w:p>
    <w:p w14:paraId="05755208" w14:textId="77777777" w:rsidR="00BC3B20" w:rsidRPr="00DC0273" w:rsidRDefault="00BC3B20" w:rsidP="00905BC2">
      <w:pPr>
        <w:spacing w:after="0" w:line="276" w:lineRule="auto"/>
        <w:ind w:firstLine="720"/>
        <w:jc w:val="both"/>
        <w:rPr>
          <w:rFonts w:ascii="Times New Roman" w:hAnsi="Times New Roman" w:cs="Times New Roman"/>
          <w:sz w:val="24"/>
          <w:szCs w:val="24"/>
        </w:rPr>
      </w:pPr>
    </w:p>
    <w:p w14:paraId="4F98774C" w14:textId="0AAF9F81" w:rsidR="00BC3B20" w:rsidRPr="00DC0273" w:rsidRDefault="00BC3B20"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Justice Dixon proposed that pursuant to s 29 of the </w:t>
      </w:r>
      <w:r w:rsidRPr="00DC0273">
        <w:rPr>
          <w:rFonts w:ascii="Times New Roman" w:hAnsi="Times New Roman" w:cs="Times New Roman"/>
          <w:i/>
          <w:sz w:val="24"/>
          <w:szCs w:val="24"/>
        </w:rPr>
        <w:t>Civil Procedure Act</w:t>
      </w:r>
      <w:r w:rsidRPr="00DC0273">
        <w:rPr>
          <w:rFonts w:ascii="Times New Roman" w:hAnsi="Times New Roman" w:cs="Times New Roman"/>
          <w:sz w:val="24"/>
          <w:szCs w:val="24"/>
        </w:rPr>
        <w:t xml:space="preserve"> the Court on its own motion would consider whether any order under s 29(1) should be made in the interests of justice.  The Court was concerned that the solicitors and an expert witness may have engaged in misleading or deceptive conduct and failed to disclose the existence of documents to the Court.  His Honour considered the obligations of an expert witness particularly with respect to s 21 of the Act.  Ultimately, Justice Dixon was satisfied that improper practice had occurred and, accordingly, awarded various costs against the expert.  </w:t>
      </w:r>
    </w:p>
    <w:p w14:paraId="74BCD120" w14:textId="77777777" w:rsidR="00BC3B20" w:rsidRPr="00DC0273" w:rsidRDefault="00BC3B20" w:rsidP="00905BC2">
      <w:pPr>
        <w:spacing w:after="0" w:line="276" w:lineRule="auto"/>
        <w:ind w:firstLine="720"/>
        <w:jc w:val="both"/>
        <w:rPr>
          <w:rFonts w:ascii="Times New Roman" w:hAnsi="Times New Roman" w:cs="Times New Roman"/>
          <w:sz w:val="24"/>
          <w:szCs w:val="24"/>
          <w:u w:val="single"/>
        </w:rPr>
      </w:pPr>
    </w:p>
    <w:p w14:paraId="5E0C3C7C" w14:textId="517859BD" w:rsidR="001271DD" w:rsidRPr="00DC0273" w:rsidRDefault="00BC3B20"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lastRenderedPageBreak/>
        <w:t>At one point, t</w:t>
      </w:r>
      <w:r w:rsidR="00086A6D" w:rsidRPr="00DC0273">
        <w:rPr>
          <w:rFonts w:ascii="Times New Roman" w:hAnsi="Times New Roman" w:cs="Times New Roman"/>
          <w:sz w:val="24"/>
          <w:szCs w:val="24"/>
        </w:rPr>
        <w:t xml:space="preserve">he matter </w:t>
      </w:r>
      <w:r w:rsidR="002452DC" w:rsidRPr="00DC0273">
        <w:rPr>
          <w:rFonts w:ascii="Times New Roman" w:hAnsi="Times New Roman" w:cs="Times New Roman"/>
          <w:sz w:val="24"/>
          <w:szCs w:val="24"/>
        </w:rPr>
        <w:t>was</w:t>
      </w:r>
      <w:r w:rsidR="00086A6D" w:rsidRPr="00DC0273">
        <w:rPr>
          <w:rFonts w:ascii="Times New Roman" w:hAnsi="Times New Roman" w:cs="Times New Roman"/>
          <w:sz w:val="24"/>
          <w:szCs w:val="24"/>
        </w:rPr>
        <w:t xml:space="preserve"> in the Court of Appeal</w:t>
      </w:r>
      <w:r w:rsidRPr="00DC0273">
        <w:rPr>
          <w:rFonts w:ascii="Times New Roman" w:hAnsi="Times New Roman" w:cs="Times New Roman"/>
          <w:sz w:val="24"/>
          <w:szCs w:val="24"/>
        </w:rPr>
        <w:t xml:space="preserve"> </w:t>
      </w:r>
      <w:r w:rsidR="00086A6D" w:rsidRPr="00DC0273">
        <w:rPr>
          <w:rFonts w:ascii="Times New Roman" w:hAnsi="Times New Roman" w:cs="Times New Roman"/>
          <w:sz w:val="24"/>
          <w:szCs w:val="24"/>
        </w:rPr>
        <w:t xml:space="preserve">and there are observations about the </w:t>
      </w:r>
      <w:r w:rsidR="00086A6D" w:rsidRPr="00DC0273">
        <w:rPr>
          <w:rFonts w:ascii="Times New Roman" w:hAnsi="Times New Roman" w:cs="Times New Roman"/>
          <w:i/>
          <w:sz w:val="24"/>
          <w:szCs w:val="24"/>
        </w:rPr>
        <w:t>Civil Procedure Act</w:t>
      </w:r>
      <w:r w:rsidR="00086A6D" w:rsidRPr="00DC0273">
        <w:rPr>
          <w:rFonts w:ascii="Times New Roman" w:hAnsi="Times New Roman" w:cs="Times New Roman"/>
          <w:sz w:val="24"/>
          <w:szCs w:val="24"/>
        </w:rPr>
        <w:t xml:space="preserve"> in the Court of Ap</w:t>
      </w:r>
      <w:r w:rsidR="00DE7EF8" w:rsidRPr="00DC0273">
        <w:rPr>
          <w:rFonts w:ascii="Times New Roman" w:hAnsi="Times New Roman" w:cs="Times New Roman"/>
          <w:sz w:val="24"/>
          <w:szCs w:val="24"/>
        </w:rPr>
        <w:t>peal judgment</w:t>
      </w:r>
      <w:r w:rsidRPr="00DC0273">
        <w:rPr>
          <w:rFonts w:ascii="Times New Roman" w:hAnsi="Times New Roman" w:cs="Times New Roman"/>
          <w:sz w:val="24"/>
          <w:szCs w:val="24"/>
        </w:rPr>
        <w:t>.</w:t>
      </w:r>
      <w:r w:rsidRPr="00DC0273">
        <w:rPr>
          <w:rStyle w:val="FootnoteReference"/>
          <w:rFonts w:ascii="Times New Roman" w:hAnsi="Times New Roman" w:cs="Times New Roman"/>
          <w:sz w:val="24"/>
          <w:szCs w:val="24"/>
        </w:rPr>
        <w:footnoteReference w:id="10"/>
      </w:r>
      <w:r w:rsidR="00DE7EF8"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 On the appeal</w:t>
      </w:r>
      <w:r w:rsidR="006063B1" w:rsidRPr="00DC0273">
        <w:rPr>
          <w:rFonts w:ascii="Times New Roman" w:hAnsi="Times New Roman" w:cs="Times New Roman"/>
          <w:sz w:val="24"/>
          <w:szCs w:val="24"/>
        </w:rPr>
        <w:t>,</w:t>
      </w:r>
      <w:r w:rsidRPr="00DC0273">
        <w:rPr>
          <w:rFonts w:ascii="Times New Roman" w:hAnsi="Times New Roman" w:cs="Times New Roman"/>
          <w:sz w:val="24"/>
          <w:szCs w:val="24"/>
        </w:rPr>
        <w:t xml:space="preserve"> the Court considered the obligation on parties to ensure </w:t>
      </w:r>
      <w:r w:rsidR="006063B1" w:rsidRPr="00DC0273">
        <w:rPr>
          <w:rFonts w:ascii="Times New Roman" w:hAnsi="Times New Roman" w:cs="Times New Roman"/>
          <w:sz w:val="24"/>
          <w:szCs w:val="24"/>
        </w:rPr>
        <w:t>the</w:t>
      </w:r>
      <w:r w:rsidRPr="00DC0273">
        <w:rPr>
          <w:rFonts w:ascii="Times New Roman" w:hAnsi="Times New Roman" w:cs="Times New Roman"/>
          <w:sz w:val="24"/>
          <w:szCs w:val="24"/>
        </w:rPr>
        <w:t xml:space="preserve"> just, timely and cost efficient resolution of the real issues in dispute pursuant to s 7 of the </w:t>
      </w:r>
      <w:r w:rsidRPr="00DC0273">
        <w:rPr>
          <w:rFonts w:ascii="Times New Roman" w:hAnsi="Times New Roman" w:cs="Times New Roman"/>
          <w:i/>
          <w:sz w:val="24"/>
          <w:szCs w:val="24"/>
        </w:rPr>
        <w:t>Civil Procedure Act</w:t>
      </w:r>
      <w:r w:rsidRPr="00DC0273">
        <w:rPr>
          <w:rFonts w:ascii="Times New Roman" w:hAnsi="Times New Roman" w:cs="Times New Roman"/>
          <w:sz w:val="24"/>
          <w:szCs w:val="24"/>
        </w:rPr>
        <w:t>.  The Court of Appeal, notwithstanding that the appellant ha</w:t>
      </w:r>
      <w:r w:rsidR="006063B1" w:rsidRPr="00DC0273">
        <w:rPr>
          <w:rFonts w:ascii="Times New Roman" w:hAnsi="Times New Roman" w:cs="Times New Roman"/>
          <w:sz w:val="24"/>
          <w:szCs w:val="24"/>
        </w:rPr>
        <w:t>d been successful, ordered that</w:t>
      </w:r>
      <w:r w:rsidR="002452DC" w:rsidRPr="00DC0273">
        <w:rPr>
          <w:rFonts w:ascii="Times New Roman" w:hAnsi="Times New Roman" w:cs="Times New Roman"/>
          <w:sz w:val="24"/>
          <w:szCs w:val="24"/>
        </w:rPr>
        <w:t xml:space="preserve"> senior c</w:t>
      </w:r>
      <w:r w:rsidR="004965B0" w:rsidRPr="00DC0273">
        <w:rPr>
          <w:rFonts w:ascii="Times New Roman" w:hAnsi="Times New Roman" w:cs="Times New Roman"/>
          <w:sz w:val="24"/>
          <w:szCs w:val="24"/>
        </w:rPr>
        <w:t xml:space="preserve">ounsel and </w:t>
      </w:r>
      <w:r w:rsidR="006063B1" w:rsidRPr="00DC0273">
        <w:rPr>
          <w:rFonts w:ascii="Times New Roman" w:hAnsi="Times New Roman" w:cs="Times New Roman"/>
          <w:sz w:val="24"/>
          <w:szCs w:val="24"/>
        </w:rPr>
        <w:t xml:space="preserve">the </w:t>
      </w:r>
      <w:r w:rsidR="004965B0" w:rsidRPr="00DC0273">
        <w:rPr>
          <w:rFonts w:ascii="Times New Roman" w:hAnsi="Times New Roman" w:cs="Times New Roman"/>
          <w:sz w:val="24"/>
          <w:szCs w:val="24"/>
        </w:rPr>
        <w:t>solicitor</w:t>
      </w:r>
      <w:r w:rsidR="006063B1" w:rsidRPr="00DC0273">
        <w:rPr>
          <w:rFonts w:ascii="Times New Roman" w:hAnsi="Times New Roman" w:cs="Times New Roman"/>
          <w:sz w:val="24"/>
          <w:szCs w:val="24"/>
        </w:rPr>
        <w:t>s</w:t>
      </w:r>
      <w:r w:rsidR="004965B0" w:rsidRPr="00DC0273">
        <w:rPr>
          <w:rFonts w:ascii="Times New Roman" w:hAnsi="Times New Roman" w:cs="Times New Roman"/>
          <w:sz w:val="24"/>
          <w:szCs w:val="24"/>
        </w:rPr>
        <w:t xml:space="preserve"> representing the appellant </w:t>
      </w:r>
      <w:r w:rsidR="00604A63" w:rsidRPr="00DC0273">
        <w:rPr>
          <w:rFonts w:ascii="Times New Roman" w:hAnsi="Times New Roman" w:cs="Times New Roman"/>
          <w:sz w:val="24"/>
          <w:szCs w:val="24"/>
        </w:rPr>
        <w:t>contribute</w:t>
      </w:r>
      <w:r w:rsidR="004965B0" w:rsidRPr="00DC0273">
        <w:rPr>
          <w:rFonts w:ascii="Times New Roman" w:hAnsi="Times New Roman" w:cs="Times New Roman"/>
          <w:sz w:val="24"/>
          <w:szCs w:val="24"/>
        </w:rPr>
        <w:t xml:space="preserve"> to a significant proportion of the unsuccessful respondent’s costs.</w:t>
      </w:r>
      <w:r w:rsidR="004965B0" w:rsidRPr="00DC0273">
        <w:rPr>
          <w:rStyle w:val="FootnoteReference"/>
          <w:rFonts w:ascii="Times New Roman" w:hAnsi="Times New Roman" w:cs="Times New Roman"/>
          <w:sz w:val="24"/>
          <w:szCs w:val="24"/>
        </w:rPr>
        <w:footnoteReference w:id="11"/>
      </w:r>
      <w:r w:rsidR="0059571B" w:rsidRPr="00DC0273">
        <w:rPr>
          <w:rFonts w:ascii="Times New Roman" w:hAnsi="Times New Roman" w:cs="Times New Roman"/>
          <w:sz w:val="24"/>
          <w:szCs w:val="24"/>
        </w:rPr>
        <w:t xml:space="preserve">  </w:t>
      </w:r>
      <w:r w:rsidRPr="00DC0273">
        <w:rPr>
          <w:rFonts w:ascii="Times New Roman" w:hAnsi="Times New Roman" w:cs="Times New Roman"/>
          <w:sz w:val="24"/>
          <w:szCs w:val="24"/>
        </w:rPr>
        <w:t>B</w:t>
      </w:r>
      <w:r w:rsidR="00DE7EF8" w:rsidRPr="00DC0273">
        <w:rPr>
          <w:rFonts w:ascii="Times New Roman" w:hAnsi="Times New Roman" w:cs="Times New Roman"/>
          <w:sz w:val="24"/>
          <w:szCs w:val="24"/>
        </w:rPr>
        <w:t>ut it is the s</w:t>
      </w:r>
      <w:r w:rsidR="006063B1" w:rsidRPr="00DC0273">
        <w:rPr>
          <w:rFonts w:ascii="Times New Roman" w:hAnsi="Times New Roman" w:cs="Times New Roman"/>
          <w:sz w:val="24"/>
          <w:szCs w:val="24"/>
        </w:rPr>
        <w:t xml:space="preserve"> </w:t>
      </w:r>
      <w:r w:rsidR="00086A6D" w:rsidRPr="00DC0273">
        <w:rPr>
          <w:rFonts w:ascii="Times New Roman" w:hAnsi="Times New Roman" w:cs="Times New Roman"/>
          <w:sz w:val="24"/>
          <w:szCs w:val="24"/>
        </w:rPr>
        <w:t>29 proceeding before Dixon J that I draw to your attention for those who want to see how a model works.</w:t>
      </w:r>
    </w:p>
    <w:p w14:paraId="167958C9"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484FD489" w14:textId="11178E17" w:rsidR="00086A6D" w:rsidRPr="00DC0273" w:rsidRDefault="004965B0"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An appendix to this</w:t>
      </w:r>
      <w:r w:rsidR="00086A6D" w:rsidRPr="00DC0273">
        <w:rPr>
          <w:rFonts w:ascii="Times New Roman" w:hAnsi="Times New Roman" w:cs="Times New Roman"/>
          <w:sz w:val="24"/>
          <w:szCs w:val="24"/>
        </w:rPr>
        <w:t xml:space="preserve"> paper</w:t>
      </w:r>
      <w:r w:rsidRPr="00DC0273">
        <w:rPr>
          <w:rFonts w:ascii="Times New Roman" w:hAnsi="Times New Roman" w:cs="Times New Roman"/>
          <w:sz w:val="24"/>
          <w:szCs w:val="24"/>
        </w:rPr>
        <w:t xml:space="preserve"> provides</w:t>
      </w:r>
      <w:r w:rsidR="00086A6D" w:rsidRPr="00DC0273">
        <w:rPr>
          <w:rFonts w:ascii="Times New Roman" w:hAnsi="Times New Roman" w:cs="Times New Roman"/>
          <w:sz w:val="24"/>
          <w:szCs w:val="24"/>
        </w:rPr>
        <w:t xml:space="preserve"> an overvie</w:t>
      </w:r>
      <w:r w:rsidR="00DE7EF8" w:rsidRPr="00DC0273">
        <w:rPr>
          <w:rFonts w:ascii="Times New Roman" w:hAnsi="Times New Roman" w:cs="Times New Roman"/>
          <w:sz w:val="24"/>
          <w:szCs w:val="24"/>
        </w:rPr>
        <w:t>w of cases in the Supreme Court</w:t>
      </w:r>
      <w:r w:rsidRPr="00DC0273">
        <w:rPr>
          <w:rFonts w:ascii="Times New Roman" w:hAnsi="Times New Roman" w:cs="Times New Roman"/>
          <w:sz w:val="24"/>
          <w:szCs w:val="24"/>
        </w:rPr>
        <w:t xml:space="preserve">.  It reveals, by way of a snapshot, </w:t>
      </w:r>
      <w:r w:rsidR="00086A6D" w:rsidRPr="00DC0273">
        <w:rPr>
          <w:rFonts w:ascii="Times New Roman" w:hAnsi="Times New Roman" w:cs="Times New Roman"/>
          <w:sz w:val="24"/>
          <w:szCs w:val="24"/>
        </w:rPr>
        <w:t xml:space="preserve">the impact that the </w:t>
      </w:r>
      <w:r w:rsidR="00086A6D" w:rsidRPr="00DC0273">
        <w:rPr>
          <w:rFonts w:ascii="Times New Roman" w:hAnsi="Times New Roman" w:cs="Times New Roman"/>
          <w:i/>
          <w:sz w:val="24"/>
          <w:szCs w:val="24"/>
        </w:rPr>
        <w:t>Civil Procedure Act</w:t>
      </w:r>
      <w:r w:rsidR="00086A6D" w:rsidRPr="00DC0273">
        <w:rPr>
          <w:rFonts w:ascii="Times New Roman" w:hAnsi="Times New Roman" w:cs="Times New Roman"/>
          <w:sz w:val="24"/>
          <w:szCs w:val="24"/>
        </w:rPr>
        <w:t xml:space="preserve"> is having on civil litigation.  Importantly, the Court of Appeal has delivered a judgment </w:t>
      </w:r>
      <w:r w:rsidRPr="00DC0273">
        <w:rPr>
          <w:rFonts w:ascii="Times New Roman" w:hAnsi="Times New Roman" w:cs="Times New Roman"/>
          <w:sz w:val="24"/>
          <w:szCs w:val="24"/>
        </w:rPr>
        <w:t>holding</w:t>
      </w:r>
      <w:r w:rsidR="006063B1" w:rsidRPr="00DC0273">
        <w:rPr>
          <w:rFonts w:ascii="Times New Roman" w:hAnsi="Times New Roman" w:cs="Times New Roman"/>
          <w:sz w:val="24"/>
          <w:szCs w:val="24"/>
        </w:rPr>
        <w:t>,</w:t>
      </w:r>
      <w:r w:rsidRPr="00DC0273">
        <w:rPr>
          <w:rFonts w:ascii="Times New Roman" w:hAnsi="Times New Roman" w:cs="Times New Roman"/>
          <w:sz w:val="24"/>
          <w:szCs w:val="24"/>
        </w:rPr>
        <w:t xml:space="preserve"> </w:t>
      </w:r>
      <w:r w:rsidR="00086A6D" w:rsidRPr="00DC0273">
        <w:rPr>
          <w:rFonts w:ascii="Times New Roman" w:hAnsi="Times New Roman" w:cs="Times New Roman"/>
          <w:sz w:val="24"/>
          <w:szCs w:val="24"/>
        </w:rPr>
        <w:t>quite unequivocally</w:t>
      </w:r>
      <w:r w:rsidRPr="00DC0273">
        <w:rPr>
          <w:rFonts w:ascii="Times New Roman" w:hAnsi="Times New Roman" w:cs="Times New Roman"/>
          <w:sz w:val="24"/>
          <w:szCs w:val="24"/>
        </w:rPr>
        <w:t>,</w:t>
      </w:r>
      <w:r w:rsidR="00086A6D" w:rsidRPr="00DC0273">
        <w:rPr>
          <w:rFonts w:ascii="Times New Roman" w:hAnsi="Times New Roman" w:cs="Times New Roman"/>
          <w:sz w:val="24"/>
          <w:szCs w:val="24"/>
        </w:rPr>
        <w:t xml:space="preserve"> that not only are there duties </w:t>
      </w:r>
      <w:r w:rsidRPr="00DC0273">
        <w:rPr>
          <w:rFonts w:ascii="Times New Roman" w:hAnsi="Times New Roman" w:cs="Times New Roman"/>
          <w:sz w:val="24"/>
          <w:szCs w:val="24"/>
        </w:rPr>
        <w:t xml:space="preserve">imposed </w:t>
      </w:r>
      <w:r w:rsidR="00086A6D" w:rsidRPr="00DC0273">
        <w:rPr>
          <w:rFonts w:ascii="Times New Roman" w:hAnsi="Times New Roman" w:cs="Times New Roman"/>
          <w:sz w:val="24"/>
          <w:szCs w:val="24"/>
        </w:rPr>
        <w:t xml:space="preserve">on the parties to apply the </w:t>
      </w:r>
      <w:r w:rsidR="00086A6D" w:rsidRPr="00DC0273">
        <w:rPr>
          <w:rFonts w:ascii="Times New Roman" w:hAnsi="Times New Roman" w:cs="Times New Roman"/>
          <w:i/>
          <w:sz w:val="24"/>
          <w:szCs w:val="24"/>
        </w:rPr>
        <w:t>Civil Procedure Act</w:t>
      </w:r>
      <w:r w:rsidR="00086A6D" w:rsidRPr="00DC0273">
        <w:rPr>
          <w:rFonts w:ascii="Times New Roman" w:hAnsi="Times New Roman" w:cs="Times New Roman"/>
          <w:sz w:val="24"/>
          <w:szCs w:val="24"/>
        </w:rPr>
        <w:t xml:space="preserve"> but </w:t>
      </w:r>
      <w:r w:rsidRPr="00DC0273">
        <w:rPr>
          <w:rFonts w:ascii="Times New Roman" w:hAnsi="Times New Roman" w:cs="Times New Roman"/>
          <w:sz w:val="24"/>
          <w:szCs w:val="24"/>
        </w:rPr>
        <w:t xml:space="preserve">that </w:t>
      </w:r>
      <w:r w:rsidR="00086A6D" w:rsidRPr="00DC0273">
        <w:rPr>
          <w:rFonts w:ascii="Times New Roman" w:hAnsi="Times New Roman" w:cs="Times New Roman"/>
          <w:sz w:val="24"/>
          <w:szCs w:val="24"/>
        </w:rPr>
        <w:t xml:space="preserve">there are also duties on the </w:t>
      </w:r>
      <w:r w:rsidRPr="00DC0273">
        <w:rPr>
          <w:rFonts w:ascii="Times New Roman" w:hAnsi="Times New Roman" w:cs="Times New Roman"/>
          <w:sz w:val="24"/>
          <w:szCs w:val="24"/>
        </w:rPr>
        <w:t>courts themselves</w:t>
      </w:r>
      <w:r w:rsidR="00086A6D" w:rsidRPr="00DC0273">
        <w:rPr>
          <w:rFonts w:ascii="Times New Roman" w:hAnsi="Times New Roman" w:cs="Times New Roman"/>
          <w:sz w:val="24"/>
          <w:szCs w:val="24"/>
        </w:rPr>
        <w:t>.</w:t>
      </w:r>
      <w:r w:rsidRPr="00DC0273">
        <w:rPr>
          <w:rFonts w:ascii="Times New Roman" w:hAnsi="Times New Roman" w:cs="Times New Roman"/>
          <w:sz w:val="24"/>
          <w:szCs w:val="24"/>
        </w:rPr>
        <w:t xml:space="preserve">  </w:t>
      </w:r>
    </w:p>
    <w:p w14:paraId="274417E9" w14:textId="77777777" w:rsidR="00DC0273" w:rsidRDefault="00DC0273" w:rsidP="00DC0273">
      <w:pPr>
        <w:spacing w:after="0" w:line="276" w:lineRule="auto"/>
        <w:jc w:val="both"/>
        <w:rPr>
          <w:rFonts w:ascii="Times New Roman" w:hAnsi="Times New Roman" w:cs="Times New Roman"/>
          <w:sz w:val="24"/>
          <w:szCs w:val="24"/>
        </w:rPr>
      </w:pPr>
    </w:p>
    <w:p w14:paraId="2273F7FF" w14:textId="4880C179" w:rsidR="004965B0" w:rsidRPr="00DC0273" w:rsidRDefault="004965B0" w:rsidP="00DC0273">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In </w:t>
      </w:r>
      <w:proofErr w:type="spellStart"/>
      <w:r w:rsidRPr="00DC0273">
        <w:rPr>
          <w:rFonts w:ascii="Times New Roman" w:hAnsi="Times New Roman" w:cs="Times New Roman"/>
          <w:i/>
          <w:sz w:val="24"/>
          <w:szCs w:val="24"/>
        </w:rPr>
        <w:t>Yara</w:t>
      </w:r>
      <w:proofErr w:type="spellEnd"/>
      <w:r w:rsidRPr="00DC0273">
        <w:rPr>
          <w:rFonts w:ascii="Times New Roman" w:hAnsi="Times New Roman" w:cs="Times New Roman"/>
          <w:i/>
          <w:sz w:val="24"/>
          <w:szCs w:val="24"/>
        </w:rPr>
        <w:t xml:space="preserve"> Australia Pty Ltd v </w:t>
      </w:r>
      <w:proofErr w:type="spellStart"/>
      <w:r w:rsidRPr="00DC0273">
        <w:rPr>
          <w:rFonts w:ascii="Times New Roman" w:hAnsi="Times New Roman" w:cs="Times New Roman"/>
          <w:i/>
          <w:sz w:val="24"/>
          <w:szCs w:val="24"/>
        </w:rPr>
        <w:t>Oswal</w:t>
      </w:r>
      <w:proofErr w:type="spellEnd"/>
      <w:r w:rsidRPr="00DC0273">
        <w:rPr>
          <w:rStyle w:val="FootnoteReference"/>
          <w:rFonts w:ascii="Times New Roman" w:hAnsi="Times New Roman" w:cs="Times New Roman"/>
          <w:i/>
          <w:sz w:val="24"/>
          <w:szCs w:val="24"/>
        </w:rPr>
        <w:footnoteReference w:id="12"/>
      </w:r>
      <w:r w:rsidRPr="00DC0273">
        <w:rPr>
          <w:rFonts w:ascii="Times New Roman" w:hAnsi="Times New Roman" w:cs="Times New Roman"/>
          <w:sz w:val="24"/>
          <w:szCs w:val="24"/>
        </w:rPr>
        <w:t xml:space="preserve"> the Court observed:</w:t>
      </w:r>
    </w:p>
    <w:p w14:paraId="0546AB35" w14:textId="77777777" w:rsidR="00C84BBB" w:rsidRPr="00DC0273" w:rsidRDefault="00C84BBB" w:rsidP="00905BC2">
      <w:pPr>
        <w:spacing w:after="0" w:line="276" w:lineRule="auto"/>
        <w:ind w:firstLine="720"/>
        <w:jc w:val="both"/>
        <w:rPr>
          <w:rFonts w:ascii="Times New Roman" w:hAnsi="Times New Roman" w:cs="Times New Roman"/>
          <w:sz w:val="24"/>
          <w:szCs w:val="24"/>
        </w:rPr>
      </w:pPr>
    </w:p>
    <w:p w14:paraId="519E3D7F" w14:textId="65242573" w:rsidR="00A61E99" w:rsidRPr="00DC0273" w:rsidRDefault="004965B0" w:rsidP="00905BC2">
      <w:pPr>
        <w:pStyle w:val="Heading1"/>
        <w:numPr>
          <w:ilvl w:val="0"/>
          <w:numId w:val="0"/>
        </w:numPr>
        <w:tabs>
          <w:tab w:val="clear" w:pos="1440"/>
        </w:tabs>
        <w:spacing w:before="0" w:line="276" w:lineRule="auto"/>
        <w:ind w:left="720"/>
        <w:rPr>
          <w:rFonts w:ascii="Times New Roman" w:hAnsi="Times New Roman"/>
          <w:color w:val="000000"/>
          <w:szCs w:val="24"/>
        </w:rPr>
      </w:pPr>
      <w:r w:rsidRPr="00DC0273">
        <w:rPr>
          <w:rFonts w:ascii="Times New Roman" w:hAnsi="Times New Roman"/>
          <w:szCs w:val="24"/>
        </w:rPr>
        <w:t>The court is obliged to give effect to the overarching purpose of the Act ‘to facilitate the just, efficient, timely and cost effective resolution of the real issues in dispute’.  The court is directed to further the</w:t>
      </w:r>
      <w:r w:rsidRPr="00DC0273">
        <w:rPr>
          <w:rFonts w:ascii="Times New Roman" w:hAnsi="Times New Roman"/>
          <w:b/>
          <w:bCs/>
          <w:szCs w:val="24"/>
        </w:rPr>
        <w:t xml:space="preserve"> </w:t>
      </w:r>
      <w:r w:rsidRPr="00DC0273">
        <w:rPr>
          <w:rFonts w:ascii="Times New Roman" w:hAnsi="Times New Roman"/>
          <w:bCs/>
          <w:szCs w:val="24"/>
        </w:rPr>
        <w:t>overarching</w:t>
      </w:r>
      <w:r w:rsidRPr="00DC0273">
        <w:rPr>
          <w:rFonts w:ascii="Times New Roman" w:hAnsi="Times New Roman"/>
          <w:szCs w:val="24"/>
        </w:rPr>
        <w:t xml:space="preserve"> purpose by having regard to the objects and matters articulated in s 9 of the Act which include</w:t>
      </w:r>
      <w:r w:rsidRPr="00DC0273">
        <w:rPr>
          <w:rFonts w:ascii="Times New Roman" w:hAnsi="Times New Roman"/>
          <w:color w:val="000000"/>
          <w:szCs w:val="24"/>
        </w:rPr>
        <w:t xml:space="preserve"> the efficient use of judicial and administrative resources and dealing with the proceeding in a manner proportionate to the complexity and importance of the issues and amount in dispute. </w:t>
      </w:r>
    </w:p>
    <w:p w14:paraId="64FC2453" w14:textId="77777777" w:rsidR="00A61E99" w:rsidRPr="00DC0273" w:rsidRDefault="00A61E99" w:rsidP="00905BC2">
      <w:pPr>
        <w:pStyle w:val="Heading1"/>
        <w:numPr>
          <w:ilvl w:val="0"/>
          <w:numId w:val="0"/>
        </w:numPr>
        <w:spacing w:before="0" w:line="276" w:lineRule="auto"/>
        <w:ind w:left="720"/>
        <w:rPr>
          <w:rFonts w:ascii="Times New Roman" w:hAnsi="Times New Roman"/>
          <w:color w:val="000000"/>
          <w:szCs w:val="24"/>
        </w:rPr>
      </w:pPr>
    </w:p>
    <w:p w14:paraId="39996A7B" w14:textId="34B59123" w:rsidR="00DE7EF8" w:rsidRPr="00DC0273" w:rsidRDefault="00A61E99" w:rsidP="00905BC2">
      <w:pPr>
        <w:spacing w:after="0" w:line="276" w:lineRule="auto"/>
        <w:ind w:left="720"/>
        <w:jc w:val="both"/>
        <w:rPr>
          <w:rFonts w:ascii="Times New Roman" w:hAnsi="Times New Roman" w:cs="Times New Roman"/>
          <w:sz w:val="24"/>
          <w:szCs w:val="24"/>
        </w:rPr>
      </w:pPr>
      <w:bookmarkStart w:id="0" w:name="_Ref372017928"/>
      <w:r w:rsidRPr="00DC0273">
        <w:rPr>
          <w:rFonts w:ascii="Times New Roman" w:hAnsi="Times New Roman" w:cs="Times New Roman"/>
          <w:sz w:val="24"/>
          <w:szCs w:val="24"/>
        </w:rPr>
        <w:t>The overarching obligations apply to any person who is a party, any legal practitioner, legal representative or law practice acting for or on behalf of a party.  The overarching obligations do not override any duty or obligation of a legal practitioner arising under common law or statute to the extent that such duties and obligations and the overarching obligations can operate consistently.  But a legal practitioner or law practice engaged by or on behalf of a client in connection with a civil proceeding ‘must comply with the overarching obligations despite any obligation … to act in accordance with the instructions or wishes of the client’.  A legal practitioner is not required to comply with any instruction or wish of a client which is inconsistent with the overarching obligations, and must not cause the client to contravene the overarching obligations. To the extent that there is an inconsistency between a legal practitioner’s duty to a client and their overarching obligations, the obligation prevails.</w:t>
      </w:r>
      <w:bookmarkEnd w:id="0"/>
      <w:r w:rsidRPr="00DC0273">
        <w:rPr>
          <w:rStyle w:val="FootnoteReference"/>
          <w:rFonts w:ascii="Times New Roman" w:hAnsi="Times New Roman" w:cs="Times New Roman"/>
          <w:color w:val="000000"/>
          <w:sz w:val="24"/>
          <w:szCs w:val="24"/>
        </w:rPr>
        <w:footnoteReference w:id="13"/>
      </w:r>
    </w:p>
    <w:p w14:paraId="3C2F377B" w14:textId="77777777" w:rsidR="00A61E99" w:rsidRPr="00DC0273" w:rsidRDefault="00A61E99" w:rsidP="00905BC2">
      <w:pPr>
        <w:spacing w:after="0" w:line="276" w:lineRule="auto"/>
        <w:ind w:firstLine="720"/>
        <w:jc w:val="both"/>
        <w:rPr>
          <w:rFonts w:ascii="Times New Roman" w:hAnsi="Times New Roman" w:cs="Times New Roman"/>
          <w:sz w:val="24"/>
          <w:szCs w:val="24"/>
        </w:rPr>
      </w:pPr>
    </w:p>
    <w:p w14:paraId="39841A28" w14:textId="4210FB27" w:rsidR="00A61E99" w:rsidRPr="00DC0273" w:rsidRDefault="00A61E9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Significantly, the Court of Appeal observed in terms of the universal obligations under the Act:</w:t>
      </w:r>
    </w:p>
    <w:p w14:paraId="509C7854" w14:textId="240BAE5D" w:rsidR="00A61E99" w:rsidRPr="00DC0273" w:rsidRDefault="00A61E99" w:rsidP="00905BC2">
      <w:pPr>
        <w:pStyle w:val="Heading1"/>
        <w:numPr>
          <w:ilvl w:val="0"/>
          <w:numId w:val="0"/>
        </w:numPr>
        <w:tabs>
          <w:tab w:val="clear" w:pos="1440"/>
        </w:tabs>
        <w:spacing w:before="0" w:line="276" w:lineRule="auto"/>
        <w:ind w:left="720"/>
        <w:rPr>
          <w:rFonts w:ascii="Times New Roman" w:hAnsi="Times New Roman"/>
          <w:szCs w:val="24"/>
        </w:rPr>
      </w:pPr>
      <w:r w:rsidRPr="00DC0273">
        <w:rPr>
          <w:rFonts w:ascii="Times New Roman" w:hAnsi="Times New Roman"/>
          <w:szCs w:val="24"/>
        </w:rPr>
        <w:t xml:space="preserve">The Court’s powers under s 29 of the Act include the power to sanction legal practitioners and parties for a contravention of their obligations as the heading to Part 2.4 indicates.  In our view, these powers are intended to make all those involved in the conduct of litigation — parties and practitioners — accountable for the just, efficient, timely and cost effective resolution of </w:t>
      </w:r>
      <w:r w:rsidRPr="00DC0273">
        <w:rPr>
          <w:rFonts w:ascii="Times New Roman" w:hAnsi="Times New Roman"/>
          <w:szCs w:val="24"/>
        </w:rPr>
        <w:lastRenderedPageBreak/>
        <w:t>disputes.  Through them, Parliament has given the courts flexible means of distributing the cost burden upon and across those who fail to comply with their overarching obligations.  A sanction which redistributes that burden may have the effect of compensating a party.  It may take the form of a costs order against a practitioner, an order that requires the practitioner to share the burden of a costs order made against their client or an order which deprives the practitioner of costs to which they would otherwise be entitled.  The Act is clearly designed to influence the culture of litigation through the imposition of sanctions on those who do not observe their obligations.  Moreover, the power to sanction is not confined to cases of incompetence or improper conduct by a legal practitioner.  Where there is a failure by the practitioner, whether solicitor or counsel, to use reasonable endeavours to comply with the overarching obligations, it will be no answer that the practitioner acted upon the explicit and informed instructions of the client.  A sanction may be imposed where, contrary to s 13(3</w:t>
      </w:r>
      <w:proofErr w:type="gramStart"/>
      <w:r w:rsidRPr="00DC0273">
        <w:rPr>
          <w:rFonts w:ascii="Times New Roman" w:hAnsi="Times New Roman"/>
          <w:szCs w:val="24"/>
        </w:rPr>
        <w:t>)(</w:t>
      </w:r>
      <w:proofErr w:type="gramEnd"/>
      <w:r w:rsidRPr="00DC0273">
        <w:rPr>
          <w:rFonts w:ascii="Times New Roman" w:hAnsi="Times New Roman"/>
          <w:szCs w:val="24"/>
        </w:rPr>
        <w:t>b), the legal practitioner acts on the instruction of his or her client in breach of the overarching obligations.</w:t>
      </w:r>
      <w:r w:rsidRPr="00DC0273">
        <w:rPr>
          <w:rStyle w:val="FootnoteReference"/>
          <w:rFonts w:ascii="Times New Roman" w:hAnsi="Times New Roman"/>
          <w:szCs w:val="24"/>
        </w:rPr>
        <w:footnoteReference w:id="14"/>
      </w:r>
      <w:r w:rsidRPr="00DC0273">
        <w:rPr>
          <w:rFonts w:ascii="Times New Roman" w:hAnsi="Times New Roman"/>
          <w:szCs w:val="24"/>
        </w:rPr>
        <w:t xml:space="preserve"> </w:t>
      </w:r>
    </w:p>
    <w:p w14:paraId="059F0F0C" w14:textId="77777777" w:rsidR="00A61E99" w:rsidRPr="00DC0273" w:rsidRDefault="00A61E99" w:rsidP="00905BC2">
      <w:pPr>
        <w:spacing w:after="0" w:line="276" w:lineRule="auto"/>
        <w:ind w:firstLine="720"/>
        <w:jc w:val="both"/>
        <w:rPr>
          <w:rFonts w:ascii="Times New Roman" w:hAnsi="Times New Roman" w:cs="Times New Roman"/>
          <w:sz w:val="24"/>
          <w:szCs w:val="24"/>
        </w:rPr>
      </w:pPr>
    </w:p>
    <w:p w14:paraId="44CCA2DE" w14:textId="4E0A5EAD" w:rsidR="00A61E99" w:rsidRPr="00DC0273" w:rsidRDefault="00A61E9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Court in </w:t>
      </w:r>
      <w:proofErr w:type="spellStart"/>
      <w:r w:rsidRPr="00DC0273">
        <w:rPr>
          <w:rFonts w:ascii="Times New Roman" w:hAnsi="Times New Roman" w:cs="Times New Roman"/>
          <w:i/>
          <w:sz w:val="24"/>
          <w:szCs w:val="24"/>
        </w:rPr>
        <w:t>Yara</w:t>
      </w:r>
      <w:proofErr w:type="spellEnd"/>
      <w:r w:rsidRPr="00DC0273">
        <w:rPr>
          <w:rFonts w:ascii="Times New Roman" w:hAnsi="Times New Roman" w:cs="Times New Roman"/>
          <w:sz w:val="24"/>
          <w:szCs w:val="24"/>
        </w:rPr>
        <w:t xml:space="preserve"> placed particular emphasis on the obligations of judges:</w:t>
      </w:r>
    </w:p>
    <w:p w14:paraId="5BB21C9D" w14:textId="77777777" w:rsidR="00C84BBB" w:rsidRPr="00DC0273" w:rsidRDefault="00C84BBB" w:rsidP="00905BC2">
      <w:pPr>
        <w:spacing w:after="0" w:line="276" w:lineRule="auto"/>
        <w:ind w:firstLine="720"/>
        <w:jc w:val="both"/>
        <w:rPr>
          <w:rFonts w:ascii="Times New Roman" w:hAnsi="Times New Roman" w:cs="Times New Roman"/>
          <w:sz w:val="24"/>
          <w:szCs w:val="24"/>
        </w:rPr>
      </w:pPr>
    </w:p>
    <w:p w14:paraId="44515AA5" w14:textId="267618B3" w:rsidR="00C84BBB" w:rsidRPr="00DC0273" w:rsidRDefault="006063B1" w:rsidP="00905BC2">
      <w:pPr>
        <w:pStyle w:val="Heading1"/>
        <w:numPr>
          <w:ilvl w:val="0"/>
          <w:numId w:val="0"/>
        </w:numPr>
        <w:tabs>
          <w:tab w:val="clear" w:pos="1440"/>
        </w:tabs>
        <w:spacing w:before="0" w:line="276" w:lineRule="auto"/>
        <w:ind w:left="810"/>
        <w:rPr>
          <w:rFonts w:ascii="Times New Roman" w:hAnsi="Times New Roman"/>
          <w:szCs w:val="24"/>
        </w:rPr>
      </w:pPr>
      <w:r w:rsidRPr="00DC0273">
        <w:rPr>
          <w:rFonts w:ascii="Times New Roman" w:hAnsi="Times New Roman"/>
          <w:szCs w:val="24"/>
        </w:rPr>
        <w:t>The Act prescribes that parties to a civil proceeding are under a strict, positive duty to ensure that they comply with each of the overarching obligations and the court is obliged to enforce these duties.  The statutory sanctions provide a valuable tool for improving case management, reducing waste and delay and enhancing the accessibility and proportionality of civil litigation.  Judicial officers must actively hold the parties to account.</w:t>
      </w:r>
    </w:p>
    <w:p w14:paraId="11C20E92" w14:textId="77777777" w:rsidR="006063B1" w:rsidRPr="00DC0273" w:rsidRDefault="006063B1" w:rsidP="00905BC2">
      <w:pPr>
        <w:pStyle w:val="Heading1"/>
        <w:numPr>
          <w:ilvl w:val="0"/>
          <w:numId w:val="0"/>
        </w:numPr>
        <w:tabs>
          <w:tab w:val="clear" w:pos="1440"/>
        </w:tabs>
        <w:spacing w:before="0" w:line="276" w:lineRule="auto"/>
        <w:ind w:left="810"/>
        <w:rPr>
          <w:rFonts w:ascii="Times New Roman" w:hAnsi="Times New Roman"/>
          <w:szCs w:val="24"/>
        </w:rPr>
      </w:pPr>
    </w:p>
    <w:p w14:paraId="66E516E0" w14:textId="0D692287" w:rsidR="00A61E99" w:rsidRPr="00DC0273" w:rsidRDefault="00A61E99" w:rsidP="00905BC2">
      <w:pPr>
        <w:pStyle w:val="Heading1"/>
        <w:numPr>
          <w:ilvl w:val="0"/>
          <w:numId w:val="0"/>
        </w:numPr>
        <w:tabs>
          <w:tab w:val="clear" w:pos="1440"/>
        </w:tabs>
        <w:spacing w:before="0" w:line="276" w:lineRule="auto"/>
        <w:ind w:left="810"/>
        <w:rPr>
          <w:rFonts w:ascii="Times New Roman" w:hAnsi="Times New Roman"/>
          <w:szCs w:val="24"/>
        </w:rPr>
      </w:pPr>
      <w:r w:rsidRPr="00DC0273">
        <w:rPr>
          <w:rFonts w:ascii="Times New Roman" w:hAnsi="Times New Roman"/>
          <w:szCs w:val="24"/>
        </w:rPr>
        <w:t>Yet as we have observed, sanctions imposed for a breach of any overarching provisions have been a rarity at first instance.  When no party invites the court to determine whether there has been a breach of the Act, there may be a judicial disinclination to embark upon such an own-motion inquiry for fear that inquiry as to a potential breach may be time consuming and may require the introduction of material that was not before the court as part of the proceeding.  Such fears cannot relieve judges of their responsibilities.  But we would not wish it to be thought that a judicial officer at first instance must undertake a substantial inquiry when considering whether there has been a contravention of the Act.  As the sanction for a breach will usually lie in an appropriate costs order, a judge may at the conclusion of the reasons for judgment immediately invite oral submissions as to why there should not be a finding that the Act was contravened.  The judge may in a relatively brief way deal with that issue in providing succinct reasons for a finding that there has been a breach of the Act and how that finding affects the orders for costs that are to be pronounced.</w:t>
      </w:r>
      <w:r w:rsidRPr="00DC0273">
        <w:rPr>
          <w:rStyle w:val="FootnoteReference"/>
          <w:rFonts w:ascii="Times New Roman" w:hAnsi="Times New Roman"/>
          <w:szCs w:val="24"/>
        </w:rPr>
        <w:footnoteReference w:id="15"/>
      </w:r>
      <w:r w:rsidRPr="00DC0273">
        <w:rPr>
          <w:rFonts w:ascii="Times New Roman" w:hAnsi="Times New Roman"/>
          <w:szCs w:val="24"/>
        </w:rPr>
        <w:t xml:space="preserve"> </w:t>
      </w:r>
    </w:p>
    <w:p w14:paraId="743C72BB" w14:textId="77777777" w:rsidR="00A61E99" w:rsidRPr="00DC0273" w:rsidRDefault="00A61E99" w:rsidP="00905BC2">
      <w:pPr>
        <w:spacing w:after="0" w:line="276" w:lineRule="auto"/>
        <w:ind w:firstLine="720"/>
        <w:jc w:val="both"/>
        <w:rPr>
          <w:rFonts w:ascii="Times New Roman" w:hAnsi="Times New Roman" w:cs="Times New Roman"/>
          <w:sz w:val="24"/>
          <w:szCs w:val="24"/>
        </w:rPr>
      </w:pPr>
    </w:p>
    <w:p w14:paraId="665E8DA3" w14:textId="685B0AB4" w:rsidR="007D4D3B" w:rsidRPr="00DC0273" w:rsidRDefault="007D4D3B"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Further, the Court in </w:t>
      </w:r>
      <w:proofErr w:type="spellStart"/>
      <w:r w:rsidRPr="00DC0273">
        <w:rPr>
          <w:rFonts w:ascii="Times New Roman" w:hAnsi="Times New Roman" w:cs="Times New Roman"/>
          <w:i/>
          <w:sz w:val="24"/>
          <w:szCs w:val="24"/>
        </w:rPr>
        <w:t>Yara</w:t>
      </w:r>
      <w:proofErr w:type="spellEnd"/>
      <w:r w:rsidRPr="00DC0273">
        <w:rPr>
          <w:rFonts w:ascii="Times New Roman" w:hAnsi="Times New Roman" w:cs="Times New Roman"/>
          <w:sz w:val="24"/>
          <w:szCs w:val="24"/>
        </w:rPr>
        <w:t xml:space="preserve"> placed particular emphasis on the obligation to ensure costs are reasonable and proportionate.  The Court observed:</w:t>
      </w:r>
    </w:p>
    <w:p w14:paraId="4FD8E5BE" w14:textId="77777777" w:rsidR="007D4D3B" w:rsidRPr="00DC0273" w:rsidRDefault="007D4D3B" w:rsidP="00905BC2">
      <w:pPr>
        <w:spacing w:after="0" w:line="276" w:lineRule="auto"/>
        <w:ind w:firstLine="720"/>
        <w:jc w:val="both"/>
        <w:rPr>
          <w:rFonts w:ascii="Times New Roman" w:hAnsi="Times New Roman" w:cs="Times New Roman"/>
          <w:sz w:val="24"/>
          <w:szCs w:val="24"/>
        </w:rPr>
      </w:pPr>
    </w:p>
    <w:p w14:paraId="073CC9AD" w14:textId="155E5D34" w:rsidR="00001758" w:rsidRPr="00DC0273" w:rsidRDefault="007D4D3B" w:rsidP="00905BC2">
      <w:pPr>
        <w:spacing w:after="0" w:line="276" w:lineRule="auto"/>
        <w:ind w:left="720"/>
        <w:jc w:val="both"/>
        <w:rPr>
          <w:rFonts w:ascii="Times New Roman" w:hAnsi="Times New Roman" w:cs="Times New Roman"/>
          <w:sz w:val="24"/>
          <w:szCs w:val="24"/>
        </w:rPr>
      </w:pPr>
      <w:r w:rsidRPr="00DC0273">
        <w:rPr>
          <w:rFonts w:ascii="Times New Roman" w:hAnsi="Times New Roman" w:cs="Times New Roman"/>
          <w:sz w:val="24"/>
          <w:szCs w:val="24"/>
        </w:rPr>
        <w:t>The overarching obligation in issue is the obligation of the parties and their practitioners to ensure that legal costs are reasonable and proportionate.  Section 24 imposes a positive obligation to take steps to ensure that costs are not excessive and empowers courts to sanction those who breach their obligations.</w:t>
      </w:r>
      <w:r w:rsidR="00001758" w:rsidRPr="00DC0273">
        <w:rPr>
          <w:rStyle w:val="FootnoteReference"/>
          <w:rFonts w:ascii="Times New Roman" w:hAnsi="Times New Roman" w:cs="Times New Roman"/>
          <w:sz w:val="24"/>
          <w:szCs w:val="24"/>
        </w:rPr>
        <w:t xml:space="preserve"> </w:t>
      </w:r>
      <w:r w:rsidR="00001758" w:rsidRPr="00DC0273">
        <w:rPr>
          <w:rStyle w:val="FootnoteReference"/>
          <w:rFonts w:ascii="Times New Roman" w:hAnsi="Times New Roman" w:cs="Times New Roman"/>
          <w:sz w:val="24"/>
          <w:szCs w:val="24"/>
        </w:rPr>
        <w:footnoteReference w:id="16"/>
      </w:r>
    </w:p>
    <w:p w14:paraId="136F3A8E" w14:textId="77777777" w:rsidR="007D4D3B" w:rsidRPr="00DC0273" w:rsidRDefault="007D4D3B" w:rsidP="00905BC2">
      <w:pPr>
        <w:spacing w:after="0" w:line="276" w:lineRule="auto"/>
        <w:ind w:left="720"/>
        <w:jc w:val="both"/>
        <w:rPr>
          <w:rFonts w:ascii="Times New Roman" w:hAnsi="Times New Roman" w:cs="Times New Roman"/>
          <w:sz w:val="24"/>
          <w:szCs w:val="24"/>
        </w:rPr>
      </w:pPr>
      <w:r w:rsidRPr="00DC0273">
        <w:rPr>
          <w:rFonts w:ascii="Times New Roman" w:hAnsi="Times New Roman" w:cs="Times New Roman"/>
          <w:sz w:val="24"/>
          <w:szCs w:val="24"/>
        </w:rPr>
        <w:lastRenderedPageBreak/>
        <w:t>…</w:t>
      </w:r>
    </w:p>
    <w:p w14:paraId="2B9B84C6" w14:textId="77777777" w:rsidR="007D4D3B" w:rsidRPr="00DC0273" w:rsidRDefault="007D4D3B" w:rsidP="00905BC2">
      <w:pPr>
        <w:spacing w:after="0" w:line="276" w:lineRule="auto"/>
        <w:ind w:left="720"/>
        <w:jc w:val="both"/>
        <w:rPr>
          <w:rFonts w:ascii="Times New Roman" w:hAnsi="Times New Roman" w:cs="Times New Roman"/>
          <w:sz w:val="24"/>
          <w:szCs w:val="24"/>
        </w:rPr>
      </w:pPr>
    </w:p>
    <w:p w14:paraId="03801DFC" w14:textId="6B40508E" w:rsidR="007D4D3B" w:rsidRPr="00DC0273" w:rsidRDefault="007D4D3B" w:rsidP="00905BC2">
      <w:pPr>
        <w:spacing w:after="0" w:line="276" w:lineRule="auto"/>
        <w:ind w:left="720"/>
        <w:jc w:val="both"/>
        <w:rPr>
          <w:rFonts w:ascii="Times New Roman" w:hAnsi="Times New Roman" w:cs="Times New Roman"/>
          <w:sz w:val="24"/>
          <w:szCs w:val="24"/>
        </w:rPr>
      </w:pPr>
      <w:r w:rsidRPr="00DC0273">
        <w:rPr>
          <w:rFonts w:ascii="Times New Roman" w:hAnsi="Times New Roman" w:cs="Times New Roman"/>
          <w:sz w:val="24"/>
          <w:szCs w:val="24"/>
        </w:rPr>
        <w:t>The legal practitioners’ duty is non-delegable.  The obligation will override their duty to their client where the discharge of that duty would be inconsistent with the overarching obligation.  The legal practitioner will not be relieved of this overarching responsibility because of the instructions of their client.</w:t>
      </w:r>
    </w:p>
    <w:p w14:paraId="6F3298B3" w14:textId="77777777" w:rsidR="007D4D3B" w:rsidRPr="00DC0273" w:rsidRDefault="007D4D3B" w:rsidP="00905BC2">
      <w:pPr>
        <w:spacing w:after="0" w:line="276" w:lineRule="auto"/>
        <w:ind w:left="720"/>
        <w:jc w:val="both"/>
        <w:rPr>
          <w:rFonts w:ascii="Times New Roman" w:hAnsi="Times New Roman" w:cs="Times New Roman"/>
          <w:sz w:val="24"/>
          <w:szCs w:val="24"/>
        </w:rPr>
      </w:pPr>
    </w:p>
    <w:p w14:paraId="4C0B4261" w14:textId="79920628" w:rsidR="00001758" w:rsidRPr="00DC0273" w:rsidRDefault="00001758" w:rsidP="00905BC2">
      <w:pPr>
        <w:pStyle w:val="Heading1"/>
        <w:numPr>
          <w:ilvl w:val="0"/>
          <w:numId w:val="0"/>
        </w:numPr>
        <w:spacing w:before="0" w:line="276" w:lineRule="auto"/>
        <w:ind w:left="720"/>
        <w:rPr>
          <w:rFonts w:ascii="Times New Roman" w:hAnsi="Times New Roman"/>
          <w:szCs w:val="24"/>
        </w:rPr>
      </w:pPr>
      <w:r w:rsidRPr="00DC0273">
        <w:rPr>
          <w:rFonts w:ascii="Times New Roman" w:hAnsi="Times New Roman"/>
          <w:szCs w:val="24"/>
        </w:rPr>
        <w:t>Legal practitioners, whether solicitor or counsel, involved in the preparation of pleadings, affidavits or other materials that are to be used in the proceeding or who provide advice as to such matters, have individual responsibilities to comply with the overarching obligation.  Both solicitor and counsel also have an overarching responsibility with respect to the extent and level of their client’s representation.  Each must ensure that, having regard to the issues, the extent and level of representation proposed is reasonable and proportionate.  Advice or instructions given or received by legal practitioners, and instructions given by the client may inform but will not be determinative of the question whether, viewed objectively, there has been a breach of the obligation.</w:t>
      </w:r>
      <w:r w:rsidRPr="00DC0273">
        <w:rPr>
          <w:rStyle w:val="FootnoteReference"/>
          <w:rFonts w:ascii="Times New Roman" w:hAnsi="Times New Roman"/>
          <w:szCs w:val="24"/>
        </w:rPr>
        <w:footnoteReference w:id="17"/>
      </w:r>
      <w:r w:rsidRPr="00DC0273">
        <w:rPr>
          <w:rFonts w:ascii="Times New Roman" w:hAnsi="Times New Roman"/>
          <w:szCs w:val="24"/>
        </w:rPr>
        <w:t xml:space="preserve"> </w:t>
      </w:r>
    </w:p>
    <w:p w14:paraId="58BB8303" w14:textId="77777777" w:rsidR="007D4D3B" w:rsidRPr="00DC0273" w:rsidRDefault="007D4D3B" w:rsidP="00905BC2">
      <w:pPr>
        <w:spacing w:after="0" w:line="276" w:lineRule="auto"/>
        <w:ind w:firstLine="720"/>
        <w:jc w:val="both"/>
        <w:rPr>
          <w:rFonts w:ascii="Times New Roman" w:hAnsi="Times New Roman" w:cs="Times New Roman"/>
          <w:sz w:val="24"/>
          <w:szCs w:val="24"/>
        </w:rPr>
      </w:pPr>
    </w:p>
    <w:p w14:paraId="5360B078" w14:textId="1A615913" w:rsidR="009A0DEF" w:rsidRPr="00DC0273" w:rsidRDefault="00DB2A9D"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Timeliness a</w:t>
      </w:r>
      <w:r w:rsidR="00E23755" w:rsidRPr="00DC0273">
        <w:rPr>
          <w:rFonts w:ascii="Times New Roman" w:hAnsi="Times New Roman" w:cs="Times New Roman"/>
          <w:b/>
          <w:sz w:val="24"/>
          <w:szCs w:val="24"/>
        </w:rPr>
        <w:t>nd Specialisation</w:t>
      </w:r>
    </w:p>
    <w:p w14:paraId="618270F0" w14:textId="77777777" w:rsidR="00C84BBB" w:rsidRPr="00DC0273" w:rsidRDefault="00C84BBB" w:rsidP="00905BC2">
      <w:pPr>
        <w:spacing w:after="0" w:line="276" w:lineRule="auto"/>
        <w:jc w:val="both"/>
        <w:rPr>
          <w:rFonts w:ascii="Times New Roman" w:hAnsi="Times New Roman" w:cs="Times New Roman"/>
          <w:sz w:val="24"/>
          <w:szCs w:val="24"/>
        </w:rPr>
      </w:pPr>
    </w:p>
    <w:p w14:paraId="338274D4" w14:textId="153258B9" w:rsidR="00086A6D" w:rsidRPr="00DC0273" w:rsidRDefault="00086A6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next topic I raise is general timeliness and specialisation.  There has indeed been a significant focus in all sectors across the country on trying to achieve greater expedition and timeliness in cases.  One of the way</w:t>
      </w:r>
      <w:r w:rsidR="00DE7EF8" w:rsidRPr="00DC0273">
        <w:rPr>
          <w:rFonts w:ascii="Times New Roman" w:hAnsi="Times New Roman" w:cs="Times New Roman"/>
          <w:sz w:val="24"/>
          <w:szCs w:val="24"/>
        </w:rPr>
        <w:t>s</w:t>
      </w:r>
      <w:r w:rsidRPr="00DC0273">
        <w:rPr>
          <w:rFonts w:ascii="Times New Roman" w:hAnsi="Times New Roman" w:cs="Times New Roman"/>
          <w:sz w:val="24"/>
          <w:szCs w:val="24"/>
        </w:rPr>
        <w:t xml:space="preserve"> this has been tackled by courts, especially here in Victoria, is through specialisation.</w:t>
      </w:r>
    </w:p>
    <w:p w14:paraId="2EC8B60B" w14:textId="77777777" w:rsidR="00DE7EF8" w:rsidRPr="00DC0273" w:rsidRDefault="00DE7EF8" w:rsidP="00905BC2">
      <w:pPr>
        <w:spacing w:after="0" w:line="276" w:lineRule="auto"/>
        <w:ind w:firstLine="720"/>
        <w:jc w:val="both"/>
        <w:rPr>
          <w:rFonts w:ascii="Times New Roman" w:hAnsi="Times New Roman" w:cs="Times New Roman"/>
          <w:sz w:val="24"/>
          <w:szCs w:val="24"/>
        </w:rPr>
      </w:pPr>
    </w:p>
    <w:p w14:paraId="64FC9358" w14:textId="0E4F11C9" w:rsidR="00CA3B29" w:rsidRPr="00DC0273" w:rsidRDefault="009A0DE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W</w:t>
      </w:r>
      <w:r w:rsidR="00DE7EF8" w:rsidRPr="00DC0273">
        <w:rPr>
          <w:rFonts w:ascii="Times New Roman" w:hAnsi="Times New Roman" w:cs="Times New Roman"/>
          <w:sz w:val="24"/>
          <w:szCs w:val="24"/>
        </w:rPr>
        <w:t>hen I started in</w:t>
      </w:r>
      <w:r w:rsidR="00086A6D" w:rsidRPr="00DC0273">
        <w:rPr>
          <w:rFonts w:ascii="Times New Roman" w:hAnsi="Times New Roman" w:cs="Times New Roman"/>
          <w:sz w:val="24"/>
          <w:szCs w:val="24"/>
        </w:rPr>
        <w:t xml:space="preserve"> law, judges were expected to be generalist</w:t>
      </w:r>
      <w:r w:rsidR="00CA3B29" w:rsidRPr="00DC0273">
        <w:rPr>
          <w:rFonts w:ascii="Times New Roman" w:hAnsi="Times New Roman" w:cs="Times New Roman"/>
          <w:sz w:val="24"/>
          <w:szCs w:val="24"/>
        </w:rPr>
        <w:t>s</w:t>
      </w:r>
      <w:r w:rsidR="00086A6D" w:rsidRPr="00DC0273">
        <w:rPr>
          <w:rFonts w:ascii="Times New Roman" w:hAnsi="Times New Roman" w:cs="Times New Roman"/>
          <w:sz w:val="24"/>
          <w:szCs w:val="24"/>
        </w:rPr>
        <w:t>, so they woul</w:t>
      </w:r>
      <w:r w:rsidR="00DB2A9D" w:rsidRPr="00DC0273">
        <w:rPr>
          <w:rFonts w:ascii="Times New Roman" w:hAnsi="Times New Roman" w:cs="Times New Roman"/>
          <w:sz w:val="24"/>
          <w:szCs w:val="24"/>
        </w:rPr>
        <w:t>d, one month, be doing divorces;</w:t>
      </w:r>
      <w:r w:rsidR="00086A6D" w:rsidRPr="00DC0273">
        <w:rPr>
          <w:rFonts w:ascii="Times New Roman" w:hAnsi="Times New Roman" w:cs="Times New Roman"/>
          <w:sz w:val="24"/>
          <w:szCs w:val="24"/>
        </w:rPr>
        <w:t xml:space="preserve"> the next month they would be doing what were called causes, </w:t>
      </w:r>
      <w:r w:rsidR="00CA3B29" w:rsidRPr="00DC0273">
        <w:rPr>
          <w:rFonts w:ascii="Times New Roman" w:hAnsi="Times New Roman" w:cs="Times New Roman"/>
          <w:sz w:val="24"/>
          <w:szCs w:val="24"/>
        </w:rPr>
        <w:t>and they could be doing a</w:t>
      </w:r>
      <w:r w:rsidRPr="00DC0273">
        <w:rPr>
          <w:rFonts w:ascii="Times New Roman" w:hAnsi="Times New Roman" w:cs="Times New Roman"/>
          <w:sz w:val="24"/>
          <w:szCs w:val="24"/>
        </w:rPr>
        <w:t xml:space="preserve"> wide range of civil matters</w:t>
      </w:r>
      <w:r w:rsidR="00CA3B29" w:rsidRPr="00DC0273">
        <w:rPr>
          <w:rFonts w:ascii="Times New Roman" w:hAnsi="Times New Roman" w:cs="Times New Roman"/>
          <w:sz w:val="24"/>
          <w:szCs w:val="24"/>
        </w:rPr>
        <w:t xml:space="preserve">; then </w:t>
      </w:r>
      <w:r w:rsidRPr="00DC0273">
        <w:rPr>
          <w:rFonts w:ascii="Times New Roman" w:hAnsi="Times New Roman" w:cs="Times New Roman"/>
          <w:sz w:val="24"/>
          <w:szCs w:val="24"/>
        </w:rPr>
        <w:t>they might turn to civil juries;</w:t>
      </w:r>
      <w:r w:rsidR="00CA3B29" w:rsidRPr="00DC0273">
        <w:rPr>
          <w:rFonts w:ascii="Times New Roman" w:hAnsi="Times New Roman" w:cs="Times New Roman"/>
          <w:sz w:val="24"/>
          <w:szCs w:val="24"/>
        </w:rPr>
        <w:t xml:space="preserve"> then they would have a term in crime</w:t>
      </w:r>
      <w:r w:rsidRPr="00DC0273">
        <w:rPr>
          <w:rFonts w:ascii="Times New Roman" w:hAnsi="Times New Roman" w:cs="Times New Roman"/>
          <w:sz w:val="24"/>
          <w:szCs w:val="24"/>
        </w:rPr>
        <w:t>;</w:t>
      </w:r>
      <w:r w:rsidR="00CA3B29" w:rsidRPr="00DC0273">
        <w:rPr>
          <w:rFonts w:ascii="Times New Roman" w:hAnsi="Times New Roman" w:cs="Times New Roman"/>
          <w:sz w:val="24"/>
          <w:szCs w:val="24"/>
        </w:rPr>
        <w:t xml:space="preserve"> and then they would have a term in </w:t>
      </w:r>
      <w:r w:rsidRPr="00DC0273">
        <w:rPr>
          <w:rFonts w:ascii="Times New Roman" w:hAnsi="Times New Roman" w:cs="Times New Roman"/>
          <w:sz w:val="24"/>
          <w:szCs w:val="24"/>
        </w:rPr>
        <w:t xml:space="preserve">specific </w:t>
      </w:r>
      <w:r w:rsidR="002452DC" w:rsidRPr="00DC0273">
        <w:rPr>
          <w:rFonts w:ascii="Times New Roman" w:hAnsi="Times New Roman" w:cs="Times New Roman"/>
          <w:sz w:val="24"/>
          <w:szCs w:val="24"/>
        </w:rPr>
        <w:t>areas of</w:t>
      </w:r>
      <w:r w:rsidR="00CA3B29" w:rsidRPr="00DC0273">
        <w:rPr>
          <w:rFonts w:ascii="Times New Roman" w:hAnsi="Times New Roman" w:cs="Times New Roman"/>
          <w:sz w:val="24"/>
          <w:szCs w:val="24"/>
        </w:rPr>
        <w:t xml:space="preserve"> civil litigation, which would probably involve a fair dose of probate</w:t>
      </w:r>
      <w:r w:rsidRPr="00DC0273">
        <w:rPr>
          <w:rFonts w:ascii="Times New Roman" w:hAnsi="Times New Roman" w:cs="Times New Roman"/>
          <w:sz w:val="24"/>
          <w:szCs w:val="24"/>
        </w:rPr>
        <w:t xml:space="preserve"> and</w:t>
      </w:r>
      <w:r w:rsidR="00CA3B29" w:rsidRPr="00DC0273">
        <w:rPr>
          <w:rFonts w:ascii="Times New Roman" w:hAnsi="Times New Roman" w:cs="Times New Roman"/>
          <w:sz w:val="24"/>
          <w:szCs w:val="24"/>
        </w:rPr>
        <w:t xml:space="preserve"> deceased estate work and some commercial litigation.  It was </w:t>
      </w:r>
      <w:r w:rsidR="002452DC" w:rsidRPr="00DC0273">
        <w:rPr>
          <w:rFonts w:ascii="Times New Roman" w:hAnsi="Times New Roman" w:cs="Times New Roman"/>
          <w:sz w:val="24"/>
          <w:szCs w:val="24"/>
        </w:rPr>
        <w:t>sometimes</w:t>
      </w:r>
      <w:r w:rsidR="00DB2A9D" w:rsidRPr="00DC0273">
        <w:rPr>
          <w:rFonts w:ascii="Times New Roman" w:hAnsi="Times New Roman" w:cs="Times New Roman"/>
          <w:sz w:val="24"/>
          <w:szCs w:val="24"/>
        </w:rPr>
        <w:t xml:space="preserve"> capricious whether</w:t>
      </w:r>
      <w:r w:rsidRPr="00DC0273">
        <w:rPr>
          <w:rFonts w:ascii="Times New Roman" w:hAnsi="Times New Roman" w:cs="Times New Roman"/>
          <w:sz w:val="24"/>
          <w:szCs w:val="24"/>
        </w:rPr>
        <w:t xml:space="preserve"> a party </w:t>
      </w:r>
      <w:r w:rsidR="00CA3B29" w:rsidRPr="00DC0273">
        <w:rPr>
          <w:rFonts w:ascii="Times New Roman" w:hAnsi="Times New Roman" w:cs="Times New Roman"/>
          <w:sz w:val="24"/>
          <w:szCs w:val="24"/>
        </w:rPr>
        <w:t xml:space="preserve">happened to </w:t>
      </w:r>
      <w:r w:rsidRPr="00DC0273">
        <w:rPr>
          <w:rFonts w:ascii="Times New Roman" w:hAnsi="Times New Roman" w:cs="Times New Roman"/>
          <w:sz w:val="24"/>
          <w:szCs w:val="24"/>
        </w:rPr>
        <w:t xml:space="preserve">have </w:t>
      </w:r>
      <w:r w:rsidR="002452DC" w:rsidRPr="00DC0273">
        <w:rPr>
          <w:rFonts w:ascii="Times New Roman" w:hAnsi="Times New Roman" w:cs="Times New Roman"/>
          <w:sz w:val="24"/>
          <w:szCs w:val="24"/>
        </w:rPr>
        <w:t>a specialist</w:t>
      </w:r>
      <w:r w:rsidR="00CA3B29" w:rsidRPr="00DC0273">
        <w:rPr>
          <w:rFonts w:ascii="Times New Roman" w:hAnsi="Times New Roman" w:cs="Times New Roman"/>
          <w:sz w:val="24"/>
          <w:szCs w:val="24"/>
        </w:rPr>
        <w:t xml:space="preserve"> judge matched to </w:t>
      </w:r>
      <w:r w:rsidRPr="00DC0273">
        <w:rPr>
          <w:rFonts w:ascii="Times New Roman" w:hAnsi="Times New Roman" w:cs="Times New Roman"/>
          <w:sz w:val="24"/>
          <w:szCs w:val="24"/>
        </w:rPr>
        <w:t xml:space="preserve">the </w:t>
      </w:r>
      <w:r w:rsidR="00CA3B29" w:rsidRPr="00DC0273">
        <w:rPr>
          <w:rFonts w:ascii="Times New Roman" w:hAnsi="Times New Roman" w:cs="Times New Roman"/>
          <w:sz w:val="24"/>
          <w:szCs w:val="24"/>
        </w:rPr>
        <w:t xml:space="preserve">case.  </w:t>
      </w:r>
      <w:r w:rsidRPr="00DC0273">
        <w:rPr>
          <w:rFonts w:ascii="Times New Roman" w:hAnsi="Times New Roman" w:cs="Times New Roman"/>
          <w:sz w:val="24"/>
          <w:szCs w:val="24"/>
        </w:rPr>
        <w:t xml:space="preserve">Listings have changed.  </w:t>
      </w:r>
      <w:r w:rsidR="00CA3B29" w:rsidRPr="00DC0273">
        <w:rPr>
          <w:rFonts w:ascii="Times New Roman" w:hAnsi="Times New Roman" w:cs="Times New Roman"/>
          <w:sz w:val="24"/>
          <w:szCs w:val="24"/>
        </w:rPr>
        <w:t>In the Supreme Court, we split the Court into specialist divisions</w:t>
      </w:r>
      <w:r w:rsidRPr="00DC0273">
        <w:rPr>
          <w:rFonts w:ascii="Times New Roman" w:hAnsi="Times New Roman" w:cs="Times New Roman"/>
          <w:sz w:val="24"/>
          <w:szCs w:val="24"/>
        </w:rPr>
        <w:t xml:space="preserve"> many years ago</w:t>
      </w:r>
      <w:r w:rsidR="00CA3B29" w:rsidRPr="00DC0273">
        <w:rPr>
          <w:rFonts w:ascii="Times New Roman" w:hAnsi="Times New Roman" w:cs="Times New Roman"/>
          <w:sz w:val="24"/>
          <w:szCs w:val="24"/>
        </w:rPr>
        <w:t>.</w:t>
      </w:r>
    </w:p>
    <w:p w14:paraId="7334BC48" w14:textId="77777777" w:rsidR="009A0DEF" w:rsidRPr="00DC0273" w:rsidRDefault="009A0DEF" w:rsidP="00905BC2">
      <w:pPr>
        <w:spacing w:after="0" w:line="276" w:lineRule="auto"/>
        <w:ind w:firstLine="720"/>
        <w:jc w:val="both"/>
        <w:rPr>
          <w:rFonts w:ascii="Times New Roman" w:hAnsi="Times New Roman" w:cs="Times New Roman"/>
          <w:sz w:val="24"/>
          <w:szCs w:val="24"/>
        </w:rPr>
      </w:pPr>
    </w:p>
    <w:p w14:paraId="48AD7E85" w14:textId="72B229D6" w:rsidR="00CA3B29" w:rsidRPr="00DC0273" w:rsidRDefault="00CA3B2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But wh</w:t>
      </w:r>
      <w:r w:rsidR="00182118" w:rsidRPr="00DC0273">
        <w:rPr>
          <w:rFonts w:ascii="Times New Roman" w:hAnsi="Times New Roman" w:cs="Times New Roman"/>
          <w:sz w:val="24"/>
          <w:szCs w:val="24"/>
        </w:rPr>
        <w:t>at the Supreme Court has done</w:t>
      </w:r>
      <w:r w:rsidRPr="00DC0273">
        <w:rPr>
          <w:rFonts w:ascii="Times New Roman" w:hAnsi="Times New Roman" w:cs="Times New Roman"/>
          <w:sz w:val="24"/>
          <w:szCs w:val="24"/>
        </w:rPr>
        <w:t xml:space="preserve"> is to adapt processes and administrative support arrangements to </w:t>
      </w:r>
      <w:r w:rsidR="009A0DEF" w:rsidRPr="00DC0273">
        <w:rPr>
          <w:rFonts w:ascii="Times New Roman" w:hAnsi="Times New Roman" w:cs="Times New Roman"/>
          <w:sz w:val="24"/>
          <w:szCs w:val="24"/>
        </w:rPr>
        <w:t>en</w:t>
      </w:r>
      <w:r w:rsidRPr="00DC0273">
        <w:rPr>
          <w:rFonts w:ascii="Times New Roman" w:hAnsi="Times New Roman" w:cs="Times New Roman"/>
          <w:sz w:val="24"/>
          <w:szCs w:val="24"/>
        </w:rPr>
        <w:t>sure cases move quickl</w:t>
      </w:r>
      <w:r w:rsidR="00DE7EF8" w:rsidRPr="00DC0273">
        <w:rPr>
          <w:rFonts w:ascii="Times New Roman" w:hAnsi="Times New Roman" w:cs="Times New Roman"/>
          <w:sz w:val="24"/>
          <w:szCs w:val="24"/>
        </w:rPr>
        <w:t>y, that they do</w:t>
      </w:r>
      <w:r w:rsidR="009A0DEF" w:rsidRPr="00DC0273">
        <w:rPr>
          <w:rFonts w:ascii="Times New Roman" w:hAnsi="Times New Roman" w:cs="Times New Roman"/>
          <w:sz w:val="24"/>
          <w:szCs w:val="24"/>
        </w:rPr>
        <w:t xml:space="preserve"> no</w:t>
      </w:r>
      <w:r w:rsidR="00DE7EF8" w:rsidRPr="00DC0273">
        <w:rPr>
          <w:rFonts w:ascii="Times New Roman" w:hAnsi="Times New Roman" w:cs="Times New Roman"/>
          <w:sz w:val="24"/>
          <w:szCs w:val="24"/>
        </w:rPr>
        <w:t>t just sit in r</w:t>
      </w:r>
      <w:r w:rsidR="00DB2A9D" w:rsidRPr="00DC0273">
        <w:rPr>
          <w:rFonts w:ascii="Times New Roman" w:hAnsi="Times New Roman" w:cs="Times New Roman"/>
          <w:sz w:val="24"/>
          <w:szCs w:val="24"/>
        </w:rPr>
        <w:t xml:space="preserve">egistries.  </w:t>
      </w:r>
      <w:r w:rsidRPr="00DC0273">
        <w:rPr>
          <w:rFonts w:ascii="Times New Roman" w:hAnsi="Times New Roman" w:cs="Times New Roman"/>
          <w:sz w:val="24"/>
          <w:szCs w:val="24"/>
        </w:rPr>
        <w:t xml:space="preserve"> </w:t>
      </w:r>
      <w:r w:rsidR="00DE7EF8" w:rsidRPr="00DC0273">
        <w:rPr>
          <w:rFonts w:ascii="Times New Roman" w:hAnsi="Times New Roman" w:cs="Times New Roman"/>
          <w:sz w:val="24"/>
          <w:szCs w:val="24"/>
        </w:rPr>
        <w:t>I will</w:t>
      </w:r>
      <w:r w:rsidRPr="00DC0273">
        <w:rPr>
          <w:rFonts w:ascii="Times New Roman" w:hAnsi="Times New Roman" w:cs="Times New Roman"/>
          <w:sz w:val="24"/>
          <w:szCs w:val="24"/>
        </w:rPr>
        <w:t> mention a few of the specialist lists we now have in the Supreme Cou</w:t>
      </w:r>
      <w:r w:rsidR="00DB2A9D" w:rsidRPr="00DC0273">
        <w:rPr>
          <w:rFonts w:ascii="Times New Roman" w:hAnsi="Times New Roman" w:cs="Times New Roman"/>
          <w:sz w:val="24"/>
          <w:szCs w:val="24"/>
        </w:rPr>
        <w:t xml:space="preserve">rt outside the Commercial Court: </w:t>
      </w:r>
      <w:r w:rsidRPr="00DC0273">
        <w:rPr>
          <w:rFonts w:ascii="Times New Roman" w:hAnsi="Times New Roman" w:cs="Times New Roman"/>
          <w:sz w:val="24"/>
          <w:szCs w:val="24"/>
        </w:rPr>
        <w:t xml:space="preserve"> </w:t>
      </w:r>
      <w:r w:rsidR="00DB2A9D" w:rsidRPr="00DC0273">
        <w:rPr>
          <w:rFonts w:ascii="Times New Roman" w:hAnsi="Times New Roman" w:cs="Times New Roman"/>
          <w:sz w:val="24"/>
          <w:szCs w:val="24"/>
        </w:rPr>
        <w:t xml:space="preserve">Valuation, Compensation and Planning; Major Torts; Civil Circuit; Professional Liability; Probate; Judicial Review and Appeals; Personal Injury; Testators’ Family Maintenance </w:t>
      </w:r>
      <w:r w:rsidR="0072721C" w:rsidRPr="00DC0273">
        <w:rPr>
          <w:rFonts w:ascii="Times New Roman" w:hAnsi="Times New Roman" w:cs="Times New Roman"/>
          <w:sz w:val="24"/>
          <w:szCs w:val="24"/>
        </w:rPr>
        <w:t xml:space="preserve">and </w:t>
      </w:r>
      <w:r w:rsidR="00DB2A9D" w:rsidRPr="00DC0273">
        <w:rPr>
          <w:rFonts w:ascii="Times New Roman" w:hAnsi="Times New Roman" w:cs="Times New Roman"/>
          <w:sz w:val="24"/>
          <w:szCs w:val="24"/>
        </w:rPr>
        <w:t xml:space="preserve">the </w:t>
      </w:r>
      <w:r w:rsidR="0072721C" w:rsidRPr="00DC0273">
        <w:rPr>
          <w:rFonts w:ascii="Times New Roman" w:hAnsi="Times New Roman" w:cs="Times New Roman"/>
          <w:sz w:val="24"/>
          <w:szCs w:val="24"/>
        </w:rPr>
        <w:t>Dust Diseases List</w:t>
      </w:r>
      <w:r w:rsidR="009A0DEF" w:rsidRPr="00DC0273">
        <w:rPr>
          <w:rFonts w:ascii="Times New Roman" w:hAnsi="Times New Roman" w:cs="Times New Roman"/>
          <w:sz w:val="24"/>
          <w:szCs w:val="24"/>
        </w:rPr>
        <w:t>.</w:t>
      </w:r>
      <w:r w:rsidR="007E648F" w:rsidRPr="00DC0273">
        <w:rPr>
          <w:rStyle w:val="FootnoteReference"/>
          <w:rFonts w:ascii="Times New Roman" w:hAnsi="Times New Roman" w:cs="Times New Roman"/>
          <w:sz w:val="24"/>
          <w:szCs w:val="24"/>
        </w:rPr>
        <w:footnoteReference w:id="18"/>
      </w:r>
      <w:r w:rsidR="009A0DEF" w:rsidRPr="00DC0273">
        <w:rPr>
          <w:rFonts w:ascii="Times New Roman" w:hAnsi="Times New Roman" w:cs="Times New Roman"/>
          <w:sz w:val="24"/>
          <w:szCs w:val="24"/>
        </w:rPr>
        <w:t xml:space="preserve">  T</w:t>
      </w:r>
      <w:r w:rsidRPr="00DC0273">
        <w:rPr>
          <w:rFonts w:ascii="Times New Roman" w:hAnsi="Times New Roman" w:cs="Times New Roman"/>
          <w:sz w:val="24"/>
          <w:szCs w:val="24"/>
        </w:rPr>
        <w:t>his provides triaging of cases to ensure that they are mov</w:t>
      </w:r>
      <w:r w:rsidR="00DB2A9D" w:rsidRPr="00DC0273">
        <w:rPr>
          <w:rFonts w:ascii="Times New Roman" w:hAnsi="Times New Roman" w:cs="Times New Roman"/>
          <w:sz w:val="24"/>
          <w:szCs w:val="24"/>
        </w:rPr>
        <w:t>ed through all the processes.  In addition t</w:t>
      </w:r>
      <w:r w:rsidRPr="00DC0273">
        <w:rPr>
          <w:rFonts w:ascii="Times New Roman" w:hAnsi="Times New Roman" w:cs="Times New Roman"/>
          <w:sz w:val="24"/>
          <w:szCs w:val="24"/>
        </w:rPr>
        <w:t xml:space="preserve">here is a </w:t>
      </w:r>
      <w:r w:rsidR="009A0DEF" w:rsidRPr="00DC0273">
        <w:rPr>
          <w:rFonts w:ascii="Times New Roman" w:hAnsi="Times New Roman" w:cs="Times New Roman"/>
          <w:sz w:val="24"/>
          <w:szCs w:val="24"/>
        </w:rPr>
        <w:t xml:space="preserve">fairly </w:t>
      </w:r>
      <w:r w:rsidRPr="00DC0273">
        <w:rPr>
          <w:rFonts w:ascii="Times New Roman" w:hAnsi="Times New Roman" w:cs="Times New Roman"/>
          <w:sz w:val="24"/>
          <w:szCs w:val="24"/>
        </w:rPr>
        <w:t xml:space="preserve">new Commercial Court Registry structure </w:t>
      </w:r>
      <w:r w:rsidR="009A0DEF" w:rsidRPr="00DC0273">
        <w:rPr>
          <w:rFonts w:ascii="Times New Roman" w:hAnsi="Times New Roman" w:cs="Times New Roman"/>
          <w:sz w:val="24"/>
          <w:szCs w:val="24"/>
        </w:rPr>
        <w:t>to service the Commercial Court</w:t>
      </w:r>
      <w:r w:rsidR="00DB2A9D" w:rsidRPr="00DC0273">
        <w:rPr>
          <w:rFonts w:ascii="Times New Roman" w:hAnsi="Times New Roman" w:cs="Times New Roman"/>
          <w:sz w:val="24"/>
          <w:szCs w:val="24"/>
        </w:rPr>
        <w:t>,</w:t>
      </w:r>
      <w:r w:rsidR="009A0DEF"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which ensures </w:t>
      </w:r>
      <w:r w:rsidR="0072721C" w:rsidRPr="00DC0273">
        <w:rPr>
          <w:rFonts w:ascii="Times New Roman" w:hAnsi="Times New Roman" w:cs="Times New Roman"/>
          <w:sz w:val="24"/>
          <w:szCs w:val="24"/>
        </w:rPr>
        <w:t>a hands-on, lawyer-</w:t>
      </w:r>
      <w:r w:rsidRPr="00DC0273">
        <w:rPr>
          <w:rFonts w:ascii="Times New Roman" w:hAnsi="Times New Roman" w:cs="Times New Roman"/>
          <w:sz w:val="24"/>
          <w:szCs w:val="24"/>
        </w:rPr>
        <w:t xml:space="preserve">managed approach to files.  </w:t>
      </w:r>
      <w:r w:rsidR="009A0DEF" w:rsidRPr="00DC0273">
        <w:rPr>
          <w:rFonts w:ascii="Times New Roman" w:hAnsi="Times New Roman" w:cs="Times New Roman"/>
          <w:sz w:val="24"/>
          <w:szCs w:val="24"/>
        </w:rPr>
        <w:t>All civil matters in the Victorian Supreme Court are docketed.</w:t>
      </w:r>
      <w:r w:rsidR="009A0DEF" w:rsidRPr="00DC0273">
        <w:rPr>
          <w:rStyle w:val="FootnoteReference"/>
          <w:rFonts w:ascii="Times New Roman" w:hAnsi="Times New Roman" w:cs="Times New Roman"/>
          <w:sz w:val="24"/>
          <w:szCs w:val="24"/>
        </w:rPr>
        <w:footnoteReference w:id="19"/>
      </w:r>
    </w:p>
    <w:p w14:paraId="42DB8F34"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7C11A464" w14:textId="1E470C1C" w:rsidR="00CA3B29" w:rsidRPr="00DC0273" w:rsidRDefault="00CA3B2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lastRenderedPageBreak/>
        <w:t>One of the ch</w:t>
      </w:r>
      <w:r w:rsidR="0072721C" w:rsidRPr="00DC0273">
        <w:rPr>
          <w:rFonts w:ascii="Times New Roman" w:hAnsi="Times New Roman" w:cs="Times New Roman"/>
          <w:sz w:val="24"/>
          <w:szCs w:val="24"/>
        </w:rPr>
        <w:t>allenges that we have had in</w:t>
      </w:r>
      <w:r w:rsidRPr="00DC0273">
        <w:rPr>
          <w:rFonts w:ascii="Times New Roman" w:hAnsi="Times New Roman" w:cs="Times New Roman"/>
          <w:sz w:val="24"/>
          <w:szCs w:val="24"/>
        </w:rPr>
        <w:t xml:space="preserve"> civil litigation</w:t>
      </w:r>
      <w:r w:rsidR="009A0DEF"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is the matter of access for those without legal representation.  The Supreme Court continues to provide assistance to those individuals.  </w:t>
      </w:r>
      <w:r w:rsidR="009A0DEF" w:rsidRPr="00DC0273">
        <w:rPr>
          <w:rFonts w:ascii="Times New Roman" w:hAnsi="Times New Roman" w:cs="Times New Roman"/>
          <w:sz w:val="24"/>
          <w:szCs w:val="24"/>
        </w:rPr>
        <w:t>We</w:t>
      </w:r>
      <w:r w:rsidRPr="00DC0273">
        <w:rPr>
          <w:rFonts w:ascii="Times New Roman" w:hAnsi="Times New Roman" w:cs="Times New Roman"/>
          <w:sz w:val="24"/>
          <w:szCs w:val="24"/>
        </w:rPr>
        <w:t xml:space="preserve"> publish information to assist self-represented l</w:t>
      </w:r>
      <w:r w:rsidR="0072721C" w:rsidRPr="00DC0273">
        <w:rPr>
          <w:rFonts w:ascii="Times New Roman" w:hAnsi="Times New Roman" w:cs="Times New Roman"/>
          <w:sz w:val="24"/>
          <w:szCs w:val="24"/>
        </w:rPr>
        <w:t>itigants in the preparation of c</w:t>
      </w:r>
      <w:r w:rsidRPr="00DC0273">
        <w:rPr>
          <w:rFonts w:ascii="Times New Roman" w:hAnsi="Times New Roman" w:cs="Times New Roman"/>
          <w:sz w:val="24"/>
          <w:szCs w:val="24"/>
        </w:rPr>
        <w:t xml:space="preserve">ourt documents and the procedural conduct of their matters.  In 2015 the Supreme Court significantly increased the amount of information available through its website, particularly on the </w:t>
      </w:r>
      <w:r w:rsidR="0072721C" w:rsidRPr="00DC0273">
        <w:rPr>
          <w:rFonts w:ascii="Times New Roman" w:hAnsi="Times New Roman" w:cs="Times New Roman"/>
          <w:sz w:val="24"/>
          <w:szCs w:val="24"/>
        </w:rPr>
        <w:t>p</w:t>
      </w:r>
      <w:r w:rsidRPr="00DC0273">
        <w:rPr>
          <w:rFonts w:ascii="Times New Roman" w:hAnsi="Times New Roman" w:cs="Times New Roman"/>
          <w:sz w:val="24"/>
          <w:szCs w:val="24"/>
        </w:rPr>
        <w:t>robate side, which has reco</w:t>
      </w:r>
      <w:r w:rsidR="002452DC" w:rsidRPr="00DC0273">
        <w:rPr>
          <w:rFonts w:ascii="Times New Roman" w:hAnsi="Times New Roman" w:cs="Times New Roman"/>
          <w:sz w:val="24"/>
          <w:szCs w:val="24"/>
        </w:rPr>
        <w:t>rded over 45,000 visits in 2014/</w:t>
      </w:r>
      <w:r w:rsidRPr="00DC0273">
        <w:rPr>
          <w:rFonts w:ascii="Times New Roman" w:hAnsi="Times New Roman" w:cs="Times New Roman"/>
          <w:sz w:val="24"/>
          <w:szCs w:val="24"/>
        </w:rPr>
        <w:t>2015.</w:t>
      </w:r>
    </w:p>
    <w:p w14:paraId="4BDC7CC0"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64AAA54B" w14:textId="79A02E01" w:rsidR="00CA3B29" w:rsidRPr="00DC0273" w:rsidRDefault="0072721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r</w:t>
      </w:r>
      <w:r w:rsidR="00CA3B29" w:rsidRPr="00DC0273">
        <w:rPr>
          <w:rFonts w:ascii="Times New Roman" w:hAnsi="Times New Roman" w:cs="Times New Roman"/>
          <w:sz w:val="24"/>
          <w:szCs w:val="24"/>
        </w:rPr>
        <w:t>egistries also provide in person assistance and referrals to pro bono legal assistance.  The number of contacts by s</w:t>
      </w:r>
      <w:r w:rsidRPr="00DC0273">
        <w:rPr>
          <w:rFonts w:ascii="Times New Roman" w:hAnsi="Times New Roman" w:cs="Times New Roman"/>
          <w:sz w:val="24"/>
          <w:szCs w:val="24"/>
        </w:rPr>
        <w:t>elf-represented litigants with r</w:t>
      </w:r>
      <w:r w:rsidR="00CA3B29" w:rsidRPr="00DC0273">
        <w:rPr>
          <w:rFonts w:ascii="Times New Roman" w:hAnsi="Times New Roman" w:cs="Times New Roman"/>
          <w:sz w:val="24"/>
          <w:szCs w:val="24"/>
        </w:rPr>
        <w:t>egistry staff continues to increase year on year, with ne</w:t>
      </w:r>
      <w:r w:rsidR="002452DC" w:rsidRPr="00DC0273">
        <w:rPr>
          <w:rFonts w:ascii="Times New Roman" w:hAnsi="Times New Roman" w:cs="Times New Roman"/>
          <w:sz w:val="24"/>
          <w:szCs w:val="24"/>
        </w:rPr>
        <w:t>arly 3,000 contacts in 2014/</w:t>
      </w:r>
      <w:r w:rsidR="00CA3B29" w:rsidRPr="00DC0273">
        <w:rPr>
          <w:rFonts w:ascii="Times New Roman" w:hAnsi="Times New Roman" w:cs="Times New Roman"/>
          <w:sz w:val="24"/>
          <w:szCs w:val="24"/>
        </w:rPr>
        <w:t>2015.</w:t>
      </w:r>
    </w:p>
    <w:p w14:paraId="01941C65"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2A12029E" w14:textId="3138A82C" w:rsidR="00CA3B29" w:rsidRPr="00DC0273" w:rsidRDefault="00CA3B2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Probate Registry, </w:t>
      </w:r>
      <w:r w:rsidR="00727BAE" w:rsidRPr="00DC0273">
        <w:rPr>
          <w:rFonts w:ascii="Times New Roman" w:hAnsi="Times New Roman" w:cs="Times New Roman"/>
          <w:sz w:val="24"/>
          <w:szCs w:val="24"/>
        </w:rPr>
        <w:t xml:space="preserve">in addition to answering inquiries day-to-day, provides a small estate service under the </w:t>
      </w:r>
      <w:r w:rsidR="00727BAE" w:rsidRPr="00DC0273">
        <w:rPr>
          <w:rFonts w:ascii="Times New Roman" w:hAnsi="Times New Roman" w:cs="Times New Roman"/>
          <w:i/>
          <w:sz w:val="24"/>
          <w:szCs w:val="24"/>
        </w:rPr>
        <w:t>Administration and Probate Act</w:t>
      </w:r>
      <w:r w:rsidR="0059571B" w:rsidRPr="00DC0273">
        <w:rPr>
          <w:rFonts w:ascii="Times New Roman" w:hAnsi="Times New Roman" w:cs="Times New Roman"/>
          <w:i/>
          <w:sz w:val="24"/>
          <w:szCs w:val="24"/>
        </w:rPr>
        <w:t xml:space="preserve"> 1958</w:t>
      </w:r>
      <w:r w:rsidR="009A0DEF" w:rsidRPr="00DC0273">
        <w:rPr>
          <w:rFonts w:ascii="Times New Roman" w:hAnsi="Times New Roman" w:cs="Times New Roman"/>
          <w:sz w:val="24"/>
          <w:szCs w:val="24"/>
        </w:rPr>
        <w:t xml:space="preserve"> </w:t>
      </w:r>
      <w:r w:rsidR="00727BAE" w:rsidRPr="00DC0273">
        <w:rPr>
          <w:rFonts w:ascii="Times New Roman" w:hAnsi="Times New Roman" w:cs="Times New Roman"/>
          <w:sz w:val="24"/>
          <w:szCs w:val="24"/>
        </w:rPr>
        <w:t xml:space="preserve">which allows those seeking to obtain probate of a deceased estate to </w:t>
      </w:r>
      <w:r w:rsidR="009A0DEF" w:rsidRPr="00DC0273">
        <w:rPr>
          <w:rFonts w:ascii="Times New Roman" w:hAnsi="Times New Roman" w:cs="Times New Roman"/>
          <w:sz w:val="24"/>
          <w:szCs w:val="24"/>
        </w:rPr>
        <w:t xml:space="preserve">obtain </w:t>
      </w:r>
      <w:r w:rsidR="00727BAE" w:rsidRPr="00DC0273">
        <w:rPr>
          <w:rFonts w:ascii="Times New Roman" w:hAnsi="Times New Roman" w:cs="Times New Roman"/>
          <w:sz w:val="24"/>
          <w:szCs w:val="24"/>
        </w:rPr>
        <w:t>formal assi</w:t>
      </w:r>
      <w:r w:rsidR="00182118" w:rsidRPr="00DC0273">
        <w:rPr>
          <w:rFonts w:ascii="Times New Roman" w:hAnsi="Times New Roman" w:cs="Times New Roman"/>
          <w:sz w:val="24"/>
          <w:szCs w:val="24"/>
        </w:rPr>
        <w:t>stance from the R</w:t>
      </w:r>
      <w:r w:rsidR="00727BAE" w:rsidRPr="00DC0273">
        <w:rPr>
          <w:rFonts w:ascii="Times New Roman" w:hAnsi="Times New Roman" w:cs="Times New Roman"/>
          <w:sz w:val="24"/>
          <w:szCs w:val="24"/>
        </w:rPr>
        <w:t>egistrar in the preparation of necessary documents.  The small estate threshold was recently raised from $50,000 to $100,000</w:t>
      </w:r>
      <w:r w:rsidR="00182118" w:rsidRPr="00DC0273">
        <w:rPr>
          <w:rFonts w:ascii="Times New Roman" w:hAnsi="Times New Roman" w:cs="Times New Roman"/>
          <w:sz w:val="24"/>
          <w:szCs w:val="24"/>
        </w:rPr>
        <w:t>.  As a result 2014-</w:t>
      </w:r>
      <w:r w:rsidR="009A0DEF" w:rsidRPr="00DC0273">
        <w:rPr>
          <w:rFonts w:ascii="Times New Roman" w:hAnsi="Times New Roman" w:cs="Times New Roman"/>
          <w:sz w:val="24"/>
          <w:szCs w:val="24"/>
        </w:rPr>
        <w:t xml:space="preserve">15 </w:t>
      </w:r>
      <w:r w:rsidR="00727BAE" w:rsidRPr="00DC0273">
        <w:rPr>
          <w:rFonts w:ascii="Times New Roman" w:hAnsi="Times New Roman" w:cs="Times New Roman"/>
          <w:sz w:val="24"/>
          <w:szCs w:val="24"/>
        </w:rPr>
        <w:t>saw an 86% increase in the number of small esta</w:t>
      </w:r>
      <w:r w:rsidR="00182118" w:rsidRPr="00DC0273">
        <w:rPr>
          <w:rFonts w:ascii="Times New Roman" w:hAnsi="Times New Roman" w:cs="Times New Roman"/>
          <w:sz w:val="24"/>
          <w:szCs w:val="24"/>
        </w:rPr>
        <w:t>te grants of assistance by the R</w:t>
      </w:r>
      <w:r w:rsidR="00727BAE" w:rsidRPr="00DC0273">
        <w:rPr>
          <w:rFonts w:ascii="Times New Roman" w:hAnsi="Times New Roman" w:cs="Times New Roman"/>
          <w:sz w:val="24"/>
          <w:szCs w:val="24"/>
        </w:rPr>
        <w:t>egistrar.</w:t>
      </w:r>
    </w:p>
    <w:p w14:paraId="0FFB3C85"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344D867B" w14:textId="51FECF71" w:rsidR="00727BAE" w:rsidRPr="00DC0273" w:rsidRDefault="00727BAE"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It </w:t>
      </w:r>
      <w:r w:rsidR="0072721C" w:rsidRPr="00DC0273">
        <w:rPr>
          <w:rFonts w:ascii="Times New Roman" w:hAnsi="Times New Roman" w:cs="Times New Roman"/>
          <w:sz w:val="24"/>
          <w:szCs w:val="24"/>
        </w:rPr>
        <w:t>might be thought by some that p</w:t>
      </w:r>
      <w:r w:rsidRPr="00DC0273">
        <w:rPr>
          <w:rFonts w:ascii="Times New Roman" w:hAnsi="Times New Roman" w:cs="Times New Roman"/>
          <w:sz w:val="24"/>
          <w:szCs w:val="24"/>
        </w:rPr>
        <w:t xml:space="preserve">robate matters are not </w:t>
      </w:r>
      <w:r w:rsidR="009A0DEF" w:rsidRPr="00DC0273">
        <w:rPr>
          <w:rFonts w:ascii="Times New Roman" w:hAnsi="Times New Roman" w:cs="Times New Roman"/>
          <w:sz w:val="24"/>
          <w:szCs w:val="24"/>
        </w:rPr>
        <w:t xml:space="preserve">all </w:t>
      </w:r>
      <w:r w:rsidRPr="00DC0273">
        <w:rPr>
          <w:rFonts w:ascii="Times New Roman" w:hAnsi="Times New Roman" w:cs="Times New Roman"/>
          <w:sz w:val="24"/>
          <w:szCs w:val="24"/>
        </w:rPr>
        <w:t>that sig</w:t>
      </w:r>
      <w:r w:rsidR="0072721C" w:rsidRPr="00DC0273">
        <w:rPr>
          <w:rFonts w:ascii="Times New Roman" w:hAnsi="Times New Roman" w:cs="Times New Roman"/>
          <w:sz w:val="24"/>
          <w:szCs w:val="24"/>
        </w:rPr>
        <w:t>nificant.  In the Supreme Court</w:t>
      </w:r>
      <w:r w:rsidRPr="00DC0273">
        <w:rPr>
          <w:rFonts w:ascii="Times New Roman" w:hAnsi="Times New Roman" w:cs="Times New Roman"/>
          <w:sz w:val="24"/>
          <w:szCs w:val="24"/>
        </w:rPr>
        <w:t xml:space="preserve"> we put through around 20,000 matters a year</w:t>
      </w:r>
      <w:r w:rsidR="009A0DEF" w:rsidRPr="00DC0273">
        <w:rPr>
          <w:rFonts w:ascii="Times New Roman" w:hAnsi="Times New Roman" w:cs="Times New Roman"/>
          <w:sz w:val="24"/>
          <w:szCs w:val="24"/>
        </w:rPr>
        <w:t>.  If we</w:t>
      </w:r>
      <w:r w:rsidRPr="00DC0273">
        <w:rPr>
          <w:rFonts w:ascii="Times New Roman" w:hAnsi="Times New Roman" w:cs="Times New Roman"/>
          <w:sz w:val="24"/>
          <w:szCs w:val="24"/>
        </w:rPr>
        <w:t xml:space="preserve"> reflect</w:t>
      </w:r>
      <w:r w:rsidR="003F6F26" w:rsidRPr="00DC0273">
        <w:rPr>
          <w:rFonts w:ascii="Times New Roman" w:hAnsi="Times New Roman" w:cs="Times New Roman"/>
          <w:sz w:val="24"/>
          <w:szCs w:val="24"/>
        </w:rPr>
        <w:t>,</w:t>
      </w:r>
      <w:r w:rsidRPr="00DC0273">
        <w:rPr>
          <w:rFonts w:ascii="Times New Roman" w:hAnsi="Times New Roman" w:cs="Times New Roman"/>
          <w:sz w:val="24"/>
          <w:szCs w:val="24"/>
        </w:rPr>
        <w:t xml:space="preserve"> </w:t>
      </w:r>
      <w:r w:rsidR="00E23755" w:rsidRPr="00DC0273">
        <w:rPr>
          <w:rFonts w:ascii="Times New Roman" w:hAnsi="Times New Roman" w:cs="Times New Roman"/>
          <w:sz w:val="24"/>
          <w:szCs w:val="24"/>
        </w:rPr>
        <w:t xml:space="preserve">the </w:t>
      </w:r>
      <w:r w:rsidRPr="00DC0273">
        <w:rPr>
          <w:rFonts w:ascii="Times New Roman" w:hAnsi="Times New Roman" w:cs="Times New Roman"/>
          <w:sz w:val="24"/>
          <w:szCs w:val="24"/>
        </w:rPr>
        <w:t xml:space="preserve">average member of the public </w:t>
      </w:r>
      <w:r w:rsidR="00E23755" w:rsidRPr="00DC0273">
        <w:rPr>
          <w:rFonts w:ascii="Times New Roman" w:hAnsi="Times New Roman" w:cs="Times New Roman"/>
          <w:sz w:val="24"/>
          <w:szCs w:val="24"/>
        </w:rPr>
        <w:t xml:space="preserve">may </w:t>
      </w:r>
      <w:r w:rsidRPr="00DC0273">
        <w:rPr>
          <w:rFonts w:ascii="Times New Roman" w:hAnsi="Times New Roman" w:cs="Times New Roman"/>
          <w:sz w:val="24"/>
          <w:szCs w:val="24"/>
        </w:rPr>
        <w:t>not have a</w:t>
      </w:r>
      <w:r w:rsidR="00E23755" w:rsidRPr="00DC0273">
        <w:rPr>
          <w:rFonts w:ascii="Times New Roman" w:hAnsi="Times New Roman" w:cs="Times New Roman"/>
          <w:sz w:val="24"/>
          <w:szCs w:val="24"/>
        </w:rPr>
        <w:t xml:space="preserve"> single </w:t>
      </w:r>
      <w:r w:rsidRPr="00DC0273">
        <w:rPr>
          <w:rFonts w:ascii="Times New Roman" w:hAnsi="Times New Roman" w:cs="Times New Roman"/>
          <w:sz w:val="24"/>
          <w:szCs w:val="24"/>
        </w:rPr>
        <w:t>engag</w:t>
      </w:r>
      <w:r w:rsidR="00DB2A9D" w:rsidRPr="00DC0273">
        <w:rPr>
          <w:rFonts w:ascii="Times New Roman" w:hAnsi="Times New Roman" w:cs="Times New Roman"/>
          <w:sz w:val="24"/>
          <w:szCs w:val="24"/>
        </w:rPr>
        <w:t>ement or encounter with the C</w:t>
      </w:r>
      <w:r w:rsidRPr="00DC0273">
        <w:rPr>
          <w:rFonts w:ascii="Times New Roman" w:hAnsi="Times New Roman" w:cs="Times New Roman"/>
          <w:sz w:val="24"/>
          <w:szCs w:val="24"/>
        </w:rPr>
        <w:t>ourt in their whole lifetime, except perhaps when a family member dies</w:t>
      </w:r>
      <w:r w:rsidR="003F6F26" w:rsidRPr="00DC0273">
        <w:rPr>
          <w:rFonts w:ascii="Times New Roman" w:hAnsi="Times New Roman" w:cs="Times New Roman"/>
          <w:sz w:val="24"/>
          <w:szCs w:val="24"/>
        </w:rPr>
        <w:t xml:space="preserve"> and the estate</w:t>
      </w:r>
      <w:r w:rsidR="00E23755" w:rsidRPr="00DC0273">
        <w:rPr>
          <w:rFonts w:ascii="Times New Roman" w:hAnsi="Times New Roman" w:cs="Times New Roman"/>
          <w:sz w:val="24"/>
          <w:szCs w:val="24"/>
        </w:rPr>
        <w:t>, often</w:t>
      </w:r>
      <w:r w:rsidRPr="00DC0273">
        <w:rPr>
          <w:rFonts w:ascii="Times New Roman" w:hAnsi="Times New Roman" w:cs="Times New Roman"/>
          <w:sz w:val="24"/>
          <w:szCs w:val="24"/>
        </w:rPr>
        <w:t xml:space="preserve"> </w:t>
      </w:r>
      <w:r w:rsidR="003F6F26" w:rsidRPr="00DC0273">
        <w:rPr>
          <w:rFonts w:ascii="Times New Roman" w:hAnsi="Times New Roman" w:cs="Times New Roman"/>
          <w:sz w:val="24"/>
          <w:szCs w:val="24"/>
        </w:rPr>
        <w:t xml:space="preserve">of </w:t>
      </w:r>
      <w:r w:rsidR="00E23755" w:rsidRPr="00DC0273">
        <w:rPr>
          <w:rFonts w:ascii="Times New Roman" w:hAnsi="Times New Roman" w:cs="Times New Roman"/>
          <w:sz w:val="24"/>
          <w:szCs w:val="24"/>
        </w:rPr>
        <w:t>the</w:t>
      </w:r>
      <w:r w:rsidR="00DB2A9D" w:rsidRPr="00DC0273">
        <w:rPr>
          <w:rFonts w:ascii="Times New Roman" w:hAnsi="Times New Roman" w:cs="Times New Roman"/>
          <w:sz w:val="24"/>
          <w:szCs w:val="24"/>
        </w:rPr>
        <w:t>ir</w:t>
      </w:r>
      <w:r w:rsidR="00E23755"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parents, </w:t>
      </w:r>
      <w:r w:rsidR="00E23755" w:rsidRPr="00DC0273">
        <w:rPr>
          <w:rFonts w:ascii="Times New Roman" w:hAnsi="Times New Roman" w:cs="Times New Roman"/>
          <w:sz w:val="24"/>
          <w:szCs w:val="24"/>
        </w:rPr>
        <w:t>has to be managed</w:t>
      </w:r>
      <w:r w:rsidRPr="00DC0273">
        <w:rPr>
          <w:rFonts w:ascii="Times New Roman" w:hAnsi="Times New Roman" w:cs="Times New Roman"/>
          <w:sz w:val="24"/>
          <w:szCs w:val="24"/>
        </w:rPr>
        <w:t xml:space="preserve">. </w:t>
      </w:r>
      <w:r w:rsidR="00E23755" w:rsidRPr="00DC0273">
        <w:rPr>
          <w:rFonts w:ascii="Times New Roman" w:hAnsi="Times New Roman" w:cs="Times New Roman"/>
          <w:sz w:val="24"/>
          <w:szCs w:val="24"/>
        </w:rPr>
        <w:t>T</w:t>
      </w:r>
      <w:r w:rsidRPr="00DC0273">
        <w:rPr>
          <w:rFonts w:ascii="Times New Roman" w:hAnsi="Times New Roman" w:cs="Times New Roman"/>
          <w:sz w:val="24"/>
          <w:szCs w:val="24"/>
        </w:rPr>
        <w:t>hese days, with rising house prices, it is not unusual for a deceased estate principally consist</w:t>
      </w:r>
      <w:r w:rsidR="00E23755" w:rsidRPr="00DC0273">
        <w:rPr>
          <w:rFonts w:ascii="Times New Roman" w:hAnsi="Times New Roman" w:cs="Times New Roman"/>
          <w:sz w:val="24"/>
          <w:szCs w:val="24"/>
        </w:rPr>
        <w:t>ing</w:t>
      </w:r>
      <w:r w:rsidRPr="00DC0273">
        <w:rPr>
          <w:rFonts w:ascii="Times New Roman" w:hAnsi="Times New Roman" w:cs="Times New Roman"/>
          <w:sz w:val="24"/>
          <w:szCs w:val="24"/>
        </w:rPr>
        <w:t xml:space="preserve"> of real estate to be approach</w:t>
      </w:r>
      <w:r w:rsidR="00E23755" w:rsidRPr="00DC0273">
        <w:rPr>
          <w:rFonts w:ascii="Times New Roman" w:hAnsi="Times New Roman" w:cs="Times New Roman"/>
          <w:sz w:val="24"/>
          <w:szCs w:val="24"/>
        </w:rPr>
        <w:t xml:space="preserve">ing </w:t>
      </w:r>
      <w:r w:rsidRPr="00DC0273">
        <w:rPr>
          <w:rFonts w:ascii="Times New Roman" w:hAnsi="Times New Roman" w:cs="Times New Roman"/>
          <w:sz w:val="24"/>
          <w:szCs w:val="24"/>
        </w:rPr>
        <w:t xml:space="preserve">in the </w:t>
      </w:r>
      <w:r w:rsidR="00E23755" w:rsidRPr="00DC0273">
        <w:rPr>
          <w:rFonts w:ascii="Times New Roman" w:hAnsi="Times New Roman" w:cs="Times New Roman"/>
          <w:sz w:val="24"/>
          <w:szCs w:val="24"/>
        </w:rPr>
        <w:t xml:space="preserve">order </w:t>
      </w:r>
      <w:r w:rsidRPr="00DC0273">
        <w:rPr>
          <w:rFonts w:ascii="Times New Roman" w:hAnsi="Times New Roman" w:cs="Times New Roman"/>
          <w:sz w:val="24"/>
          <w:szCs w:val="24"/>
        </w:rPr>
        <w:t>of $1 million</w:t>
      </w:r>
      <w:r w:rsidR="00E23755" w:rsidRPr="00DC0273">
        <w:rPr>
          <w:rFonts w:ascii="Times New Roman" w:hAnsi="Times New Roman" w:cs="Times New Roman"/>
          <w:sz w:val="24"/>
          <w:szCs w:val="24"/>
        </w:rPr>
        <w:t xml:space="preserve"> in value</w:t>
      </w:r>
      <w:r w:rsidRPr="00DC0273">
        <w:rPr>
          <w:rFonts w:ascii="Times New Roman" w:hAnsi="Times New Roman" w:cs="Times New Roman"/>
          <w:sz w:val="24"/>
          <w:szCs w:val="24"/>
        </w:rPr>
        <w:t>.  These are substantial matters when the ordinary citizen needs access to justice.</w:t>
      </w:r>
    </w:p>
    <w:p w14:paraId="1D2CFBCF" w14:textId="77777777" w:rsidR="0072721C" w:rsidRPr="00DC0273" w:rsidRDefault="0072721C" w:rsidP="00905BC2">
      <w:pPr>
        <w:spacing w:after="0" w:line="276" w:lineRule="auto"/>
        <w:jc w:val="both"/>
        <w:rPr>
          <w:rFonts w:ascii="Times New Roman" w:hAnsi="Times New Roman" w:cs="Times New Roman"/>
          <w:sz w:val="24"/>
          <w:szCs w:val="24"/>
        </w:rPr>
      </w:pPr>
    </w:p>
    <w:p w14:paraId="53F53D87" w14:textId="488726F5" w:rsidR="00E23755" w:rsidRPr="00DC0273" w:rsidRDefault="00E23755"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The Commercial Court</w:t>
      </w:r>
    </w:p>
    <w:p w14:paraId="1CB68A00" w14:textId="77777777" w:rsidR="005C3C18" w:rsidRPr="00DC0273" w:rsidRDefault="005C3C18" w:rsidP="00905BC2">
      <w:pPr>
        <w:spacing w:after="0" w:line="276" w:lineRule="auto"/>
        <w:jc w:val="both"/>
        <w:rPr>
          <w:rFonts w:ascii="Times New Roman" w:hAnsi="Times New Roman" w:cs="Times New Roman"/>
          <w:sz w:val="24"/>
          <w:szCs w:val="24"/>
        </w:rPr>
      </w:pPr>
    </w:p>
    <w:p w14:paraId="61C4EB3B" w14:textId="75DF48F2" w:rsidR="0072721C" w:rsidRPr="00DC0273" w:rsidRDefault="00727BAE"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Now I w</w:t>
      </w:r>
      <w:r w:rsidR="00E23755" w:rsidRPr="00DC0273">
        <w:rPr>
          <w:rFonts w:ascii="Times New Roman" w:hAnsi="Times New Roman" w:cs="Times New Roman"/>
          <w:sz w:val="24"/>
          <w:szCs w:val="24"/>
        </w:rPr>
        <w:t xml:space="preserve">ill </w:t>
      </w:r>
      <w:r w:rsidRPr="00DC0273">
        <w:rPr>
          <w:rFonts w:ascii="Times New Roman" w:hAnsi="Times New Roman" w:cs="Times New Roman"/>
          <w:sz w:val="24"/>
          <w:szCs w:val="24"/>
        </w:rPr>
        <w:t xml:space="preserve">shift to the Commercial Court model.  </w:t>
      </w:r>
    </w:p>
    <w:p w14:paraId="5A813360"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6451FC7D" w14:textId="4B4B1EBF" w:rsidR="00AC250F" w:rsidRPr="00DC0273" w:rsidRDefault="00AC25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Commercial Court model is one that is responsive t</w:t>
      </w:r>
      <w:r w:rsidR="00DB2A9D" w:rsidRPr="00DC0273">
        <w:rPr>
          <w:rFonts w:ascii="Times New Roman" w:hAnsi="Times New Roman" w:cs="Times New Roman"/>
          <w:sz w:val="24"/>
          <w:szCs w:val="24"/>
        </w:rPr>
        <w:t>o the needs of those who use it. It</w:t>
      </w:r>
      <w:r w:rsidRPr="00DC0273">
        <w:rPr>
          <w:rFonts w:ascii="Times New Roman" w:hAnsi="Times New Roman" w:cs="Times New Roman"/>
          <w:sz w:val="24"/>
          <w:szCs w:val="24"/>
        </w:rPr>
        <w:t xml:space="preserve"> is supported by both technology</w:t>
      </w:r>
      <w:r w:rsidR="00DB2A9D" w:rsidRPr="00DC0273">
        <w:rPr>
          <w:rFonts w:ascii="Times New Roman" w:hAnsi="Times New Roman" w:cs="Times New Roman"/>
          <w:sz w:val="24"/>
          <w:szCs w:val="24"/>
        </w:rPr>
        <w:t>,</w:t>
      </w:r>
      <w:r w:rsidRPr="00DC0273">
        <w:rPr>
          <w:rFonts w:ascii="Times New Roman" w:hAnsi="Times New Roman" w:cs="Times New Roman"/>
          <w:sz w:val="24"/>
          <w:szCs w:val="24"/>
        </w:rPr>
        <w:t xml:space="preserve"> which enables it to insist on a digital first approach to all its files</w:t>
      </w:r>
      <w:r w:rsidR="00DB2A9D" w:rsidRPr="00DC0273">
        <w:rPr>
          <w:rFonts w:ascii="Times New Roman" w:hAnsi="Times New Roman" w:cs="Times New Roman"/>
          <w:sz w:val="24"/>
          <w:szCs w:val="24"/>
        </w:rPr>
        <w:t>,</w:t>
      </w:r>
      <w:r w:rsidRPr="00DC0273">
        <w:rPr>
          <w:rFonts w:ascii="Times New Roman" w:hAnsi="Times New Roman" w:cs="Times New Roman"/>
          <w:sz w:val="24"/>
          <w:szCs w:val="24"/>
        </w:rPr>
        <w:t xml:space="preserve"> and the highly skilled but sm</w:t>
      </w:r>
      <w:r w:rsidR="00DB2A9D" w:rsidRPr="00DC0273">
        <w:rPr>
          <w:rFonts w:ascii="Times New Roman" w:hAnsi="Times New Roman" w:cs="Times New Roman"/>
          <w:sz w:val="24"/>
          <w:szCs w:val="24"/>
        </w:rPr>
        <w:t>all registry led by a specialist</w:t>
      </w:r>
      <w:r w:rsidRPr="00DC0273">
        <w:rPr>
          <w:rFonts w:ascii="Times New Roman" w:hAnsi="Times New Roman" w:cs="Times New Roman"/>
          <w:sz w:val="24"/>
          <w:szCs w:val="24"/>
        </w:rPr>
        <w:t xml:space="preserve"> Judicial Registrar.  </w:t>
      </w:r>
    </w:p>
    <w:p w14:paraId="6B4CF07F" w14:textId="77777777" w:rsidR="003F6F26" w:rsidRPr="00DC0273" w:rsidRDefault="003F6F26" w:rsidP="00905BC2">
      <w:pPr>
        <w:spacing w:after="0" w:line="276" w:lineRule="auto"/>
        <w:ind w:firstLine="720"/>
        <w:jc w:val="both"/>
        <w:rPr>
          <w:rFonts w:ascii="Times New Roman" w:hAnsi="Times New Roman" w:cs="Times New Roman"/>
          <w:sz w:val="24"/>
          <w:szCs w:val="24"/>
        </w:rPr>
      </w:pPr>
    </w:p>
    <w:p w14:paraId="0C9B9BFF" w14:textId="77777777" w:rsidR="00AC250F" w:rsidRPr="00DC0273" w:rsidRDefault="00AC25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Cases in the Commercial Court are allocated between general and specialist lists which allow for the targeted allocation of proceedings to lists managed by Judges and Associate Judges who have extensive specialist and commercial law experience.</w:t>
      </w:r>
    </w:p>
    <w:p w14:paraId="530A5F45" w14:textId="48CE525E" w:rsidR="00AC250F" w:rsidRPr="00DC0273" w:rsidRDefault="00AC250F" w:rsidP="00905BC2">
      <w:pPr>
        <w:spacing w:after="0" w:line="276" w:lineRule="auto"/>
        <w:ind w:firstLine="720"/>
        <w:jc w:val="both"/>
        <w:rPr>
          <w:rFonts w:ascii="Times New Roman" w:hAnsi="Times New Roman" w:cs="Times New Roman"/>
          <w:sz w:val="24"/>
          <w:szCs w:val="24"/>
        </w:rPr>
      </w:pPr>
    </w:p>
    <w:p w14:paraId="299CD27A" w14:textId="53FFF22C" w:rsidR="00727BAE" w:rsidRPr="00DC0273" w:rsidRDefault="00727BAE"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Commercial Court was </w:t>
      </w:r>
      <w:r w:rsidR="00E23755" w:rsidRPr="00DC0273">
        <w:rPr>
          <w:rFonts w:ascii="Times New Roman" w:hAnsi="Times New Roman" w:cs="Times New Roman"/>
          <w:sz w:val="24"/>
          <w:szCs w:val="24"/>
        </w:rPr>
        <w:t>re-</w:t>
      </w:r>
      <w:r w:rsidRPr="00DC0273">
        <w:rPr>
          <w:rFonts w:ascii="Times New Roman" w:hAnsi="Times New Roman" w:cs="Times New Roman"/>
          <w:sz w:val="24"/>
          <w:szCs w:val="24"/>
        </w:rPr>
        <w:t xml:space="preserve">established and revised in the Supreme Court in 2014.  </w:t>
      </w:r>
      <w:r w:rsidR="002452DC" w:rsidRPr="00DC0273">
        <w:rPr>
          <w:rFonts w:ascii="Times New Roman" w:hAnsi="Times New Roman" w:cs="Times New Roman"/>
          <w:sz w:val="24"/>
          <w:szCs w:val="24"/>
        </w:rPr>
        <w:t>In addition to</w:t>
      </w:r>
      <w:r w:rsidR="0072721C" w:rsidRPr="00DC0273">
        <w:rPr>
          <w:rFonts w:ascii="Times New Roman" w:hAnsi="Times New Roman" w:cs="Times New Roman"/>
          <w:sz w:val="24"/>
          <w:szCs w:val="24"/>
        </w:rPr>
        <w:t xml:space="preserve"> specialist lists and judge </w:t>
      </w:r>
      <w:r w:rsidRPr="00DC0273">
        <w:rPr>
          <w:rFonts w:ascii="Times New Roman" w:hAnsi="Times New Roman" w:cs="Times New Roman"/>
          <w:sz w:val="24"/>
          <w:szCs w:val="24"/>
        </w:rPr>
        <w:t>managed lists</w:t>
      </w:r>
      <w:r w:rsidR="002452DC" w:rsidRPr="00DC0273">
        <w:rPr>
          <w:rFonts w:ascii="Times New Roman" w:hAnsi="Times New Roman" w:cs="Times New Roman"/>
          <w:sz w:val="24"/>
          <w:szCs w:val="24"/>
        </w:rPr>
        <w:t>, t</w:t>
      </w:r>
      <w:r w:rsidR="00E23755" w:rsidRPr="00DC0273">
        <w:rPr>
          <w:rFonts w:ascii="Times New Roman" w:hAnsi="Times New Roman" w:cs="Times New Roman"/>
          <w:sz w:val="24"/>
          <w:szCs w:val="24"/>
        </w:rPr>
        <w:t xml:space="preserve">here is </w:t>
      </w:r>
      <w:r w:rsidR="00DB2A9D" w:rsidRPr="00DC0273">
        <w:rPr>
          <w:rFonts w:ascii="Times New Roman" w:hAnsi="Times New Roman" w:cs="Times New Roman"/>
          <w:sz w:val="24"/>
          <w:szCs w:val="24"/>
        </w:rPr>
        <w:t>the</w:t>
      </w:r>
      <w:r w:rsidRPr="00DC0273">
        <w:rPr>
          <w:rFonts w:ascii="Times New Roman" w:hAnsi="Times New Roman" w:cs="Times New Roman"/>
          <w:sz w:val="24"/>
          <w:szCs w:val="24"/>
        </w:rPr>
        <w:t xml:space="preserve"> </w:t>
      </w:r>
      <w:proofErr w:type="spellStart"/>
      <w:r w:rsidRPr="00DC0273">
        <w:rPr>
          <w:rFonts w:ascii="Times New Roman" w:hAnsi="Times New Roman" w:cs="Times New Roman"/>
          <w:sz w:val="24"/>
          <w:szCs w:val="24"/>
        </w:rPr>
        <w:t>RedCrest</w:t>
      </w:r>
      <w:proofErr w:type="spellEnd"/>
      <w:r w:rsidRPr="00DC0273">
        <w:rPr>
          <w:rFonts w:ascii="Times New Roman" w:hAnsi="Times New Roman" w:cs="Times New Roman"/>
          <w:sz w:val="24"/>
          <w:szCs w:val="24"/>
        </w:rPr>
        <w:t xml:space="preserve"> electronic filing system which provides anytime, anywhere filing, and has case management capabilities.  There has been a major review of the practice procedures </w:t>
      </w:r>
      <w:r w:rsidR="00E23755" w:rsidRPr="00DC0273">
        <w:rPr>
          <w:rFonts w:ascii="Times New Roman" w:hAnsi="Times New Roman" w:cs="Times New Roman"/>
          <w:sz w:val="24"/>
          <w:szCs w:val="24"/>
        </w:rPr>
        <w:t xml:space="preserve">known as the </w:t>
      </w:r>
      <w:r w:rsidR="00E23755" w:rsidRPr="00DC0273">
        <w:rPr>
          <w:rFonts w:ascii="Times New Roman" w:hAnsi="Times New Roman" w:cs="Times New Roman"/>
          <w:i/>
          <w:sz w:val="24"/>
          <w:szCs w:val="24"/>
        </w:rPr>
        <w:t>Green Book</w:t>
      </w:r>
      <w:r w:rsidR="00E23755"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to make sure </w:t>
      </w:r>
      <w:r w:rsidR="00E23755" w:rsidRPr="00DC0273">
        <w:rPr>
          <w:rFonts w:ascii="Times New Roman" w:hAnsi="Times New Roman" w:cs="Times New Roman"/>
          <w:sz w:val="24"/>
          <w:szCs w:val="24"/>
        </w:rPr>
        <w:t xml:space="preserve">processes </w:t>
      </w:r>
      <w:r w:rsidRPr="00DC0273">
        <w:rPr>
          <w:rFonts w:ascii="Times New Roman" w:hAnsi="Times New Roman" w:cs="Times New Roman"/>
          <w:sz w:val="24"/>
          <w:szCs w:val="24"/>
        </w:rPr>
        <w:t xml:space="preserve">are up to date.  </w:t>
      </w:r>
      <w:r w:rsidR="003F6F26" w:rsidRPr="00DC0273">
        <w:rPr>
          <w:rFonts w:ascii="Times New Roman" w:hAnsi="Times New Roman" w:cs="Times New Roman"/>
          <w:sz w:val="24"/>
          <w:szCs w:val="24"/>
        </w:rPr>
        <w:t>Relevantly, t</w:t>
      </w:r>
      <w:r w:rsidRPr="00DC0273">
        <w:rPr>
          <w:rFonts w:ascii="Times New Roman" w:hAnsi="Times New Roman" w:cs="Times New Roman"/>
          <w:sz w:val="24"/>
          <w:szCs w:val="24"/>
        </w:rPr>
        <w:t xml:space="preserve">here is a </w:t>
      </w:r>
      <w:r w:rsidRPr="00DC0273">
        <w:rPr>
          <w:rFonts w:ascii="Times New Roman" w:hAnsi="Times New Roman" w:cs="Times New Roman"/>
          <w:i/>
          <w:sz w:val="24"/>
          <w:szCs w:val="24"/>
        </w:rPr>
        <w:t>Corporations Act</w:t>
      </w:r>
      <w:r w:rsidRPr="00DC0273">
        <w:rPr>
          <w:rFonts w:ascii="Times New Roman" w:hAnsi="Times New Roman" w:cs="Times New Roman"/>
          <w:sz w:val="24"/>
          <w:szCs w:val="24"/>
        </w:rPr>
        <w:t xml:space="preserve"> </w:t>
      </w:r>
      <w:r w:rsidR="00E23755" w:rsidRPr="00DC0273">
        <w:rPr>
          <w:rFonts w:ascii="Times New Roman" w:hAnsi="Times New Roman" w:cs="Times New Roman"/>
          <w:sz w:val="24"/>
          <w:szCs w:val="24"/>
        </w:rPr>
        <w:t>O</w:t>
      </w:r>
      <w:r w:rsidRPr="00DC0273">
        <w:rPr>
          <w:rFonts w:ascii="Times New Roman" w:hAnsi="Times New Roman" w:cs="Times New Roman"/>
          <w:sz w:val="24"/>
          <w:szCs w:val="24"/>
        </w:rPr>
        <w:t xml:space="preserve">ppression </w:t>
      </w:r>
      <w:r w:rsidR="00E23755" w:rsidRPr="00DC0273">
        <w:rPr>
          <w:rFonts w:ascii="Times New Roman" w:hAnsi="Times New Roman" w:cs="Times New Roman"/>
          <w:sz w:val="24"/>
          <w:szCs w:val="24"/>
        </w:rPr>
        <w:t>P</w:t>
      </w:r>
      <w:r w:rsidRPr="00DC0273">
        <w:rPr>
          <w:rFonts w:ascii="Times New Roman" w:hAnsi="Times New Roman" w:cs="Times New Roman"/>
          <w:sz w:val="24"/>
          <w:szCs w:val="24"/>
        </w:rPr>
        <w:t xml:space="preserve">roceeding </w:t>
      </w:r>
      <w:r w:rsidR="00DB2A9D" w:rsidRPr="00DC0273">
        <w:rPr>
          <w:rFonts w:ascii="Times New Roman" w:hAnsi="Times New Roman" w:cs="Times New Roman"/>
          <w:sz w:val="24"/>
          <w:szCs w:val="24"/>
        </w:rPr>
        <w:t>P</w:t>
      </w:r>
      <w:r w:rsidR="00E23755" w:rsidRPr="00DC0273">
        <w:rPr>
          <w:rFonts w:ascii="Times New Roman" w:hAnsi="Times New Roman" w:cs="Times New Roman"/>
          <w:sz w:val="24"/>
          <w:szCs w:val="24"/>
        </w:rPr>
        <w:t xml:space="preserve">rocesses </w:t>
      </w:r>
      <w:r w:rsidRPr="00DC0273">
        <w:rPr>
          <w:rFonts w:ascii="Times New Roman" w:hAnsi="Times New Roman" w:cs="Times New Roman"/>
          <w:sz w:val="24"/>
          <w:szCs w:val="24"/>
        </w:rPr>
        <w:t>pilot where the Court, in conjunction with Dr Genevieve Grant from Monash University, is overseeing what is happening with oppression pro</w:t>
      </w:r>
      <w:r w:rsidR="0072721C" w:rsidRPr="00DC0273">
        <w:rPr>
          <w:rFonts w:ascii="Times New Roman" w:hAnsi="Times New Roman" w:cs="Times New Roman"/>
          <w:sz w:val="24"/>
          <w:szCs w:val="24"/>
        </w:rPr>
        <w:t>ceedings.  It is so hard for us</w:t>
      </w:r>
      <w:r w:rsidRPr="00DC0273">
        <w:rPr>
          <w:rFonts w:ascii="Times New Roman" w:hAnsi="Times New Roman" w:cs="Times New Roman"/>
          <w:sz w:val="24"/>
          <w:szCs w:val="24"/>
        </w:rPr>
        <w:t xml:space="preserve"> </w:t>
      </w:r>
      <w:r w:rsidR="00E23755" w:rsidRPr="00DC0273">
        <w:rPr>
          <w:rFonts w:ascii="Times New Roman" w:hAnsi="Times New Roman" w:cs="Times New Roman"/>
          <w:sz w:val="24"/>
          <w:szCs w:val="24"/>
        </w:rPr>
        <w:t xml:space="preserve">as judges </w:t>
      </w:r>
      <w:r w:rsidRPr="00DC0273">
        <w:rPr>
          <w:rFonts w:ascii="Times New Roman" w:hAnsi="Times New Roman" w:cs="Times New Roman"/>
          <w:sz w:val="24"/>
          <w:szCs w:val="24"/>
        </w:rPr>
        <w:t>when we are in the caul</w:t>
      </w:r>
      <w:r w:rsidR="00DB2A9D" w:rsidRPr="00DC0273">
        <w:rPr>
          <w:rFonts w:ascii="Times New Roman" w:hAnsi="Times New Roman" w:cs="Times New Roman"/>
          <w:sz w:val="24"/>
          <w:szCs w:val="24"/>
        </w:rPr>
        <w:t>dron of litigation</w:t>
      </w:r>
      <w:r w:rsidRPr="00DC0273">
        <w:rPr>
          <w:rFonts w:ascii="Times New Roman" w:hAnsi="Times New Roman" w:cs="Times New Roman"/>
          <w:sz w:val="24"/>
          <w:szCs w:val="24"/>
        </w:rPr>
        <w:t xml:space="preserve"> to have an assessment of whether what we are doing is successful, beyond looking at the raw numbers at the end of the financial year.  </w:t>
      </w:r>
      <w:r w:rsidR="00E23755" w:rsidRPr="00DC0273">
        <w:rPr>
          <w:rFonts w:ascii="Times New Roman" w:hAnsi="Times New Roman" w:cs="Times New Roman"/>
          <w:sz w:val="24"/>
          <w:szCs w:val="24"/>
        </w:rPr>
        <w:t>W</w:t>
      </w:r>
      <w:r w:rsidRPr="00DC0273">
        <w:rPr>
          <w:rFonts w:ascii="Times New Roman" w:hAnsi="Times New Roman" w:cs="Times New Roman"/>
          <w:sz w:val="24"/>
          <w:szCs w:val="24"/>
        </w:rPr>
        <w:t>e are gratefully assisted by academic research and analysis into what we are doing.</w:t>
      </w:r>
    </w:p>
    <w:p w14:paraId="00435BAE"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3320CF05" w14:textId="444023E1" w:rsidR="002B7716" w:rsidRPr="00DC0273" w:rsidRDefault="003F6F26"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O</w:t>
      </w:r>
      <w:r w:rsidR="00727BAE" w:rsidRPr="00DC0273">
        <w:rPr>
          <w:rFonts w:ascii="Times New Roman" w:hAnsi="Times New Roman" w:cs="Times New Roman"/>
          <w:sz w:val="24"/>
          <w:szCs w:val="24"/>
        </w:rPr>
        <w:t xml:space="preserve">ppression </w:t>
      </w:r>
      <w:r w:rsidRPr="00DC0273">
        <w:rPr>
          <w:rFonts w:ascii="Times New Roman" w:hAnsi="Times New Roman" w:cs="Times New Roman"/>
          <w:sz w:val="24"/>
          <w:szCs w:val="24"/>
        </w:rPr>
        <w:t>P</w:t>
      </w:r>
      <w:r w:rsidR="00727BAE" w:rsidRPr="00DC0273">
        <w:rPr>
          <w:rFonts w:ascii="Times New Roman" w:hAnsi="Times New Roman" w:cs="Times New Roman"/>
          <w:sz w:val="24"/>
          <w:szCs w:val="24"/>
        </w:rPr>
        <w:t xml:space="preserve">roceeding pilot is another example of </w:t>
      </w:r>
      <w:r w:rsidR="00DB2A9D" w:rsidRPr="00DC0273">
        <w:rPr>
          <w:rFonts w:ascii="Times New Roman" w:hAnsi="Times New Roman" w:cs="Times New Roman"/>
          <w:sz w:val="24"/>
          <w:szCs w:val="24"/>
        </w:rPr>
        <w:t xml:space="preserve">where ordinary citizens </w:t>
      </w:r>
      <w:r w:rsidR="002B7716" w:rsidRPr="00DC0273">
        <w:rPr>
          <w:rFonts w:ascii="Times New Roman" w:hAnsi="Times New Roman" w:cs="Times New Roman"/>
          <w:sz w:val="24"/>
          <w:szCs w:val="24"/>
        </w:rPr>
        <w:t>engage with the Court</w:t>
      </w:r>
      <w:r w:rsidR="00DB2A9D" w:rsidRPr="00DC0273">
        <w:rPr>
          <w:rFonts w:ascii="Times New Roman" w:hAnsi="Times New Roman" w:cs="Times New Roman"/>
          <w:sz w:val="24"/>
          <w:szCs w:val="24"/>
        </w:rPr>
        <w:t>, this time</w:t>
      </w:r>
      <w:r w:rsidR="002B7716" w:rsidRPr="00DC0273">
        <w:rPr>
          <w:rFonts w:ascii="Times New Roman" w:hAnsi="Times New Roman" w:cs="Times New Roman"/>
          <w:sz w:val="24"/>
          <w:szCs w:val="24"/>
        </w:rPr>
        <w:t xml:space="preserve"> because of the provisions of the </w:t>
      </w:r>
      <w:r w:rsidR="002B7716" w:rsidRPr="00DC0273">
        <w:rPr>
          <w:rFonts w:ascii="Times New Roman" w:hAnsi="Times New Roman" w:cs="Times New Roman"/>
          <w:i/>
          <w:sz w:val="24"/>
          <w:szCs w:val="24"/>
        </w:rPr>
        <w:t>Corporations Act</w:t>
      </w:r>
      <w:r w:rsidR="002B7716" w:rsidRPr="00DC0273">
        <w:rPr>
          <w:rFonts w:ascii="Times New Roman" w:hAnsi="Times New Roman" w:cs="Times New Roman"/>
          <w:sz w:val="24"/>
          <w:szCs w:val="24"/>
        </w:rPr>
        <w:t xml:space="preserve"> – </w:t>
      </w:r>
      <w:r w:rsidR="00E23755" w:rsidRPr="00DC0273">
        <w:rPr>
          <w:rFonts w:ascii="Times New Roman" w:hAnsi="Times New Roman" w:cs="Times New Roman"/>
          <w:sz w:val="24"/>
          <w:szCs w:val="24"/>
        </w:rPr>
        <w:t xml:space="preserve">take a </w:t>
      </w:r>
      <w:r w:rsidR="002B7716" w:rsidRPr="00DC0273">
        <w:rPr>
          <w:rFonts w:ascii="Times New Roman" w:hAnsi="Times New Roman" w:cs="Times New Roman"/>
          <w:sz w:val="24"/>
          <w:szCs w:val="24"/>
        </w:rPr>
        <w:t>small family company dispute</w:t>
      </w:r>
      <w:r w:rsidR="00E23755" w:rsidRPr="00DC0273">
        <w:rPr>
          <w:rFonts w:ascii="Times New Roman" w:hAnsi="Times New Roman" w:cs="Times New Roman"/>
          <w:sz w:val="24"/>
          <w:szCs w:val="24"/>
        </w:rPr>
        <w:t xml:space="preserve"> where a </w:t>
      </w:r>
      <w:r w:rsidR="002B7716" w:rsidRPr="00DC0273">
        <w:rPr>
          <w:rFonts w:ascii="Times New Roman" w:hAnsi="Times New Roman" w:cs="Times New Roman"/>
          <w:sz w:val="24"/>
          <w:szCs w:val="24"/>
        </w:rPr>
        <w:t xml:space="preserve">brother disagrees with </w:t>
      </w:r>
      <w:r w:rsidR="00E23755" w:rsidRPr="00DC0273">
        <w:rPr>
          <w:rFonts w:ascii="Times New Roman" w:hAnsi="Times New Roman" w:cs="Times New Roman"/>
          <w:sz w:val="24"/>
          <w:szCs w:val="24"/>
        </w:rPr>
        <w:t xml:space="preserve">another </w:t>
      </w:r>
      <w:r w:rsidR="002B7716" w:rsidRPr="00DC0273">
        <w:rPr>
          <w:rFonts w:ascii="Times New Roman" w:hAnsi="Times New Roman" w:cs="Times New Roman"/>
          <w:sz w:val="24"/>
          <w:szCs w:val="24"/>
        </w:rPr>
        <w:t>brother over the running of the company</w:t>
      </w:r>
      <w:r w:rsidR="00E23755" w:rsidRPr="00DC0273">
        <w:rPr>
          <w:rFonts w:ascii="Times New Roman" w:hAnsi="Times New Roman" w:cs="Times New Roman"/>
          <w:sz w:val="24"/>
          <w:szCs w:val="24"/>
        </w:rPr>
        <w:t xml:space="preserve">.  These are disputes </w:t>
      </w:r>
      <w:r w:rsidR="00DB2A9D" w:rsidRPr="00DC0273">
        <w:rPr>
          <w:rFonts w:ascii="Times New Roman" w:hAnsi="Times New Roman" w:cs="Times New Roman"/>
          <w:sz w:val="24"/>
          <w:szCs w:val="24"/>
        </w:rPr>
        <w:t>over minority shareholders’ treatment and</w:t>
      </w:r>
      <w:r w:rsidR="002B7716" w:rsidRPr="00DC0273">
        <w:rPr>
          <w:rFonts w:ascii="Times New Roman" w:hAnsi="Times New Roman" w:cs="Times New Roman"/>
          <w:sz w:val="24"/>
          <w:szCs w:val="24"/>
        </w:rPr>
        <w:t xml:space="preserve"> oppression proceedings </w:t>
      </w:r>
      <w:r w:rsidR="00E23755" w:rsidRPr="00DC0273">
        <w:rPr>
          <w:rFonts w:ascii="Times New Roman" w:hAnsi="Times New Roman" w:cs="Times New Roman"/>
          <w:sz w:val="24"/>
          <w:szCs w:val="24"/>
        </w:rPr>
        <w:t xml:space="preserve">are </w:t>
      </w:r>
      <w:r w:rsidR="002B7716" w:rsidRPr="00DC0273">
        <w:rPr>
          <w:rFonts w:ascii="Times New Roman" w:hAnsi="Times New Roman" w:cs="Times New Roman"/>
          <w:sz w:val="24"/>
          <w:szCs w:val="24"/>
        </w:rPr>
        <w:t>issued</w:t>
      </w:r>
      <w:r w:rsidR="00E23755" w:rsidRPr="00DC0273">
        <w:rPr>
          <w:rFonts w:ascii="Times New Roman" w:hAnsi="Times New Roman" w:cs="Times New Roman"/>
          <w:sz w:val="24"/>
          <w:szCs w:val="24"/>
        </w:rPr>
        <w:t xml:space="preserve">.  The Commercial Court is </w:t>
      </w:r>
      <w:r w:rsidR="002B7716" w:rsidRPr="00DC0273">
        <w:rPr>
          <w:rFonts w:ascii="Times New Roman" w:hAnsi="Times New Roman" w:cs="Times New Roman"/>
          <w:sz w:val="24"/>
          <w:szCs w:val="24"/>
        </w:rPr>
        <w:t xml:space="preserve">providing very carefully managed </w:t>
      </w:r>
      <w:r w:rsidR="00E23755" w:rsidRPr="00DC0273">
        <w:rPr>
          <w:rFonts w:ascii="Times New Roman" w:hAnsi="Times New Roman" w:cs="Times New Roman"/>
          <w:sz w:val="24"/>
          <w:szCs w:val="24"/>
        </w:rPr>
        <w:t xml:space="preserve">court annexed </w:t>
      </w:r>
      <w:r w:rsidR="002B7716" w:rsidRPr="00DC0273">
        <w:rPr>
          <w:rFonts w:ascii="Times New Roman" w:hAnsi="Times New Roman" w:cs="Times New Roman"/>
          <w:sz w:val="24"/>
          <w:szCs w:val="24"/>
        </w:rPr>
        <w:t xml:space="preserve">mediation so that these cases are resolved.  </w:t>
      </w:r>
      <w:r w:rsidR="002452DC" w:rsidRPr="00DC0273">
        <w:rPr>
          <w:rFonts w:ascii="Times New Roman" w:hAnsi="Times New Roman" w:cs="Times New Roman"/>
          <w:sz w:val="24"/>
          <w:szCs w:val="24"/>
        </w:rPr>
        <w:t>I</w:t>
      </w:r>
      <w:r w:rsidR="002B7716" w:rsidRPr="00DC0273">
        <w:rPr>
          <w:rFonts w:ascii="Times New Roman" w:hAnsi="Times New Roman" w:cs="Times New Roman"/>
          <w:sz w:val="24"/>
          <w:szCs w:val="24"/>
        </w:rPr>
        <w:t>t is proving to be very successful.</w:t>
      </w:r>
    </w:p>
    <w:p w14:paraId="0CB2BE20"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4034822E" w14:textId="2146DC6D" w:rsidR="006E1BEC" w:rsidRPr="00DC0273" w:rsidRDefault="002B7716"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key to the </w:t>
      </w:r>
      <w:r w:rsidR="006E1BEC" w:rsidRPr="00DC0273">
        <w:rPr>
          <w:rFonts w:ascii="Times New Roman" w:hAnsi="Times New Roman" w:cs="Times New Roman"/>
          <w:sz w:val="24"/>
          <w:szCs w:val="24"/>
        </w:rPr>
        <w:t xml:space="preserve">success of the Commercial Court </w:t>
      </w:r>
      <w:r w:rsidR="0072721C" w:rsidRPr="00DC0273">
        <w:rPr>
          <w:rFonts w:ascii="Times New Roman" w:hAnsi="Times New Roman" w:cs="Times New Roman"/>
          <w:sz w:val="24"/>
          <w:szCs w:val="24"/>
        </w:rPr>
        <w:t>has been havin</w:t>
      </w:r>
      <w:r w:rsidR="00DB2A9D" w:rsidRPr="00DC0273">
        <w:rPr>
          <w:rFonts w:ascii="Times New Roman" w:hAnsi="Times New Roman" w:cs="Times New Roman"/>
          <w:sz w:val="24"/>
          <w:szCs w:val="24"/>
        </w:rPr>
        <w:t>g a specialist registry.  There is a J</w:t>
      </w:r>
      <w:r w:rsidR="006E1BEC" w:rsidRPr="00DC0273">
        <w:rPr>
          <w:rFonts w:ascii="Times New Roman" w:hAnsi="Times New Roman" w:cs="Times New Roman"/>
          <w:sz w:val="24"/>
          <w:szCs w:val="24"/>
        </w:rPr>
        <w:t>udicial</w:t>
      </w:r>
      <w:r w:rsidR="0072721C" w:rsidRPr="00DC0273">
        <w:rPr>
          <w:rFonts w:ascii="Times New Roman" w:hAnsi="Times New Roman" w:cs="Times New Roman"/>
          <w:sz w:val="24"/>
          <w:szCs w:val="24"/>
        </w:rPr>
        <w:t xml:space="preserve"> </w:t>
      </w:r>
      <w:r w:rsidR="00DB2A9D" w:rsidRPr="00DC0273">
        <w:rPr>
          <w:rFonts w:ascii="Times New Roman" w:hAnsi="Times New Roman" w:cs="Times New Roman"/>
          <w:sz w:val="24"/>
          <w:szCs w:val="24"/>
        </w:rPr>
        <w:t>R</w:t>
      </w:r>
      <w:r w:rsidR="006E1BEC" w:rsidRPr="00DC0273">
        <w:rPr>
          <w:rFonts w:ascii="Times New Roman" w:hAnsi="Times New Roman" w:cs="Times New Roman"/>
          <w:sz w:val="24"/>
          <w:szCs w:val="24"/>
        </w:rPr>
        <w:t>egistrar</w:t>
      </w:r>
      <w:r w:rsidR="00DB2A9D" w:rsidRPr="00DC0273">
        <w:rPr>
          <w:rFonts w:ascii="Times New Roman" w:hAnsi="Times New Roman" w:cs="Times New Roman"/>
          <w:sz w:val="24"/>
          <w:szCs w:val="24"/>
        </w:rPr>
        <w:t xml:space="preserve"> who</w:t>
      </w:r>
      <w:r w:rsidR="006E1BEC" w:rsidRPr="00DC0273">
        <w:rPr>
          <w:rFonts w:ascii="Times New Roman" w:hAnsi="Times New Roman" w:cs="Times New Roman"/>
          <w:sz w:val="24"/>
          <w:szCs w:val="24"/>
        </w:rPr>
        <w:t xml:space="preserve"> is supported by specialist commercial lawyers who triage the cases.  The files are </w:t>
      </w:r>
      <w:r w:rsidR="00AC250F" w:rsidRPr="00DC0273">
        <w:rPr>
          <w:rFonts w:ascii="Times New Roman" w:hAnsi="Times New Roman" w:cs="Times New Roman"/>
          <w:sz w:val="24"/>
          <w:szCs w:val="24"/>
        </w:rPr>
        <w:t xml:space="preserve">selectively </w:t>
      </w:r>
      <w:r w:rsidR="0072721C" w:rsidRPr="00DC0273">
        <w:rPr>
          <w:rFonts w:ascii="Times New Roman" w:hAnsi="Times New Roman" w:cs="Times New Roman"/>
          <w:sz w:val="24"/>
          <w:szCs w:val="24"/>
        </w:rPr>
        <w:t>docketed to individual judges</w:t>
      </w:r>
      <w:r w:rsidR="002452DC" w:rsidRPr="00DC0273">
        <w:rPr>
          <w:rFonts w:ascii="Times New Roman" w:hAnsi="Times New Roman" w:cs="Times New Roman"/>
          <w:sz w:val="24"/>
          <w:szCs w:val="24"/>
        </w:rPr>
        <w:t>.  W</w:t>
      </w:r>
      <w:r w:rsidR="006E1BEC" w:rsidRPr="00DC0273">
        <w:rPr>
          <w:rFonts w:ascii="Times New Roman" w:hAnsi="Times New Roman" w:cs="Times New Roman"/>
          <w:sz w:val="24"/>
          <w:szCs w:val="24"/>
        </w:rPr>
        <w:t>hat we are finding is that the case load has become very significant in the Commercial Court because of the specialisation, wh</w:t>
      </w:r>
      <w:r w:rsidR="0072721C" w:rsidRPr="00DC0273">
        <w:rPr>
          <w:rFonts w:ascii="Times New Roman" w:hAnsi="Times New Roman" w:cs="Times New Roman"/>
          <w:sz w:val="24"/>
          <w:szCs w:val="24"/>
        </w:rPr>
        <w:t>ich is what the litigators want</w:t>
      </w:r>
      <w:r w:rsidR="00DB2A9D" w:rsidRPr="00DC0273">
        <w:rPr>
          <w:rFonts w:ascii="Times New Roman" w:hAnsi="Times New Roman" w:cs="Times New Roman"/>
          <w:sz w:val="24"/>
          <w:szCs w:val="24"/>
        </w:rPr>
        <w:t>,</w:t>
      </w:r>
      <w:r w:rsidR="006E1BEC" w:rsidRPr="00DC0273">
        <w:rPr>
          <w:rFonts w:ascii="Times New Roman" w:hAnsi="Times New Roman" w:cs="Times New Roman"/>
          <w:sz w:val="24"/>
          <w:szCs w:val="24"/>
        </w:rPr>
        <w:t xml:space="preserve"> and, I venture to say, the quality of the s</w:t>
      </w:r>
      <w:r w:rsidR="0072721C" w:rsidRPr="00DC0273">
        <w:rPr>
          <w:rFonts w:ascii="Times New Roman" w:hAnsi="Times New Roman" w:cs="Times New Roman"/>
          <w:sz w:val="24"/>
          <w:szCs w:val="24"/>
        </w:rPr>
        <w:t>pecialist judge sitting on the b</w:t>
      </w:r>
      <w:r w:rsidR="006E1BEC" w:rsidRPr="00DC0273">
        <w:rPr>
          <w:rFonts w:ascii="Times New Roman" w:hAnsi="Times New Roman" w:cs="Times New Roman"/>
          <w:sz w:val="24"/>
          <w:szCs w:val="24"/>
        </w:rPr>
        <w:t>ench hearing the cases.</w:t>
      </w:r>
    </w:p>
    <w:p w14:paraId="3972ED29"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09011E8E" w14:textId="31CB37F0" w:rsidR="006E1BEC" w:rsidRPr="00DC0273" w:rsidRDefault="006E1BE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In the last financial year, the Commercial Court’s filings increased by about 30%.  </w:t>
      </w:r>
      <w:r w:rsidR="00AC250F" w:rsidRPr="00DC0273">
        <w:rPr>
          <w:rFonts w:ascii="Times New Roman" w:hAnsi="Times New Roman" w:cs="Times New Roman"/>
          <w:sz w:val="24"/>
          <w:szCs w:val="24"/>
        </w:rPr>
        <w:t>B</w:t>
      </w:r>
      <w:r w:rsidRPr="00DC0273">
        <w:rPr>
          <w:rFonts w:ascii="Times New Roman" w:hAnsi="Times New Roman" w:cs="Times New Roman"/>
          <w:sz w:val="24"/>
          <w:szCs w:val="24"/>
        </w:rPr>
        <w:t xml:space="preserve">y and large, none of these cases are easy.  The other feature of these cases we are </w:t>
      </w:r>
      <w:r w:rsidR="00AC250F" w:rsidRPr="00DC0273">
        <w:rPr>
          <w:rFonts w:ascii="Times New Roman" w:hAnsi="Times New Roman" w:cs="Times New Roman"/>
          <w:sz w:val="24"/>
          <w:szCs w:val="24"/>
        </w:rPr>
        <w:t>observing</w:t>
      </w:r>
      <w:r w:rsidRPr="00DC0273">
        <w:rPr>
          <w:rFonts w:ascii="Times New Roman" w:hAnsi="Times New Roman" w:cs="Times New Roman"/>
          <w:sz w:val="24"/>
          <w:szCs w:val="24"/>
        </w:rPr>
        <w:t xml:space="preserve"> is that there are </w:t>
      </w:r>
      <w:r w:rsidR="00AC250F" w:rsidRPr="00DC0273">
        <w:rPr>
          <w:rFonts w:ascii="Times New Roman" w:hAnsi="Times New Roman" w:cs="Times New Roman"/>
          <w:sz w:val="24"/>
          <w:szCs w:val="24"/>
        </w:rPr>
        <w:t xml:space="preserve">very </w:t>
      </w:r>
      <w:r w:rsidRPr="00DC0273">
        <w:rPr>
          <w:rFonts w:ascii="Times New Roman" w:hAnsi="Times New Roman" w:cs="Times New Roman"/>
          <w:sz w:val="24"/>
          <w:szCs w:val="24"/>
        </w:rPr>
        <w:t xml:space="preserve">substantial amounts of money at stake.  It is not unusual for millions of dollars </w:t>
      </w:r>
      <w:r w:rsidR="00DB2A9D" w:rsidRPr="00DC0273">
        <w:rPr>
          <w:rFonts w:ascii="Times New Roman" w:hAnsi="Times New Roman" w:cs="Times New Roman"/>
          <w:sz w:val="24"/>
          <w:szCs w:val="24"/>
        </w:rPr>
        <w:t xml:space="preserve">or </w:t>
      </w:r>
      <w:r w:rsidR="00AC250F" w:rsidRPr="00DC0273">
        <w:rPr>
          <w:rFonts w:ascii="Times New Roman" w:hAnsi="Times New Roman" w:cs="Times New Roman"/>
          <w:sz w:val="24"/>
          <w:szCs w:val="24"/>
        </w:rPr>
        <w:t xml:space="preserve">more </w:t>
      </w:r>
      <w:r w:rsidRPr="00DC0273">
        <w:rPr>
          <w:rFonts w:ascii="Times New Roman" w:hAnsi="Times New Roman" w:cs="Times New Roman"/>
          <w:sz w:val="24"/>
          <w:szCs w:val="24"/>
        </w:rPr>
        <w:t xml:space="preserve">to be in issue in very, very complex </w:t>
      </w:r>
      <w:r w:rsidR="00AC250F" w:rsidRPr="00DC0273">
        <w:rPr>
          <w:rFonts w:ascii="Times New Roman" w:hAnsi="Times New Roman" w:cs="Times New Roman"/>
          <w:sz w:val="24"/>
          <w:szCs w:val="24"/>
        </w:rPr>
        <w:t xml:space="preserve">commercial </w:t>
      </w:r>
      <w:r w:rsidRPr="00DC0273">
        <w:rPr>
          <w:rFonts w:ascii="Times New Roman" w:hAnsi="Times New Roman" w:cs="Times New Roman"/>
          <w:sz w:val="24"/>
          <w:szCs w:val="24"/>
        </w:rPr>
        <w:t>proceedings.</w:t>
      </w:r>
    </w:p>
    <w:p w14:paraId="0AFDED34"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4A819F89" w14:textId="1EB7F95D" w:rsidR="006E1BEC" w:rsidRPr="00DC0273" w:rsidRDefault="00AC25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Commercial Court has received a clear message from business.  The </w:t>
      </w:r>
      <w:r w:rsidR="006E1BEC" w:rsidRPr="00DC0273">
        <w:rPr>
          <w:rFonts w:ascii="Times New Roman" w:hAnsi="Times New Roman" w:cs="Times New Roman"/>
          <w:sz w:val="24"/>
          <w:szCs w:val="24"/>
        </w:rPr>
        <w:t xml:space="preserve">business </w:t>
      </w:r>
      <w:r w:rsidR="0072721C" w:rsidRPr="00DC0273">
        <w:rPr>
          <w:rFonts w:ascii="Times New Roman" w:hAnsi="Times New Roman" w:cs="Times New Roman"/>
          <w:sz w:val="24"/>
          <w:szCs w:val="24"/>
        </w:rPr>
        <w:t>community want to get into c</w:t>
      </w:r>
      <w:r w:rsidR="006E1BEC" w:rsidRPr="00DC0273">
        <w:rPr>
          <w:rFonts w:ascii="Times New Roman" w:hAnsi="Times New Roman" w:cs="Times New Roman"/>
          <w:sz w:val="24"/>
          <w:szCs w:val="24"/>
        </w:rPr>
        <w:t xml:space="preserve">ourt </w:t>
      </w:r>
      <w:r w:rsidRPr="00DC0273">
        <w:rPr>
          <w:rFonts w:ascii="Times New Roman" w:hAnsi="Times New Roman" w:cs="Times New Roman"/>
          <w:sz w:val="24"/>
          <w:szCs w:val="24"/>
        </w:rPr>
        <w:t xml:space="preserve">expeditiously </w:t>
      </w:r>
      <w:r w:rsidR="006E1BEC" w:rsidRPr="00DC0273">
        <w:rPr>
          <w:rFonts w:ascii="Times New Roman" w:hAnsi="Times New Roman" w:cs="Times New Roman"/>
          <w:sz w:val="24"/>
          <w:szCs w:val="24"/>
        </w:rPr>
        <w:t xml:space="preserve">and have </w:t>
      </w:r>
      <w:r w:rsidRPr="00DC0273">
        <w:rPr>
          <w:rFonts w:ascii="Times New Roman" w:hAnsi="Times New Roman" w:cs="Times New Roman"/>
          <w:sz w:val="24"/>
          <w:szCs w:val="24"/>
        </w:rPr>
        <w:t>a</w:t>
      </w:r>
      <w:r w:rsidR="006E1BEC" w:rsidRPr="00DC0273">
        <w:rPr>
          <w:rFonts w:ascii="Times New Roman" w:hAnsi="Times New Roman" w:cs="Times New Roman"/>
          <w:sz w:val="24"/>
          <w:szCs w:val="24"/>
        </w:rPr>
        <w:t xml:space="preserve"> dispute resolved quickly so that </w:t>
      </w:r>
      <w:r w:rsidR="00DB2A9D" w:rsidRPr="00DC0273">
        <w:rPr>
          <w:rFonts w:ascii="Times New Roman" w:hAnsi="Times New Roman" w:cs="Times New Roman"/>
          <w:sz w:val="24"/>
          <w:szCs w:val="24"/>
        </w:rPr>
        <w:t>it</w:t>
      </w:r>
      <w:r w:rsidR="002452DC" w:rsidRPr="00DC0273">
        <w:rPr>
          <w:rFonts w:ascii="Times New Roman" w:hAnsi="Times New Roman" w:cs="Times New Roman"/>
          <w:sz w:val="24"/>
          <w:szCs w:val="24"/>
        </w:rPr>
        <w:t xml:space="preserve"> can go back to doing what it </w:t>
      </w:r>
      <w:r w:rsidR="00017186" w:rsidRPr="00DC0273">
        <w:rPr>
          <w:rFonts w:ascii="Times New Roman" w:hAnsi="Times New Roman" w:cs="Times New Roman"/>
          <w:sz w:val="24"/>
          <w:szCs w:val="24"/>
        </w:rPr>
        <w:t>want</w:t>
      </w:r>
      <w:r w:rsidR="002452DC" w:rsidRPr="00DC0273">
        <w:rPr>
          <w:rFonts w:ascii="Times New Roman" w:hAnsi="Times New Roman" w:cs="Times New Roman"/>
          <w:sz w:val="24"/>
          <w:szCs w:val="24"/>
        </w:rPr>
        <w:t>s</w:t>
      </w:r>
      <w:r w:rsidR="00017186" w:rsidRPr="00DC0273">
        <w:rPr>
          <w:rFonts w:ascii="Times New Roman" w:hAnsi="Times New Roman" w:cs="Times New Roman"/>
          <w:sz w:val="24"/>
          <w:szCs w:val="24"/>
        </w:rPr>
        <w:t xml:space="preserve"> to do – o</w:t>
      </w:r>
      <w:r w:rsidRPr="00DC0273">
        <w:rPr>
          <w:rFonts w:ascii="Times New Roman" w:hAnsi="Times New Roman" w:cs="Times New Roman"/>
          <w:sz w:val="24"/>
          <w:szCs w:val="24"/>
        </w:rPr>
        <w:t>ngo</w:t>
      </w:r>
      <w:r w:rsidR="00017186" w:rsidRPr="00DC0273">
        <w:rPr>
          <w:rFonts w:ascii="Times New Roman" w:hAnsi="Times New Roman" w:cs="Times New Roman"/>
          <w:sz w:val="24"/>
          <w:szCs w:val="24"/>
        </w:rPr>
        <w:t>ing business.  The</w:t>
      </w:r>
      <w:r w:rsidRPr="00DC0273">
        <w:rPr>
          <w:rFonts w:ascii="Times New Roman" w:hAnsi="Times New Roman" w:cs="Times New Roman"/>
          <w:sz w:val="24"/>
          <w:szCs w:val="24"/>
        </w:rPr>
        <w:t xml:space="preserve"> business community does not </w:t>
      </w:r>
      <w:r w:rsidR="00017186" w:rsidRPr="00DC0273">
        <w:rPr>
          <w:rFonts w:ascii="Times New Roman" w:hAnsi="Times New Roman" w:cs="Times New Roman"/>
          <w:sz w:val="24"/>
          <w:szCs w:val="24"/>
        </w:rPr>
        <w:t xml:space="preserve">want to be tied down in long, drawn-out litigation.  </w:t>
      </w:r>
      <w:r w:rsidR="002452DC" w:rsidRPr="00DC0273">
        <w:rPr>
          <w:rFonts w:ascii="Times New Roman" w:hAnsi="Times New Roman" w:cs="Times New Roman"/>
          <w:sz w:val="24"/>
          <w:szCs w:val="24"/>
        </w:rPr>
        <w:t>It</w:t>
      </w:r>
      <w:r w:rsidR="00017186" w:rsidRPr="00DC0273">
        <w:rPr>
          <w:rFonts w:ascii="Times New Roman" w:hAnsi="Times New Roman" w:cs="Times New Roman"/>
          <w:sz w:val="24"/>
          <w:szCs w:val="24"/>
        </w:rPr>
        <w:t xml:space="preserve"> want</w:t>
      </w:r>
      <w:r w:rsidR="002452DC" w:rsidRPr="00DC0273">
        <w:rPr>
          <w:rFonts w:ascii="Times New Roman" w:hAnsi="Times New Roman" w:cs="Times New Roman"/>
          <w:sz w:val="24"/>
          <w:szCs w:val="24"/>
        </w:rPr>
        <w:t>s</w:t>
      </w:r>
      <w:r w:rsidR="00017186" w:rsidRPr="00DC0273">
        <w:rPr>
          <w:rFonts w:ascii="Times New Roman" w:hAnsi="Times New Roman" w:cs="Times New Roman"/>
          <w:sz w:val="24"/>
          <w:szCs w:val="24"/>
        </w:rPr>
        <w:t xml:space="preserve"> a decision quickly</w:t>
      </w:r>
      <w:r w:rsidR="00530465" w:rsidRPr="00DC0273">
        <w:rPr>
          <w:rFonts w:ascii="Times New Roman" w:hAnsi="Times New Roman" w:cs="Times New Roman"/>
          <w:sz w:val="24"/>
          <w:szCs w:val="24"/>
        </w:rPr>
        <w:t>,</w:t>
      </w:r>
      <w:r w:rsidRPr="00DC0273">
        <w:rPr>
          <w:rFonts w:ascii="Times New Roman" w:hAnsi="Times New Roman" w:cs="Times New Roman"/>
          <w:sz w:val="24"/>
          <w:szCs w:val="24"/>
        </w:rPr>
        <w:t xml:space="preserve"> </w:t>
      </w:r>
      <w:r w:rsidR="00530465" w:rsidRPr="00DC0273">
        <w:rPr>
          <w:rFonts w:ascii="Times New Roman" w:hAnsi="Times New Roman" w:cs="Times New Roman"/>
          <w:sz w:val="24"/>
          <w:szCs w:val="24"/>
        </w:rPr>
        <w:t>and that</w:t>
      </w:r>
      <w:r w:rsidRPr="00DC0273">
        <w:rPr>
          <w:rFonts w:ascii="Times New Roman" w:hAnsi="Times New Roman" w:cs="Times New Roman"/>
          <w:sz w:val="24"/>
          <w:szCs w:val="24"/>
        </w:rPr>
        <w:t xml:space="preserve"> is what the Commercial </w:t>
      </w:r>
      <w:r w:rsidR="002452DC" w:rsidRPr="00DC0273">
        <w:rPr>
          <w:rFonts w:ascii="Times New Roman" w:hAnsi="Times New Roman" w:cs="Times New Roman"/>
          <w:sz w:val="24"/>
          <w:szCs w:val="24"/>
        </w:rPr>
        <w:t>C</w:t>
      </w:r>
      <w:r w:rsidRPr="00DC0273">
        <w:rPr>
          <w:rFonts w:ascii="Times New Roman" w:hAnsi="Times New Roman" w:cs="Times New Roman"/>
          <w:sz w:val="24"/>
          <w:szCs w:val="24"/>
        </w:rPr>
        <w:t>ourt strives to provide</w:t>
      </w:r>
      <w:r w:rsidR="00017186" w:rsidRPr="00DC0273">
        <w:rPr>
          <w:rFonts w:ascii="Times New Roman" w:hAnsi="Times New Roman" w:cs="Times New Roman"/>
          <w:sz w:val="24"/>
          <w:szCs w:val="24"/>
        </w:rPr>
        <w:t xml:space="preserve">.  </w:t>
      </w:r>
    </w:p>
    <w:p w14:paraId="69D214B9"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3B71E1C3" w14:textId="243F91A3" w:rsidR="00017186" w:rsidRPr="00DC0273" w:rsidRDefault="00017186"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As part of the provision of that service, </w:t>
      </w:r>
      <w:r w:rsidR="00CF2E54" w:rsidRPr="00DC0273">
        <w:rPr>
          <w:rFonts w:ascii="Times New Roman" w:hAnsi="Times New Roman" w:cs="Times New Roman"/>
          <w:sz w:val="24"/>
          <w:szCs w:val="24"/>
        </w:rPr>
        <w:t xml:space="preserve">we now have specialist </w:t>
      </w:r>
      <w:r w:rsidR="00AC250F" w:rsidRPr="00DC0273">
        <w:rPr>
          <w:rFonts w:ascii="Times New Roman" w:hAnsi="Times New Roman" w:cs="Times New Roman"/>
          <w:sz w:val="24"/>
          <w:szCs w:val="24"/>
        </w:rPr>
        <w:t xml:space="preserve">commercial </w:t>
      </w:r>
      <w:r w:rsidR="00530465" w:rsidRPr="00DC0273">
        <w:rPr>
          <w:rFonts w:ascii="Times New Roman" w:hAnsi="Times New Roman" w:cs="Times New Roman"/>
          <w:sz w:val="24"/>
          <w:szCs w:val="24"/>
        </w:rPr>
        <w:t>duty judges available.  We continue to</w:t>
      </w:r>
      <w:r w:rsidR="00CF2E54" w:rsidRPr="00DC0273">
        <w:rPr>
          <w:rFonts w:ascii="Times New Roman" w:hAnsi="Times New Roman" w:cs="Times New Roman"/>
          <w:sz w:val="24"/>
          <w:szCs w:val="24"/>
        </w:rPr>
        <w:t xml:space="preserve"> have a Practice Court </w:t>
      </w:r>
      <w:r w:rsidR="00530465" w:rsidRPr="00DC0273">
        <w:rPr>
          <w:rFonts w:ascii="Times New Roman" w:hAnsi="Times New Roman" w:cs="Times New Roman"/>
          <w:sz w:val="24"/>
          <w:szCs w:val="24"/>
        </w:rPr>
        <w:t xml:space="preserve">duty </w:t>
      </w:r>
      <w:r w:rsidR="00CF2E54" w:rsidRPr="00DC0273">
        <w:rPr>
          <w:rFonts w:ascii="Times New Roman" w:hAnsi="Times New Roman" w:cs="Times New Roman"/>
          <w:sz w:val="24"/>
          <w:szCs w:val="24"/>
        </w:rPr>
        <w:t xml:space="preserve">system in the Supreme Court, but we have carved out the Commercial Court </w:t>
      </w:r>
      <w:r w:rsidR="00AC250F" w:rsidRPr="00DC0273">
        <w:rPr>
          <w:rFonts w:ascii="Times New Roman" w:hAnsi="Times New Roman" w:cs="Times New Roman"/>
          <w:sz w:val="24"/>
          <w:szCs w:val="24"/>
        </w:rPr>
        <w:t xml:space="preserve">matters </w:t>
      </w:r>
      <w:r w:rsidR="00CF2E54" w:rsidRPr="00DC0273">
        <w:rPr>
          <w:rFonts w:ascii="Times New Roman" w:hAnsi="Times New Roman" w:cs="Times New Roman"/>
          <w:sz w:val="24"/>
          <w:szCs w:val="24"/>
        </w:rPr>
        <w:t xml:space="preserve">so that there is always a Commercial Court </w:t>
      </w:r>
      <w:r w:rsidR="00AC250F" w:rsidRPr="00DC0273">
        <w:rPr>
          <w:rFonts w:ascii="Times New Roman" w:hAnsi="Times New Roman" w:cs="Times New Roman"/>
          <w:sz w:val="24"/>
          <w:szCs w:val="24"/>
        </w:rPr>
        <w:t xml:space="preserve">duty </w:t>
      </w:r>
      <w:r w:rsidR="00CF2E54" w:rsidRPr="00DC0273">
        <w:rPr>
          <w:rFonts w:ascii="Times New Roman" w:hAnsi="Times New Roman" w:cs="Times New Roman"/>
          <w:sz w:val="24"/>
          <w:szCs w:val="24"/>
        </w:rPr>
        <w:t>judge on hand</w:t>
      </w:r>
      <w:r w:rsidR="00AC250F" w:rsidRPr="00DC0273">
        <w:rPr>
          <w:rFonts w:ascii="Times New Roman" w:hAnsi="Times New Roman" w:cs="Times New Roman"/>
          <w:sz w:val="24"/>
          <w:szCs w:val="24"/>
        </w:rPr>
        <w:t xml:space="preserve"> to hear urgent matters such as injunctions and freezing orders</w:t>
      </w:r>
      <w:r w:rsidR="00CF2E54" w:rsidRPr="00DC0273">
        <w:rPr>
          <w:rFonts w:ascii="Times New Roman" w:hAnsi="Times New Roman" w:cs="Times New Roman"/>
          <w:sz w:val="24"/>
          <w:szCs w:val="24"/>
        </w:rPr>
        <w:t>.</w:t>
      </w:r>
    </w:p>
    <w:p w14:paraId="1AEEC68A"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31230143" w14:textId="3426DC94" w:rsidR="00CF2E54" w:rsidRPr="00DC0273" w:rsidRDefault="00AC25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w:t>
      </w:r>
      <w:r w:rsidR="00A50D15" w:rsidRPr="00DC0273">
        <w:rPr>
          <w:rFonts w:ascii="Times New Roman" w:hAnsi="Times New Roman" w:cs="Times New Roman"/>
          <w:sz w:val="24"/>
          <w:szCs w:val="24"/>
        </w:rPr>
        <w:t>hat is a short ov</w:t>
      </w:r>
      <w:r w:rsidR="002452DC" w:rsidRPr="00DC0273">
        <w:rPr>
          <w:rFonts w:ascii="Times New Roman" w:hAnsi="Times New Roman" w:cs="Times New Roman"/>
          <w:sz w:val="24"/>
          <w:szCs w:val="24"/>
        </w:rPr>
        <w:t xml:space="preserve">erview, but I want to give you </w:t>
      </w:r>
      <w:r w:rsidR="00A50D15" w:rsidRPr="00DC0273">
        <w:rPr>
          <w:rFonts w:ascii="Times New Roman" w:hAnsi="Times New Roman" w:cs="Times New Roman"/>
          <w:sz w:val="24"/>
          <w:szCs w:val="24"/>
        </w:rPr>
        <w:t>an individual example of the magnitude of the litigation in the Commercial Court.</w:t>
      </w:r>
    </w:p>
    <w:p w14:paraId="26F43ABD" w14:textId="77777777" w:rsidR="0072721C" w:rsidRPr="00DC0273" w:rsidRDefault="0072721C" w:rsidP="00905BC2">
      <w:pPr>
        <w:spacing w:after="0" w:line="276" w:lineRule="auto"/>
        <w:ind w:firstLine="720"/>
        <w:jc w:val="both"/>
        <w:rPr>
          <w:rFonts w:ascii="Times New Roman" w:hAnsi="Times New Roman" w:cs="Times New Roman"/>
          <w:sz w:val="24"/>
          <w:szCs w:val="24"/>
        </w:rPr>
      </w:pPr>
    </w:p>
    <w:p w14:paraId="027E1E82" w14:textId="112F2CB1" w:rsidR="00A50D15" w:rsidRPr="00DC0273" w:rsidRDefault="00A50D15"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One particular case was the </w:t>
      </w:r>
      <w:r w:rsidRPr="00DC0273">
        <w:rPr>
          <w:rFonts w:ascii="Times New Roman" w:hAnsi="Times New Roman" w:cs="Times New Roman"/>
          <w:i/>
          <w:sz w:val="24"/>
          <w:szCs w:val="24"/>
        </w:rPr>
        <w:t>Great Southern</w:t>
      </w:r>
      <w:r w:rsidR="00AC250F" w:rsidRPr="00DC0273">
        <w:rPr>
          <w:rStyle w:val="FootnoteReference"/>
          <w:rFonts w:ascii="Times New Roman" w:hAnsi="Times New Roman" w:cs="Times New Roman"/>
          <w:sz w:val="24"/>
          <w:szCs w:val="24"/>
        </w:rPr>
        <w:footnoteReference w:id="20"/>
      </w:r>
      <w:r w:rsidRPr="00DC0273">
        <w:rPr>
          <w:rFonts w:ascii="Times New Roman" w:hAnsi="Times New Roman" w:cs="Times New Roman"/>
          <w:sz w:val="24"/>
          <w:szCs w:val="24"/>
        </w:rPr>
        <w:t xml:space="preserve"> trial.  This </w:t>
      </w:r>
      <w:r w:rsidR="002452DC" w:rsidRPr="00DC0273">
        <w:rPr>
          <w:rFonts w:ascii="Times New Roman" w:hAnsi="Times New Roman" w:cs="Times New Roman"/>
          <w:sz w:val="24"/>
          <w:szCs w:val="24"/>
        </w:rPr>
        <w:t xml:space="preserve">case </w:t>
      </w:r>
      <w:r w:rsidRPr="00DC0273">
        <w:rPr>
          <w:rFonts w:ascii="Times New Roman" w:hAnsi="Times New Roman" w:cs="Times New Roman"/>
          <w:sz w:val="24"/>
          <w:szCs w:val="24"/>
        </w:rPr>
        <w:t>involved 15 group proceedings</w:t>
      </w:r>
      <w:r w:rsidR="00AC250F" w:rsidRPr="00DC0273">
        <w:rPr>
          <w:rFonts w:ascii="Times New Roman" w:hAnsi="Times New Roman" w:cs="Times New Roman"/>
          <w:sz w:val="24"/>
          <w:szCs w:val="24"/>
        </w:rPr>
        <w:t xml:space="preserve"> or</w:t>
      </w:r>
      <w:r w:rsidRPr="00DC0273">
        <w:rPr>
          <w:rFonts w:ascii="Times New Roman" w:hAnsi="Times New Roman" w:cs="Times New Roman"/>
          <w:sz w:val="24"/>
          <w:szCs w:val="24"/>
        </w:rPr>
        <w:t xml:space="preserve"> class action</w:t>
      </w:r>
      <w:r w:rsidR="00AC250F" w:rsidRPr="00DC0273">
        <w:rPr>
          <w:rFonts w:ascii="Times New Roman" w:hAnsi="Times New Roman" w:cs="Times New Roman"/>
          <w:sz w:val="24"/>
          <w:szCs w:val="24"/>
        </w:rPr>
        <w:t>s</w:t>
      </w:r>
      <w:r w:rsidRPr="00DC0273">
        <w:rPr>
          <w:rFonts w:ascii="Times New Roman" w:hAnsi="Times New Roman" w:cs="Times New Roman"/>
          <w:sz w:val="24"/>
          <w:szCs w:val="24"/>
        </w:rPr>
        <w:t xml:space="preserve"> comprising 22,000 group members, plus 33 related individual proceedings.  The plaintiffs had sought to avoid loans owed by investors in the Great Southern Group worth $300 million.  A special refe</w:t>
      </w:r>
      <w:r w:rsidR="003F6F26" w:rsidRPr="00DC0273">
        <w:rPr>
          <w:rFonts w:ascii="Times New Roman" w:hAnsi="Times New Roman" w:cs="Times New Roman"/>
          <w:sz w:val="24"/>
          <w:szCs w:val="24"/>
        </w:rPr>
        <w:t>ree was appointed by the trial j</w:t>
      </w:r>
      <w:r w:rsidR="0072721C" w:rsidRPr="00DC0273">
        <w:rPr>
          <w:rFonts w:ascii="Times New Roman" w:hAnsi="Times New Roman" w:cs="Times New Roman"/>
          <w:sz w:val="24"/>
          <w:szCs w:val="24"/>
        </w:rPr>
        <w:t>udge</w:t>
      </w:r>
      <w:r w:rsidR="002452DC" w:rsidRPr="00DC0273">
        <w:rPr>
          <w:rFonts w:ascii="Times New Roman" w:hAnsi="Times New Roman" w:cs="Times New Roman"/>
          <w:sz w:val="24"/>
          <w:szCs w:val="24"/>
        </w:rPr>
        <w:t>.  In context</w:t>
      </w:r>
      <w:r w:rsidR="00530465" w:rsidRPr="00DC0273">
        <w:rPr>
          <w:rFonts w:ascii="Times New Roman" w:hAnsi="Times New Roman" w:cs="Times New Roman"/>
          <w:sz w:val="24"/>
          <w:szCs w:val="24"/>
        </w:rPr>
        <w:t>,</w:t>
      </w:r>
      <w:r w:rsidR="002452DC" w:rsidRPr="00DC0273">
        <w:rPr>
          <w:rFonts w:ascii="Times New Roman" w:hAnsi="Times New Roman" w:cs="Times New Roman"/>
          <w:sz w:val="24"/>
          <w:szCs w:val="24"/>
        </w:rPr>
        <w:t xml:space="preserve"> t</w:t>
      </w:r>
      <w:r w:rsidRPr="00DC0273">
        <w:rPr>
          <w:rFonts w:ascii="Times New Roman" w:hAnsi="Times New Roman" w:cs="Times New Roman"/>
          <w:sz w:val="24"/>
          <w:szCs w:val="24"/>
        </w:rPr>
        <w:t xml:space="preserve">his was a </w:t>
      </w:r>
      <w:r w:rsidR="00AC250F" w:rsidRPr="00DC0273">
        <w:rPr>
          <w:rFonts w:ascii="Times New Roman" w:hAnsi="Times New Roman" w:cs="Times New Roman"/>
          <w:sz w:val="24"/>
          <w:szCs w:val="24"/>
        </w:rPr>
        <w:t xml:space="preserve">quite </w:t>
      </w:r>
      <w:r w:rsidR="002452DC" w:rsidRPr="00DC0273">
        <w:rPr>
          <w:rFonts w:ascii="Times New Roman" w:hAnsi="Times New Roman" w:cs="Times New Roman"/>
          <w:sz w:val="24"/>
          <w:szCs w:val="24"/>
        </w:rPr>
        <w:t xml:space="preserve">an </w:t>
      </w:r>
      <w:r w:rsidRPr="00DC0273">
        <w:rPr>
          <w:rFonts w:ascii="Times New Roman" w:hAnsi="Times New Roman" w:cs="Times New Roman"/>
          <w:sz w:val="24"/>
          <w:szCs w:val="24"/>
        </w:rPr>
        <w:t>innovative thing to do.  The referee was appointed to oversee the discovery process.  Discovery consisted of</w:t>
      </w:r>
      <w:r w:rsidR="00AC250F" w:rsidRPr="00DC0273">
        <w:rPr>
          <w:rFonts w:ascii="Times New Roman" w:hAnsi="Times New Roman" w:cs="Times New Roman"/>
          <w:sz w:val="24"/>
          <w:szCs w:val="24"/>
        </w:rPr>
        <w:t xml:space="preserve"> </w:t>
      </w:r>
      <w:r w:rsidRPr="00DC0273">
        <w:rPr>
          <w:rFonts w:ascii="Times New Roman" w:hAnsi="Times New Roman" w:cs="Times New Roman"/>
          <w:sz w:val="24"/>
          <w:szCs w:val="24"/>
        </w:rPr>
        <w:t>10 million documents.  In the four years</w:t>
      </w:r>
      <w:r w:rsidR="00F519C8" w:rsidRPr="00DC0273">
        <w:rPr>
          <w:rFonts w:ascii="Times New Roman" w:hAnsi="Times New Roman" w:cs="Times New Roman"/>
          <w:sz w:val="24"/>
          <w:szCs w:val="24"/>
        </w:rPr>
        <w:t xml:space="preserve"> prior to trial</w:t>
      </w:r>
      <w:r w:rsidR="00530465" w:rsidRPr="00DC0273">
        <w:rPr>
          <w:rFonts w:ascii="Times New Roman" w:hAnsi="Times New Roman" w:cs="Times New Roman"/>
          <w:sz w:val="24"/>
          <w:szCs w:val="24"/>
        </w:rPr>
        <w:t>,</w:t>
      </w:r>
      <w:r w:rsidRPr="00DC0273">
        <w:rPr>
          <w:rFonts w:ascii="Times New Roman" w:hAnsi="Times New Roman" w:cs="Times New Roman"/>
          <w:sz w:val="24"/>
          <w:szCs w:val="24"/>
        </w:rPr>
        <w:t xml:space="preserve"> over 200 interlocutory orders were made</w:t>
      </w:r>
      <w:r w:rsidR="00530465" w:rsidRPr="00DC0273">
        <w:rPr>
          <w:rFonts w:ascii="Times New Roman" w:hAnsi="Times New Roman" w:cs="Times New Roman"/>
          <w:sz w:val="24"/>
          <w:szCs w:val="24"/>
        </w:rPr>
        <w:t>,</w:t>
      </w:r>
      <w:r w:rsidRPr="00DC0273">
        <w:rPr>
          <w:rFonts w:ascii="Times New Roman" w:hAnsi="Times New Roman" w:cs="Times New Roman"/>
          <w:sz w:val="24"/>
          <w:szCs w:val="24"/>
        </w:rPr>
        <w:t xml:space="preserve"> with the goal</w:t>
      </w:r>
      <w:r w:rsidR="00530465" w:rsidRPr="00DC0273">
        <w:rPr>
          <w:rFonts w:ascii="Times New Roman" w:hAnsi="Times New Roman" w:cs="Times New Roman"/>
          <w:sz w:val="24"/>
          <w:szCs w:val="24"/>
        </w:rPr>
        <w:t>s</w:t>
      </w:r>
      <w:r w:rsidRPr="00DC0273">
        <w:rPr>
          <w:rFonts w:ascii="Times New Roman" w:hAnsi="Times New Roman" w:cs="Times New Roman"/>
          <w:sz w:val="24"/>
          <w:szCs w:val="24"/>
        </w:rPr>
        <w:t xml:space="preserve"> of narrowing the issues in dispute, facilitating the provision of relevant material to the Court and minimising delay.  The hearing of the trial itself occupied 90 sitting days over a 12 month period, with adjournments to allow for Court ordered mediation, as well as to resolve further discovery issues.  At trial, the judge – a single judge – faced over 17,000 documents, heard 104 witnesses and had cited to him well over 500 cases.  On average, each day there were 1</w:t>
      </w:r>
      <w:r w:rsidR="00F519C8" w:rsidRPr="00DC0273">
        <w:rPr>
          <w:rFonts w:ascii="Times New Roman" w:hAnsi="Times New Roman" w:cs="Times New Roman"/>
          <w:sz w:val="24"/>
          <w:szCs w:val="24"/>
        </w:rPr>
        <w:t>3 counsel and 15 solicitors in c</w:t>
      </w:r>
      <w:r w:rsidRPr="00DC0273">
        <w:rPr>
          <w:rFonts w:ascii="Times New Roman" w:hAnsi="Times New Roman" w:cs="Times New Roman"/>
          <w:sz w:val="24"/>
          <w:szCs w:val="24"/>
        </w:rPr>
        <w:t xml:space="preserve">ourt.  In the end, the judge reserved and went away to write his judgment.  The judgment consisted of 2,050 </w:t>
      </w:r>
      <w:r w:rsidRPr="00DC0273">
        <w:rPr>
          <w:rFonts w:ascii="Times New Roman" w:hAnsi="Times New Roman" w:cs="Times New Roman"/>
          <w:sz w:val="24"/>
          <w:szCs w:val="24"/>
        </w:rPr>
        <w:lastRenderedPageBreak/>
        <w:t xml:space="preserve">pages.  It was a herculean task.  It so happened that the night before the </w:t>
      </w:r>
      <w:r w:rsidR="00DD3427" w:rsidRPr="00DC0273">
        <w:rPr>
          <w:rFonts w:ascii="Times New Roman" w:hAnsi="Times New Roman" w:cs="Times New Roman"/>
          <w:sz w:val="24"/>
          <w:szCs w:val="24"/>
        </w:rPr>
        <w:t xml:space="preserve">day the </w:t>
      </w:r>
      <w:r w:rsidRPr="00DC0273">
        <w:rPr>
          <w:rFonts w:ascii="Times New Roman" w:hAnsi="Times New Roman" w:cs="Times New Roman"/>
          <w:sz w:val="24"/>
          <w:szCs w:val="24"/>
        </w:rPr>
        <w:t xml:space="preserve">judge was due </w:t>
      </w:r>
      <w:r w:rsidR="00F519C8" w:rsidRPr="00DC0273">
        <w:rPr>
          <w:rFonts w:ascii="Times New Roman" w:hAnsi="Times New Roman" w:cs="Times New Roman"/>
          <w:sz w:val="24"/>
          <w:szCs w:val="24"/>
        </w:rPr>
        <w:t>to hand the judgment down, the a</w:t>
      </w:r>
      <w:r w:rsidRPr="00DC0273">
        <w:rPr>
          <w:rFonts w:ascii="Times New Roman" w:hAnsi="Times New Roman" w:cs="Times New Roman"/>
          <w:sz w:val="24"/>
          <w:szCs w:val="24"/>
        </w:rPr>
        <w:t xml:space="preserve">ssociates received an email.  The case had settled.  However, as events transpired the judgment came to be published because the settlement had to be approved by the Court.  But the </w:t>
      </w:r>
      <w:r w:rsidRPr="00DC0273">
        <w:rPr>
          <w:rFonts w:ascii="Times New Roman" w:hAnsi="Times New Roman" w:cs="Times New Roman"/>
          <w:i/>
          <w:sz w:val="24"/>
          <w:szCs w:val="24"/>
        </w:rPr>
        <w:t>Great Southern</w:t>
      </w:r>
      <w:r w:rsidRPr="00DC0273">
        <w:rPr>
          <w:rFonts w:ascii="Times New Roman" w:hAnsi="Times New Roman" w:cs="Times New Roman"/>
          <w:sz w:val="24"/>
          <w:szCs w:val="24"/>
        </w:rPr>
        <w:t xml:space="preserve"> case is one of a number of mega pieces of litigation that we </w:t>
      </w:r>
      <w:r w:rsidR="00DD3427" w:rsidRPr="00DC0273">
        <w:rPr>
          <w:rFonts w:ascii="Times New Roman" w:hAnsi="Times New Roman" w:cs="Times New Roman"/>
          <w:sz w:val="24"/>
          <w:szCs w:val="24"/>
        </w:rPr>
        <w:t>are accommodating</w:t>
      </w:r>
      <w:r w:rsidRPr="00DC0273">
        <w:rPr>
          <w:rFonts w:ascii="Times New Roman" w:hAnsi="Times New Roman" w:cs="Times New Roman"/>
          <w:sz w:val="24"/>
          <w:szCs w:val="24"/>
        </w:rPr>
        <w:t xml:space="preserve">, as well as all the other </w:t>
      </w:r>
      <w:r w:rsidR="00DD3427" w:rsidRPr="00DC0273">
        <w:rPr>
          <w:rFonts w:ascii="Times New Roman" w:hAnsi="Times New Roman" w:cs="Times New Roman"/>
          <w:sz w:val="24"/>
          <w:szCs w:val="24"/>
        </w:rPr>
        <w:t xml:space="preserve">matters </w:t>
      </w:r>
      <w:r w:rsidRPr="00DC0273">
        <w:rPr>
          <w:rFonts w:ascii="Times New Roman" w:hAnsi="Times New Roman" w:cs="Times New Roman"/>
          <w:sz w:val="24"/>
          <w:szCs w:val="24"/>
        </w:rPr>
        <w:t>that come into the Court.</w:t>
      </w:r>
    </w:p>
    <w:p w14:paraId="0D159CDB" w14:textId="77777777" w:rsidR="00530465" w:rsidRPr="00DC0273" w:rsidRDefault="00530465" w:rsidP="00905BC2">
      <w:pPr>
        <w:spacing w:after="0" w:line="276" w:lineRule="auto"/>
        <w:ind w:firstLine="720"/>
        <w:jc w:val="both"/>
        <w:rPr>
          <w:rFonts w:ascii="Times New Roman" w:hAnsi="Times New Roman" w:cs="Times New Roman"/>
          <w:sz w:val="24"/>
          <w:szCs w:val="24"/>
        </w:rPr>
      </w:pPr>
    </w:p>
    <w:p w14:paraId="57AD4F43" w14:textId="0F20E39B" w:rsidR="00530465" w:rsidRPr="00DC0273" w:rsidRDefault="00530465" w:rsidP="00905BC2">
      <w:pPr>
        <w:spacing w:after="0" w:line="276" w:lineRule="auto"/>
        <w:jc w:val="both"/>
        <w:rPr>
          <w:rFonts w:ascii="Times New Roman" w:hAnsi="Times New Roman" w:cs="Times New Roman"/>
          <w:sz w:val="24"/>
          <w:szCs w:val="24"/>
        </w:rPr>
      </w:pPr>
      <w:r w:rsidRPr="00DC0273">
        <w:rPr>
          <w:rFonts w:ascii="Times New Roman" w:hAnsi="Times New Roman" w:cs="Times New Roman"/>
          <w:b/>
          <w:sz w:val="24"/>
          <w:szCs w:val="24"/>
        </w:rPr>
        <w:t>Civil Appeals</w:t>
      </w:r>
    </w:p>
    <w:p w14:paraId="3B651D65"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31258010" w14:textId="0A7562DE" w:rsidR="00A50D15" w:rsidRPr="00DC0273" w:rsidRDefault="00A50D15"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next area I want to move to – and it is a marvellous example, I believe, of civil justice reform – </w:t>
      </w:r>
      <w:r w:rsidR="00530465" w:rsidRPr="00DC0273">
        <w:rPr>
          <w:rFonts w:ascii="Times New Roman" w:hAnsi="Times New Roman" w:cs="Times New Roman"/>
          <w:sz w:val="24"/>
          <w:szCs w:val="24"/>
        </w:rPr>
        <w:t>is</w:t>
      </w:r>
      <w:r w:rsidRPr="00DC0273">
        <w:rPr>
          <w:rFonts w:ascii="Times New Roman" w:hAnsi="Times New Roman" w:cs="Times New Roman"/>
          <w:sz w:val="24"/>
          <w:szCs w:val="24"/>
        </w:rPr>
        <w:t xml:space="preserve"> the civil appeal reforms in the Supreme Court.</w:t>
      </w:r>
    </w:p>
    <w:p w14:paraId="06AEC487"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79B612EE" w14:textId="5F3F2EBD" w:rsidR="00A50D15" w:rsidRPr="00DC0273" w:rsidRDefault="002452D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About four</w:t>
      </w:r>
      <w:r w:rsidR="00A50D15" w:rsidRPr="00DC0273">
        <w:rPr>
          <w:rFonts w:ascii="Times New Roman" w:hAnsi="Times New Roman" w:cs="Times New Roman"/>
          <w:sz w:val="24"/>
          <w:szCs w:val="24"/>
        </w:rPr>
        <w:t xml:space="preserve"> years ago we introduced very significant criminal appeal reforms which slashed the number of crimin</w:t>
      </w:r>
      <w:r w:rsidR="00F519C8" w:rsidRPr="00DC0273">
        <w:rPr>
          <w:rFonts w:ascii="Times New Roman" w:hAnsi="Times New Roman" w:cs="Times New Roman"/>
          <w:sz w:val="24"/>
          <w:szCs w:val="24"/>
        </w:rPr>
        <w:t xml:space="preserve">al appeals in the </w:t>
      </w:r>
      <w:r w:rsidR="007A582A" w:rsidRPr="00DC0273">
        <w:rPr>
          <w:rFonts w:ascii="Times New Roman" w:hAnsi="Times New Roman" w:cs="Times New Roman"/>
          <w:sz w:val="24"/>
          <w:szCs w:val="24"/>
        </w:rPr>
        <w:t xml:space="preserve">Court of Appeal of the </w:t>
      </w:r>
      <w:r w:rsidR="00F519C8" w:rsidRPr="00DC0273">
        <w:rPr>
          <w:rFonts w:ascii="Times New Roman" w:hAnsi="Times New Roman" w:cs="Times New Roman"/>
          <w:sz w:val="24"/>
          <w:szCs w:val="24"/>
        </w:rPr>
        <w:t>Supreme Court</w:t>
      </w:r>
      <w:r w:rsidR="00A50D15" w:rsidRPr="00DC0273">
        <w:rPr>
          <w:rFonts w:ascii="Times New Roman" w:hAnsi="Times New Roman" w:cs="Times New Roman"/>
          <w:sz w:val="24"/>
          <w:szCs w:val="24"/>
        </w:rPr>
        <w:t xml:space="preserve"> but, in particular, delays</w:t>
      </w:r>
      <w:r w:rsidR="00182118" w:rsidRPr="00DC0273">
        <w:rPr>
          <w:rFonts w:ascii="Times New Roman" w:hAnsi="Times New Roman" w:cs="Times New Roman"/>
          <w:sz w:val="24"/>
          <w:szCs w:val="24"/>
        </w:rPr>
        <w:t>.  There were in the order of 68</w:t>
      </w:r>
      <w:r w:rsidR="00A50D15" w:rsidRPr="00DC0273">
        <w:rPr>
          <w:rFonts w:ascii="Times New Roman" w:hAnsi="Times New Roman" w:cs="Times New Roman"/>
          <w:sz w:val="24"/>
          <w:szCs w:val="24"/>
        </w:rPr>
        <w:t xml:space="preserve">0 criminal appeals pending.  </w:t>
      </w:r>
      <w:r w:rsidR="007A582A" w:rsidRPr="00DC0273">
        <w:rPr>
          <w:rFonts w:ascii="Times New Roman" w:hAnsi="Times New Roman" w:cs="Times New Roman"/>
          <w:sz w:val="24"/>
          <w:szCs w:val="24"/>
        </w:rPr>
        <w:t>A</w:t>
      </w:r>
      <w:r w:rsidR="00A50D15" w:rsidRPr="00DC0273">
        <w:rPr>
          <w:rFonts w:ascii="Times New Roman" w:hAnsi="Times New Roman" w:cs="Times New Roman"/>
          <w:sz w:val="24"/>
          <w:szCs w:val="24"/>
        </w:rPr>
        <w:t>s currently a</w:t>
      </w:r>
      <w:r w:rsidR="00182118" w:rsidRPr="00DC0273">
        <w:rPr>
          <w:rFonts w:ascii="Times New Roman" w:hAnsi="Times New Roman" w:cs="Times New Roman"/>
          <w:sz w:val="24"/>
          <w:szCs w:val="24"/>
        </w:rPr>
        <w:t>dvised, the numbers are under 130 – around about 125</w:t>
      </w:r>
      <w:r w:rsidR="00A50D15" w:rsidRPr="00DC0273">
        <w:rPr>
          <w:rFonts w:ascii="Times New Roman" w:hAnsi="Times New Roman" w:cs="Times New Roman"/>
          <w:sz w:val="24"/>
          <w:szCs w:val="24"/>
        </w:rPr>
        <w:t xml:space="preserve">.  </w:t>
      </w:r>
      <w:r w:rsidR="007A582A" w:rsidRPr="00DC0273">
        <w:rPr>
          <w:rFonts w:ascii="Times New Roman" w:hAnsi="Times New Roman" w:cs="Times New Roman"/>
          <w:sz w:val="24"/>
          <w:szCs w:val="24"/>
        </w:rPr>
        <w:t>Past</w:t>
      </w:r>
      <w:r w:rsidR="00A50D15" w:rsidRPr="00DC0273">
        <w:rPr>
          <w:rFonts w:ascii="Times New Roman" w:hAnsi="Times New Roman" w:cs="Times New Roman"/>
          <w:sz w:val="24"/>
          <w:szCs w:val="24"/>
        </w:rPr>
        <w:t xml:space="preserve"> delays of 18 months, sometimes two years, have been reduced to six months</w:t>
      </w:r>
      <w:r w:rsidR="007A582A" w:rsidRPr="00DC0273">
        <w:rPr>
          <w:rFonts w:ascii="Times New Roman" w:hAnsi="Times New Roman" w:cs="Times New Roman"/>
          <w:sz w:val="24"/>
          <w:szCs w:val="24"/>
        </w:rPr>
        <w:t>.</w:t>
      </w:r>
    </w:p>
    <w:p w14:paraId="590134E3"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1E56CF32" w14:textId="7ACA74B6" w:rsidR="00A50D15" w:rsidRPr="00DC0273" w:rsidRDefault="00DD3427"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Justice </w:t>
      </w:r>
      <w:r w:rsidR="00A50D15" w:rsidRPr="00DC0273">
        <w:rPr>
          <w:rFonts w:ascii="Times New Roman" w:hAnsi="Times New Roman" w:cs="Times New Roman"/>
          <w:sz w:val="24"/>
          <w:szCs w:val="24"/>
        </w:rPr>
        <w:t xml:space="preserve">Nettle, now of the High Court, </w:t>
      </w:r>
      <w:r w:rsidRPr="00DC0273">
        <w:rPr>
          <w:rFonts w:ascii="Times New Roman" w:hAnsi="Times New Roman" w:cs="Times New Roman"/>
          <w:sz w:val="24"/>
          <w:szCs w:val="24"/>
        </w:rPr>
        <w:t>w</w:t>
      </w:r>
      <w:r w:rsidR="00A50D15" w:rsidRPr="00DC0273">
        <w:rPr>
          <w:rFonts w:ascii="Times New Roman" w:hAnsi="Times New Roman" w:cs="Times New Roman"/>
          <w:sz w:val="24"/>
          <w:szCs w:val="24"/>
        </w:rPr>
        <w:t xml:space="preserve">as </w:t>
      </w:r>
      <w:r w:rsidRPr="00DC0273">
        <w:rPr>
          <w:rFonts w:ascii="Times New Roman" w:hAnsi="Times New Roman" w:cs="Times New Roman"/>
          <w:sz w:val="24"/>
          <w:szCs w:val="24"/>
        </w:rPr>
        <w:t xml:space="preserve">asked to consider </w:t>
      </w:r>
      <w:r w:rsidR="00A50D15" w:rsidRPr="00DC0273">
        <w:rPr>
          <w:rFonts w:ascii="Times New Roman" w:hAnsi="Times New Roman" w:cs="Times New Roman"/>
          <w:sz w:val="24"/>
          <w:szCs w:val="24"/>
        </w:rPr>
        <w:t xml:space="preserve">transposing the experiences of the </w:t>
      </w:r>
      <w:r w:rsidR="0012195C" w:rsidRPr="00DC0273">
        <w:rPr>
          <w:rFonts w:ascii="Times New Roman" w:hAnsi="Times New Roman" w:cs="Times New Roman"/>
          <w:sz w:val="24"/>
          <w:szCs w:val="24"/>
        </w:rPr>
        <w:t xml:space="preserve">criminal </w:t>
      </w:r>
      <w:r w:rsidR="00A50D15" w:rsidRPr="00DC0273">
        <w:rPr>
          <w:rFonts w:ascii="Times New Roman" w:hAnsi="Times New Roman" w:cs="Times New Roman"/>
          <w:sz w:val="24"/>
          <w:szCs w:val="24"/>
        </w:rPr>
        <w:t xml:space="preserve">appeal reforms onto our </w:t>
      </w:r>
      <w:r w:rsidR="0012195C" w:rsidRPr="00DC0273">
        <w:rPr>
          <w:rFonts w:ascii="Times New Roman" w:hAnsi="Times New Roman" w:cs="Times New Roman"/>
          <w:sz w:val="24"/>
          <w:szCs w:val="24"/>
        </w:rPr>
        <w:t>civil appeals</w:t>
      </w:r>
      <w:r w:rsidRPr="00DC0273">
        <w:rPr>
          <w:rFonts w:ascii="Times New Roman" w:hAnsi="Times New Roman" w:cs="Times New Roman"/>
          <w:sz w:val="24"/>
          <w:szCs w:val="24"/>
        </w:rPr>
        <w:t xml:space="preserve">. </w:t>
      </w:r>
      <w:r w:rsidR="007A582A" w:rsidRPr="00DC0273">
        <w:rPr>
          <w:rFonts w:ascii="Times New Roman" w:hAnsi="Times New Roman" w:cs="Times New Roman"/>
          <w:sz w:val="24"/>
          <w:szCs w:val="24"/>
        </w:rPr>
        <w:t xml:space="preserve"> The reforms were developed and implemented.</w:t>
      </w:r>
      <w:r w:rsidRPr="00DC0273">
        <w:rPr>
          <w:rFonts w:ascii="Times New Roman" w:hAnsi="Times New Roman" w:cs="Times New Roman"/>
          <w:sz w:val="24"/>
          <w:szCs w:val="24"/>
        </w:rPr>
        <w:t xml:space="preserve"> </w:t>
      </w:r>
      <w:r w:rsidR="0012195C" w:rsidRPr="00DC0273">
        <w:rPr>
          <w:rFonts w:ascii="Times New Roman" w:hAnsi="Times New Roman" w:cs="Times New Roman"/>
          <w:sz w:val="24"/>
          <w:szCs w:val="24"/>
        </w:rPr>
        <w:t xml:space="preserve"> At the end of December 2013, there were 154 civil appeals pending in the Court of Appeal; a number that was fairly representative for that year.  The delays in </w:t>
      </w:r>
      <w:r w:rsidR="007A582A" w:rsidRPr="00DC0273">
        <w:rPr>
          <w:rFonts w:ascii="Times New Roman" w:hAnsi="Times New Roman" w:cs="Times New Roman"/>
          <w:sz w:val="24"/>
          <w:szCs w:val="24"/>
        </w:rPr>
        <w:t>receiving</w:t>
      </w:r>
      <w:r w:rsidR="0012195C" w:rsidRPr="00DC0273">
        <w:rPr>
          <w:rFonts w:ascii="Times New Roman" w:hAnsi="Times New Roman" w:cs="Times New Roman"/>
          <w:sz w:val="24"/>
          <w:szCs w:val="24"/>
        </w:rPr>
        <w:t xml:space="preserve"> judgment were </w:t>
      </w:r>
      <w:r w:rsidR="00530465" w:rsidRPr="00DC0273">
        <w:rPr>
          <w:rFonts w:ascii="Times New Roman" w:hAnsi="Times New Roman" w:cs="Times New Roman"/>
          <w:sz w:val="24"/>
          <w:szCs w:val="24"/>
        </w:rPr>
        <w:t xml:space="preserve">sometimes </w:t>
      </w:r>
      <w:r w:rsidR="0012195C" w:rsidRPr="00DC0273">
        <w:rPr>
          <w:rFonts w:ascii="Times New Roman" w:hAnsi="Times New Roman" w:cs="Times New Roman"/>
          <w:sz w:val="24"/>
          <w:szCs w:val="24"/>
        </w:rPr>
        <w:t xml:space="preserve">in the order of 12 months, sometimes in </w:t>
      </w:r>
      <w:r w:rsidR="00530465" w:rsidRPr="00DC0273">
        <w:rPr>
          <w:rFonts w:ascii="Times New Roman" w:hAnsi="Times New Roman" w:cs="Times New Roman"/>
          <w:sz w:val="24"/>
          <w:szCs w:val="24"/>
        </w:rPr>
        <w:t>difficult</w:t>
      </w:r>
      <w:r w:rsidR="0012195C" w:rsidRPr="00DC0273">
        <w:rPr>
          <w:rFonts w:ascii="Times New Roman" w:hAnsi="Times New Roman" w:cs="Times New Roman"/>
          <w:sz w:val="24"/>
          <w:szCs w:val="24"/>
        </w:rPr>
        <w:t xml:space="preserve"> cases, 18 months, </w:t>
      </w:r>
      <w:r w:rsidR="007A582A" w:rsidRPr="00DC0273">
        <w:rPr>
          <w:rFonts w:ascii="Times New Roman" w:hAnsi="Times New Roman" w:cs="Times New Roman"/>
          <w:sz w:val="24"/>
          <w:szCs w:val="24"/>
        </w:rPr>
        <w:t xml:space="preserve">mostly </w:t>
      </w:r>
      <w:r w:rsidR="0012195C" w:rsidRPr="00DC0273">
        <w:rPr>
          <w:rFonts w:ascii="Times New Roman" w:hAnsi="Times New Roman" w:cs="Times New Roman"/>
          <w:sz w:val="24"/>
          <w:szCs w:val="24"/>
        </w:rPr>
        <w:t xml:space="preserve">because of the wait to get on.  I suspect that there were parties in litigation, particularly commercial litigation, who were taking advantage of the delay to lodge an unmeritorious appeal or an appeal with </w:t>
      </w:r>
      <w:r w:rsidR="00530465" w:rsidRPr="00DC0273">
        <w:rPr>
          <w:rFonts w:ascii="Times New Roman" w:hAnsi="Times New Roman" w:cs="Times New Roman"/>
          <w:sz w:val="24"/>
          <w:szCs w:val="24"/>
        </w:rPr>
        <w:t>dubious</w:t>
      </w:r>
      <w:r w:rsidR="0012195C" w:rsidRPr="00DC0273">
        <w:rPr>
          <w:rFonts w:ascii="Times New Roman" w:hAnsi="Times New Roman" w:cs="Times New Roman"/>
          <w:sz w:val="24"/>
          <w:szCs w:val="24"/>
        </w:rPr>
        <w:t xml:space="preserve"> merit in order to gain time </w:t>
      </w:r>
      <w:r w:rsidR="00643DC8" w:rsidRPr="00DC0273">
        <w:rPr>
          <w:rFonts w:ascii="Times New Roman" w:hAnsi="Times New Roman" w:cs="Times New Roman"/>
          <w:sz w:val="24"/>
          <w:szCs w:val="24"/>
        </w:rPr>
        <w:t xml:space="preserve">to be used </w:t>
      </w:r>
      <w:r w:rsidR="0012195C" w:rsidRPr="00DC0273">
        <w:rPr>
          <w:rFonts w:ascii="Times New Roman" w:hAnsi="Times New Roman" w:cs="Times New Roman"/>
          <w:sz w:val="24"/>
          <w:szCs w:val="24"/>
        </w:rPr>
        <w:t>as a lever in discussion</w:t>
      </w:r>
      <w:r w:rsidR="00530465" w:rsidRPr="00DC0273">
        <w:rPr>
          <w:rFonts w:ascii="Times New Roman" w:hAnsi="Times New Roman" w:cs="Times New Roman"/>
          <w:sz w:val="24"/>
          <w:szCs w:val="24"/>
        </w:rPr>
        <w:t>s or</w:t>
      </w:r>
      <w:r w:rsidR="00643DC8" w:rsidRPr="00DC0273">
        <w:rPr>
          <w:rFonts w:ascii="Times New Roman" w:hAnsi="Times New Roman" w:cs="Times New Roman"/>
          <w:sz w:val="24"/>
          <w:szCs w:val="24"/>
        </w:rPr>
        <w:t xml:space="preserve"> negotiations</w:t>
      </w:r>
      <w:r w:rsidR="00530465" w:rsidRPr="00DC0273">
        <w:rPr>
          <w:rFonts w:ascii="Times New Roman" w:hAnsi="Times New Roman" w:cs="Times New Roman"/>
          <w:sz w:val="24"/>
          <w:szCs w:val="24"/>
        </w:rPr>
        <w:t>,</w:t>
      </w:r>
      <w:r w:rsidR="00643DC8" w:rsidRPr="00DC0273">
        <w:rPr>
          <w:rFonts w:ascii="Times New Roman" w:hAnsi="Times New Roman" w:cs="Times New Roman"/>
          <w:sz w:val="24"/>
          <w:szCs w:val="24"/>
        </w:rPr>
        <w:t xml:space="preserve"> or just </w:t>
      </w:r>
      <w:r w:rsidR="00530465" w:rsidRPr="00DC0273">
        <w:rPr>
          <w:rFonts w:ascii="Times New Roman" w:hAnsi="Times New Roman" w:cs="Times New Roman"/>
          <w:sz w:val="24"/>
          <w:szCs w:val="24"/>
        </w:rPr>
        <w:t xml:space="preserve">for </w:t>
      </w:r>
      <w:r w:rsidR="00643DC8" w:rsidRPr="00DC0273">
        <w:rPr>
          <w:rFonts w:ascii="Times New Roman" w:hAnsi="Times New Roman" w:cs="Times New Roman"/>
          <w:sz w:val="24"/>
          <w:szCs w:val="24"/>
        </w:rPr>
        <w:t>commercial delay</w:t>
      </w:r>
      <w:r w:rsidR="0012195C" w:rsidRPr="00DC0273">
        <w:rPr>
          <w:rFonts w:ascii="Times New Roman" w:hAnsi="Times New Roman" w:cs="Times New Roman"/>
          <w:sz w:val="24"/>
          <w:szCs w:val="24"/>
        </w:rPr>
        <w:t>.</w:t>
      </w:r>
    </w:p>
    <w:p w14:paraId="035765C5"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4AE7D74F" w14:textId="56A297E0" w:rsidR="0012195C" w:rsidRPr="00DC0273" w:rsidRDefault="00530465"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w:t>
      </w:r>
      <w:r w:rsidR="0012195C" w:rsidRPr="00DC0273">
        <w:rPr>
          <w:rFonts w:ascii="Times New Roman" w:hAnsi="Times New Roman" w:cs="Times New Roman"/>
          <w:sz w:val="24"/>
          <w:szCs w:val="24"/>
        </w:rPr>
        <w:t xml:space="preserve">n November 2014, led by </w:t>
      </w:r>
      <w:r w:rsidR="00643DC8" w:rsidRPr="00DC0273">
        <w:rPr>
          <w:rFonts w:ascii="Times New Roman" w:hAnsi="Times New Roman" w:cs="Times New Roman"/>
          <w:sz w:val="24"/>
          <w:szCs w:val="24"/>
        </w:rPr>
        <w:t xml:space="preserve">Justice </w:t>
      </w:r>
      <w:r w:rsidR="0012195C" w:rsidRPr="00DC0273">
        <w:rPr>
          <w:rFonts w:ascii="Times New Roman" w:hAnsi="Times New Roman" w:cs="Times New Roman"/>
          <w:sz w:val="24"/>
          <w:szCs w:val="24"/>
        </w:rPr>
        <w:t xml:space="preserve">Nettle, the Court introduced a raft of reforms aimed at reducing the backlog of </w:t>
      </w:r>
      <w:r w:rsidRPr="00DC0273">
        <w:rPr>
          <w:rFonts w:ascii="Times New Roman" w:hAnsi="Times New Roman" w:cs="Times New Roman"/>
          <w:sz w:val="24"/>
          <w:szCs w:val="24"/>
        </w:rPr>
        <w:t xml:space="preserve">civil </w:t>
      </w:r>
      <w:r w:rsidR="0012195C" w:rsidRPr="00DC0273">
        <w:rPr>
          <w:rFonts w:ascii="Times New Roman" w:hAnsi="Times New Roman" w:cs="Times New Roman"/>
          <w:sz w:val="24"/>
          <w:szCs w:val="24"/>
        </w:rPr>
        <w:t xml:space="preserve">cases and the time for the final disposition of each case.  </w:t>
      </w:r>
      <w:r w:rsidR="00643DC8" w:rsidRPr="00DC0273">
        <w:rPr>
          <w:rFonts w:ascii="Times New Roman" w:hAnsi="Times New Roman" w:cs="Times New Roman"/>
          <w:sz w:val="24"/>
          <w:szCs w:val="24"/>
        </w:rPr>
        <w:t xml:space="preserve">Central </w:t>
      </w:r>
      <w:r w:rsidR="00415B50" w:rsidRPr="00DC0273">
        <w:rPr>
          <w:rFonts w:ascii="Times New Roman" w:hAnsi="Times New Roman" w:cs="Times New Roman"/>
          <w:sz w:val="24"/>
          <w:szCs w:val="24"/>
        </w:rPr>
        <w:t xml:space="preserve">amongst these </w:t>
      </w:r>
      <w:r w:rsidR="00643DC8" w:rsidRPr="00DC0273">
        <w:rPr>
          <w:rFonts w:ascii="Times New Roman" w:hAnsi="Times New Roman" w:cs="Times New Roman"/>
          <w:sz w:val="24"/>
          <w:szCs w:val="24"/>
        </w:rPr>
        <w:t xml:space="preserve">reforms </w:t>
      </w:r>
      <w:r w:rsidR="00415B50" w:rsidRPr="00DC0273">
        <w:rPr>
          <w:rFonts w:ascii="Times New Roman" w:hAnsi="Times New Roman" w:cs="Times New Roman"/>
          <w:sz w:val="24"/>
          <w:szCs w:val="24"/>
        </w:rPr>
        <w:t xml:space="preserve">was the introduction of the universal requirement of leave to appeal.  </w:t>
      </w:r>
      <w:r w:rsidR="00643DC8" w:rsidRPr="00DC0273">
        <w:rPr>
          <w:rFonts w:ascii="Times New Roman" w:hAnsi="Times New Roman" w:cs="Times New Roman"/>
          <w:sz w:val="24"/>
          <w:szCs w:val="24"/>
        </w:rPr>
        <w:t xml:space="preserve">It was not without some reservation.  </w:t>
      </w:r>
      <w:r w:rsidR="00F519C8" w:rsidRPr="00DC0273">
        <w:rPr>
          <w:rFonts w:ascii="Times New Roman" w:hAnsi="Times New Roman" w:cs="Times New Roman"/>
          <w:sz w:val="24"/>
          <w:szCs w:val="24"/>
        </w:rPr>
        <w:t>T</w:t>
      </w:r>
      <w:r w:rsidR="00415B50" w:rsidRPr="00DC0273">
        <w:rPr>
          <w:rFonts w:ascii="Times New Roman" w:hAnsi="Times New Roman" w:cs="Times New Roman"/>
          <w:sz w:val="24"/>
          <w:szCs w:val="24"/>
        </w:rPr>
        <w:t xml:space="preserve">here was </w:t>
      </w:r>
      <w:r w:rsidR="00643DC8" w:rsidRPr="00DC0273">
        <w:rPr>
          <w:rFonts w:ascii="Times New Roman" w:hAnsi="Times New Roman" w:cs="Times New Roman"/>
          <w:sz w:val="24"/>
          <w:szCs w:val="24"/>
        </w:rPr>
        <w:t xml:space="preserve">an argument </w:t>
      </w:r>
      <w:r w:rsidR="00415B50" w:rsidRPr="00DC0273">
        <w:rPr>
          <w:rFonts w:ascii="Times New Roman" w:hAnsi="Times New Roman" w:cs="Times New Roman"/>
          <w:sz w:val="24"/>
          <w:szCs w:val="24"/>
        </w:rPr>
        <w:t xml:space="preserve">that every citizen should be entitled to an automatic right of appeal.  </w:t>
      </w:r>
      <w:r w:rsidR="00643DC8" w:rsidRPr="00DC0273">
        <w:rPr>
          <w:rFonts w:ascii="Times New Roman" w:hAnsi="Times New Roman" w:cs="Times New Roman"/>
          <w:sz w:val="24"/>
          <w:szCs w:val="24"/>
        </w:rPr>
        <w:t xml:space="preserve">The Court </w:t>
      </w:r>
      <w:r w:rsidR="00415B50" w:rsidRPr="00DC0273">
        <w:rPr>
          <w:rFonts w:ascii="Times New Roman" w:hAnsi="Times New Roman" w:cs="Times New Roman"/>
          <w:sz w:val="24"/>
          <w:szCs w:val="24"/>
        </w:rPr>
        <w:t xml:space="preserve">took the view, </w:t>
      </w:r>
      <w:r w:rsidR="00643DC8" w:rsidRPr="00DC0273">
        <w:rPr>
          <w:rFonts w:ascii="Times New Roman" w:hAnsi="Times New Roman" w:cs="Times New Roman"/>
          <w:sz w:val="24"/>
          <w:szCs w:val="24"/>
        </w:rPr>
        <w:t xml:space="preserve">ultimately accepted </w:t>
      </w:r>
      <w:r w:rsidR="00415B50" w:rsidRPr="00DC0273">
        <w:rPr>
          <w:rFonts w:ascii="Times New Roman" w:hAnsi="Times New Roman" w:cs="Times New Roman"/>
          <w:sz w:val="24"/>
          <w:szCs w:val="24"/>
        </w:rPr>
        <w:t>by the Attorney-General</w:t>
      </w:r>
      <w:r w:rsidR="00F519C8" w:rsidRPr="00DC0273">
        <w:rPr>
          <w:rFonts w:ascii="Times New Roman" w:hAnsi="Times New Roman" w:cs="Times New Roman"/>
          <w:sz w:val="24"/>
          <w:szCs w:val="24"/>
        </w:rPr>
        <w:t>,</w:t>
      </w:r>
      <w:r w:rsidR="00415B50" w:rsidRPr="00DC0273">
        <w:rPr>
          <w:rFonts w:ascii="Times New Roman" w:hAnsi="Times New Roman" w:cs="Times New Roman"/>
          <w:sz w:val="24"/>
          <w:szCs w:val="24"/>
        </w:rPr>
        <w:t xml:space="preserve"> that if an appeal was meritorious then leave would be granted and </w:t>
      </w:r>
      <w:r w:rsidR="00643DC8" w:rsidRPr="00DC0273">
        <w:rPr>
          <w:rFonts w:ascii="Times New Roman" w:hAnsi="Times New Roman" w:cs="Times New Roman"/>
          <w:sz w:val="24"/>
          <w:szCs w:val="24"/>
        </w:rPr>
        <w:t>thus a meritorious appeal would proceed to a hearing</w:t>
      </w:r>
      <w:r w:rsidR="00415B50" w:rsidRPr="00DC0273">
        <w:rPr>
          <w:rFonts w:ascii="Times New Roman" w:hAnsi="Times New Roman" w:cs="Times New Roman"/>
          <w:sz w:val="24"/>
          <w:szCs w:val="24"/>
        </w:rPr>
        <w:t>.</w:t>
      </w:r>
    </w:p>
    <w:p w14:paraId="3B3BDA00"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022705D9" w14:textId="16A12DE0" w:rsidR="00415B50" w:rsidRPr="00DC0273" w:rsidRDefault="00415B50"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test for the grant of leave is that the appeal must have a real prospect of success.  Parties are generally expected to come to </w:t>
      </w:r>
      <w:r w:rsidR="00F519C8" w:rsidRPr="00DC0273">
        <w:rPr>
          <w:rFonts w:ascii="Times New Roman" w:hAnsi="Times New Roman" w:cs="Times New Roman"/>
          <w:sz w:val="24"/>
          <w:szCs w:val="24"/>
        </w:rPr>
        <w:t>c</w:t>
      </w:r>
      <w:r w:rsidRPr="00DC0273">
        <w:rPr>
          <w:rFonts w:ascii="Times New Roman" w:hAnsi="Times New Roman" w:cs="Times New Roman"/>
          <w:sz w:val="24"/>
          <w:szCs w:val="24"/>
        </w:rPr>
        <w:t>ourt ready to argue the appeal at the same time as the hearing of the application for leave.  While three judges continue to hear most applications, there is now greater ca</w:t>
      </w:r>
      <w:r w:rsidR="00F519C8" w:rsidRPr="00DC0273">
        <w:rPr>
          <w:rFonts w:ascii="Times New Roman" w:hAnsi="Times New Roman" w:cs="Times New Roman"/>
          <w:sz w:val="24"/>
          <w:szCs w:val="24"/>
        </w:rPr>
        <w:t>pacity for single judges</w:t>
      </w:r>
      <w:r w:rsidR="00530465" w:rsidRPr="00DC0273">
        <w:rPr>
          <w:rFonts w:ascii="Times New Roman" w:hAnsi="Times New Roman" w:cs="Times New Roman"/>
          <w:sz w:val="24"/>
          <w:szCs w:val="24"/>
        </w:rPr>
        <w:t>,</w:t>
      </w:r>
      <w:r w:rsidR="00F519C8" w:rsidRPr="00DC0273">
        <w:rPr>
          <w:rFonts w:ascii="Times New Roman" w:hAnsi="Times New Roman" w:cs="Times New Roman"/>
          <w:sz w:val="24"/>
          <w:szCs w:val="24"/>
        </w:rPr>
        <w:t xml:space="preserve"> or a b</w:t>
      </w:r>
      <w:r w:rsidRPr="00DC0273">
        <w:rPr>
          <w:rFonts w:ascii="Times New Roman" w:hAnsi="Times New Roman" w:cs="Times New Roman"/>
          <w:sz w:val="24"/>
          <w:szCs w:val="24"/>
        </w:rPr>
        <w:t>ench of two, to determine leave applications</w:t>
      </w:r>
      <w:r w:rsidR="00530465" w:rsidRPr="00DC0273">
        <w:rPr>
          <w:rFonts w:ascii="Times New Roman" w:hAnsi="Times New Roman" w:cs="Times New Roman"/>
          <w:sz w:val="24"/>
          <w:szCs w:val="24"/>
        </w:rPr>
        <w:t>,</w:t>
      </w:r>
      <w:r w:rsidRPr="00DC0273">
        <w:rPr>
          <w:rFonts w:ascii="Times New Roman" w:hAnsi="Times New Roman" w:cs="Times New Roman"/>
          <w:sz w:val="24"/>
          <w:szCs w:val="24"/>
        </w:rPr>
        <w:t xml:space="preserve"> which further enables greater expedition in </w:t>
      </w:r>
      <w:r w:rsidR="00530465" w:rsidRPr="00DC0273">
        <w:rPr>
          <w:rFonts w:ascii="Times New Roman" w:hAnsi="Times New Roman" w:cs="Times New Roman"/>
          <w:sz w:val="24"/>
          <w:szCs w:val="24"/>
        </w:rPr>
        <w:t>suitable</w:t>
      </w:r>
      <w:r w:rsidRPr="00DC0273">
        <w:rPr>
          <w:rFonts w:ascii="Times New Roman" w:hAnsi="Times New Roman" w:cs="Times New Roman"/>
          <w:sz w:val="24"/>
          <w:szCs w:val="24"/>
        </w:rPr>
        <w:t xml:space="preserve"> cases.</w:t>
      </w:r>
    </w:p>
    <w:p w14:paraId="2E181320"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6CA27C6E" w14:textId="33CB25DF" w:rsidR="00415B50" w:rsidRPr="00DC0273" w:rsidRDefault="00415B50"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One phenomenon that has come out of this new regime is</w:t>
      </w:r>
      <w:r w:rsidR="00604A63" w:rsidRPr="00DC0273">
        <w:rPr>
          <w:rFonts w:ascii="Times New Roman" w:hAnsi="Times New Roman" w:cs="Times New Roman"/>
          <w:sz w:val="24"/>
          <w:szCs w:val="24"/>
        </w:rPr>
        <w:t xml:space="preserve"> a reduction in the impact of self-represented litigants</w:t>
      </w:r>
      <w:r w:rsidR="00530465" w:rsidRPr="00DC0273">
        <w:rPr>
          <w:rFonts w:ascii="Times New Roman" w:hAnsi="Times New Roman" w:cs="Times New Roman"/>
          <w:sz w:val="24"/>
          <w:szCs w:val="24"/>
        </w:rPr>
        <w:t xml:space="preserve">. </w:t>
      </w:r>
      <w:r w:rsidR="00604A63" w:rsidRPr="00DC0273">
        <w:rPr>
          <w:rFonts w:ascii="Times New Roman" w:hAnsi="Times New Roman" w:cs="Times New Roman"/>
          <w:sz w:val="24"/>
          <w:szCs w:val="24"/>
        </w:rPr>
        <w:t xml:space="preserve">  Prior </w:t>
      </w:r>
      <w:r w:rsidRPr="00DC0273">
        <w:rPr>
          <w:rFonts w:ascii="Times New Roman" w:hAnsi="Times New Roman" w:cs="Times New Roman"/>
          <w:sz w:val="24"/>
          <w:szCs w:val="24"/>
        </w:rPr>
        <w:t xml:space="preserve">to its existence, the Civil </w:t>
      </w:r>
      <w:r w:rsidR="00604A63" w:rsidRPr="00DC0273">
        <w:rPr>
          <w:rFonts w:ascii="Times New Roman" w:hAnsi="Times New Roman" w:cs="Times New Roman"/>
          <w:sz w:val="24"/>
          <w:szCs w:val="24"/>
        </w:rPr>
        <w:t xml:space="preserve">Appeals </w:t>
      </w:r>
      <w:r w:rsidRPr="00DC0273">
        <w:rPr>
          <w:rFonts w:ascii="Times New Roman" w:hAnsi="Times New Roman" w:cs="Times New Roman"/>
          <w:sz w:val="24"/>
          <w:szCs w:val="24"/>
        </w:rPr>
        <w:t xml:space="preserve">List of the Victorian Court of Appeal was </w:t>
      </w:r>
      <w:r w:rsidR="007A582A" w:rsidRPr="00DC0273">
        <w:rPr>
          <w:rFonts w:ascii="Times New Roman" w:hAnsi="Times New Roman" w:cs="Times New Roman"/>
          <w:sz w:val="24"/>
          <w:szCs w:val="24"/>
        </w:rPr>
        <w:t xml:space="preserve">much </w:t>
      </w:r>
      <w:r w:rsidR="00604A63" w:rsidRPr="00DC0273">
        <w:rPr>
          <w:rFonts w:ascii="Times New Roman" w:hAnsi="Times New Roman" w:cs="Times New Roman"/>
          <w:sz w:val="24"/>
          <w:szCs w:val="24"/>
        </w:rPr>
        <w:t>populated</w:t>
      </w:r>
      <w:r w:rsidR="00F519C8" w:rsidRPr="00DC0273">
        <w:rPr>
          <w:rFonts w:ascii="Times New Roman" w:hAnsi="Times New Roman" w:cs="Times New Roman"/>
          <w:sz w:val="24"/>
          <w:szCs w:val="24"/>
        </w:rPr>
        <w:t xml:space="preserve"> by self-represented litigants</w:t>
      </w:r>
      <w:r w:rsidR="00604A63" w:rsidRPr="00DC0273">
        <w:rPr>
          <w:rFonts w:ascii="Times New Roman" w:hAnsi="Times New Roman" w:cs="Times New Roman"/>
          <w:sz w:val="24"/>
          <w:szCs w:val="24"/>
        </w:rPr>
        <w:t>.  At times</w:t>
      </w:r>
      <w:r w:rsidR="00530465" w:rsidRPr="00DC0273">
        <w:rPr>
          <w:rFonts w:ascii="Times New Roman" w:hAnsi="Times New Roman" w:cs="Times New Roman"/>
          <w:sz w:val="24"/>
          <w:szCs w:val="24"/>
        </w:rPr>
        <w:t>,</w:t>
      </w:r>
      <w:r w:rsidR="00604A63" w:rsidRPr="00DC0273">
        <w:rPr>
          <w:rFonts w:ascii="Times New Roman" w:hAnsi="Times New Roman" w:cs="Times New Roman"/>
          <w:sz w:val="24"/>
          <w:szCs w:val="24"/>
        </w:rPr>
        <w:t xml:space="preserve"> as much as 25% of the civil appeals involved self-represented </w:t>
      </w:r>
      <w:r w:rsidR="00E75741" w:rsidRPr="00DC0273">
        <w:rPr>
          <w:rFonts w:ascii="Times New Roman" w:hAnsi="Times New Roman" w:cs="Times New Roman"/>
          <w:sz w:val="24"/>
          <w:szCs w:val="24"/>
        </w:rPr>
        <w:t>individuals.</w:t>
      </w:r>
    </w:p>
    <w:p w14:paraId="308C7595"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1787A515" w14:textId="53051DE8" w:rsidR="00E75741" w:rsidRPr="00DC0273" w:rsidRDefault="00E7574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As a result of the new </w:t>
      </w:r>
      <w:r w:rsidR="00604A63" w:rsidRPr="00DC0273">
        <w:rPr>
          <w:rFonts w:ascii="Times New Roman" w:hAnsi="Times New Roman" w:cs="Times New Roman"/>
          <w:sz w:val="24"/>
          <w:szCs w:val="24"/>
        </w:rPr>
        <w:t xml:space="preserve">civil appeal </w:t>
      </w:r>
      <w:r w:rsidRPr="00DC0273">
        <w:rPr>
          <w:rFonts w:ascii="Times New Roman" w:hAnsi="Times New Roman" w:cs="Times New Roman"/>
          <w:sz w:val="24"/>
          <w:szCs w:val="24"/>
        </w:rPr>
        <w:t>procedures, the impact of the self-represented litigant</w:t>
      </w:r>
      <w:r w:rsidR="00530465"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has been </w:t>
      </w:r>
      <w:r w:rsidR="00604A63" w:rsidRPr="00DC0273">
        <w:rPr>
          <w:rFonts w:ascii="Times New Roman" w:hAnsi="Times New Roman" w:cs="Times New Roman"/>
          <w:sz w:val="24"/>
          <w:szCs w:val="24"/>
        </w:rPr>
        <w:t xml:space="preserve">significantly </w:t>
      </w:r>
      <w:r w:rsidRPr="00DC0273">
        <w:rPr>
          <w:rFonts w:ascii="Times New Roman" w:hAnsi="Times New Roman" w:cs="Times New Roman"/>
          <w:sz w:val="24"/>
          <w:szCs w:val="24"/>
        </w:rPr>
        <w:t>reduced</w:t>
      </w:r>
      <w:r w:rsidR="00604A63" w:rsidRPr="00DC0273">
        <w:rPr>
          <w:rFonts w:ascii="Times New Roman" w:hAnsi="Times New Roman" w:cs="Times New Roman"/>
          <w:sz w:val="24"/>
          <w:szCs w:val="24"/>
        </w:rPr>
        <w:t xml:space="preserve">.  This is </w:t>
      </w:r>
      <w:r w:rsidRPr="00DC0273">
        <w:rPr>
          <w:rFonts w:ascii="Times New Roman" w:hAnsi="Times New Roman" w:cs="Times New Roman"/>
          <w:sz w:val="24"/>
          <w:szCs w:val="24"/>
        </w:rPr>
        <w:t xml:space="preserve">because </w:t>
      </w:r>
      <w:r w:rsidR="00604A63" w:rsidRPr="00DC0273">
        <w:rPr>
          <w:rFonts w:ascii="Times New Roman" w:hAnsi="Times New Roman" w:cs="Times New Roman"/>
          <w:sz w:val="24"/>
          <w:szCs w:val="24"/>
        </w:rPr>
        <w:t xml:space="preserve">the individuals must </w:t>
      </w:r>
      <w:r w:rsidR="00530465" w:rsidRPr="00DC0273">
        <w:rPr>
          <w:rFonts w:ascii="Times New Roman" w:hAnsi="Times New Roman" w:cs="Times New Roman"/>
          <w:sz w:val="24"/>
          <w:szCs w:val="24"/>
        </w:rPr>
        <w:t xml:space="preserve">now </w:t>
      </w:r>
      <w:r w:rsidRPr="00DC0273">
        <w:rPr>
          <w:rFonts w:ascii="Times New Roman" w:hAnsi="Times New Roman" w:cs="Times New Roman"/>
          <w:sz w:val="24"/>
          <w:szCs w:val="24"/>
        </w:rPr>
        <w:t xml:space="preserve">go through </w:t>
      </w:r>
      <w:r w:rsidR="007A582A" w:rsidRPr="00DC0273">
        <w:rPr>
          <w:rFonts w:ascii="Times New Roman" w:hAnsi="Times New Roman" w:cs="Times New Roman"/>
          <w:sz w:val="24"/>
          <w:szCs w:val="24"/>
        </w:rPr>
        <w:t>ri</w:t>
      </w:r>
      <w:r w:rsidR="002B095E" w:rsidRPr="00DC0273">
        <w:rPr>
          <w:rFonts w:ascii="Times New Roman" w:hAnsi="Times New Roman" w:cs="Times New Roman"/>
          <w:sz w:val="24"/>
          <w:szCs w:val="24"/>
        </w:rPr>
        <w:t>gorous application</w:t>
      </w:r>
      <w:r w:rsidRPr="00DC0273">
        <w:rPr>
          <w:rFonts w:ascii="Times New Roman" w:hAnsi="Times New Roman" w:cs="Times New Roman"/>
          <w:sz w:val="24"/>
          <w:szCs w:val="24"/>
        </w:rPr>
        <w:t xml:space="preserve"> processes.  </w:t>
      </w:r>
      <w:r w:rsidR="007A582A" w:rsidRPr="00DC0273">
        <w:rPr>
          <w:rFonts w:ascii="Times New Roman" w:hAnsi="Times New Roman" w:cs="Times New Roman"/>
          <w:sz w:val="24"/>
          <w:szCs w:val="24"/>
        </w:rPr>
        <w:t xml:space="preserve">There is </w:t>
      </w:r>
      <w:r w:rsidR="00F519C8" w:rsidRPr="00DC0273">
        <w:rPr>
          <w:rFonts w:ascii="Times New Roman" w:hAnsi="Times New Roman" w:cs="Times New Roman"/>
          <w:sz w:val="24"/>
          <w:szCs w:val="24"/>
        </w:rPr>
        <w:t>assistance in achieving that</w:t>
      </w:r>
      <w:r w:rsidRPr="00DC0273">
        <w:rPr>
          <w:rFonts w:ascii="Times New Roman" w:hAnsi="Times New Roman" w:cs="Times New Roman"/>
          <w:sz w:val="24"/>
          <w:szCs w:val="24"/>
        </w:rPr>
        <w:t xml:space="preserve"> and extensive</w:t>
      </w:r>
      <w:r w:rsidR="002B095E" w:rsidRPr="00DC0273">
        <w:rPr>
          <w:rFonts w:ascii="Times New Roman" w:hAnsi="Times New Roman" w:cs="Times New Roman"/>
          <w:sz w:val="24"/>
          <w:szCs w:val="24"/>
        </w:rPr>
        <w:t xml:space="preserve"> support from</w:t>
      </w:r>
      <w:r w:rsidRPr="00DC0273">
        <w:rPr>
          <w:rFonts w:ascii="Times New Roman" w:hAnsi="Times New Roman" w:cs="Times New Roman"/>
          <w:sz w:val="24"/>
          <w:szCs w:val="24"/>
        </w:rPr>
        <w:t xml:space="preserve"> the Victorian Bar and Law </w:t>
      </w:r>
      <w:r w:rsidRPr="00DC0273">
        <w:rPr>
          <w:rFonts w:ascii="Times New Roman" w:hAnsi="Times New Roman" w:cs="Times New Roman"/>
          <w:sz w:val="24"/>
          <w:szCs w:val="24"/>
        </w:rPr>
        <w:lastRenderedPageBreak/>
        <w:t>Institute pro bono schemes</w:t>
      </w:r>
      <w:r w:rsidR="007A582A" w:rsidRPr="00DC0273">
        <w:rPr>
          <w:rFonts w:ascii="Times New Roman" w:hAnsi="Times New Roman" w:cs="Times New Roman"/>
          <w:sz w:val="24"/>
          <w:szCs w:val="24"/>
        </w:rPr>
        <w:t>. I</w:t>
      </w:r>
      <w:r w:rsidRPr="00DC0273">
        <w:rPr>
          <w:rFonts w:ascii="Times New Roman" w:hAnsi="Times New Roman" w:cs="Times New Roman"/>
          <w:sz w:val="24"/>
          <w:szCs w:val="24"/>
        </w:rPr>
        <w:t>t has been very effective</w:t>
      </w:r>
      <w:r w:rsidR="007A582A" w:rsidRPr="00DC0273">
        <w:rPr>
          <w:rFonts w:ascii="Times New Roman" w:hAnsi="Times New Roman" w:cs="Times New Roman"/>
          <w:sz w:val="24"/>
          <w:szCs w:val="24"/>
        </w:rPr>
        <w:t>.</w:t>
      </w:r>
      <w:r w:rsidRPr="00DC0273">
        <w:rPr>
          <w:rFonts w:ascii="Times New Roman" w:hAnsi="Times New Roman" w:cs="Times New Roman"/>
          <w:sz w:val="24"/>
          <w:szCs w:val="24"/>
        </w:rPr>
        <w:t xml:space="preserve"> Parties now, with the new civil appeal reforms, are requi</w:t>
      </w:r>
      <w:r w:rsidR="007A582A" w:rsidRPr="00DC0273">
        <w:rPr>
          <w:rFonts w:ascii="Times New Roman" w:hAnsi="Times New Roman" w:cs="Times New Roman"/>
          <w:sz w:val="24"/>
          <w:szCs w:val="24"/>
        </w:rPr>
        <w:t>red to file their written cases</w:t>
      </w:r>
      <w:r w:rsidRPr="00DC0273">
        <w:rPr>
          <w:rFonts w:ascii="Times New Roman" w:hAnsi="Times New Roman" w:cs="Times New Roman"/>
          <w:sz w:val="24"/>
          <w:szCs w:val="24"/>
        </w:rPr>
        <w:t xml:space="preserve"> setting out their contentions on the leave application and on the appeal at the time their application is initiated.  </w:t>
      </w:r>
      <w:r w:rsidR="007A582A" w:rsidRPr="00DC0273">
        <w:rPr>
          <w:rFonts w:ascii="Times New Roman" w:hAnsi="Times New Roman" w:cs="Times New Roman"/>
          <w:sz w:val="24"/>
          <w:szCs w:val="24"/>
        </w:rPr>
        <w:t>T</w:t>
      </w:r>
      <w:r w:rsidRPr="00DC0273">
        <w:rPr>
          <w:rFonts w:ascii="Times New Roman" w:hAnsi="Times New Roman" w:cs="Times New Roman"/>
          <w:sz w:val="24"/>
          <w:szCs w:val="24"/>
        </w:rPr>
        <w:t xml:space="preserve">he </w:t>
      </w:r>
      <w:r w:rsidR="00530465" w:rsidRPr="00DC0273">
        <w:rPr>
          <w:rFonts w:ascii="Times New Roman" w:hAnsi="Times New Roman" w:cs="Times New Roman"/>
          <w:sz w:val="24"/>
          <w:szCs w:val="24"/>
        </w:rPr>
        <w:t xml:space="preserve">resultant </w:t>
      </w:r>
      <w:r w:rsidRPr="00DC0273">
        <w:rPr>
          <w:rFonts w:ascii="Times New Roman" w:hAnsi="Times New Roman" w:cs="Times New Roman"/>
          <w:sz w:val="24"/>
          <w:szCs w:val="24"/>
        </w:rPr>
        <w:t>expedition has had a dramatic impact.</w:t>
      </w:r>
    </w:p>
    <w:p w14:paraId="49D4C2D6"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02436C07" w14:textId="2FC6B521" w:rsidR="00E75741" w:rsidRPr="00DC0273" w:rsidRDefault="00F519C8"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At the end of December 2015</w:t>
      </w:r>
      <w:r w:rsidR="00E75741" w:rsidRPr="00DC0273">
        <w:rPr>
          <w:rFonts w:ascii="Times New Roman" w:hAnsi="Times New Roman" w:cs="Times New Roman"/>
          <w:sz w:val="24"/>
          <w:szCs w:val="24"/>
        </w:rPr>
        <w:t xml:space="preserve"> there were only 80 pending civil appeals in the Court of Appeal.  </w:t>
      </w:r>
      <w:r w:rsidR="00604A63" w:rsidRPr="00DC0273">
        <w:rPr>
          <w:rFonts w:ascii="Times New Roman" w:hAnsi="Times New Roman" w:cs="Times New Roman"/>
          <w:sz w:val="24"/>
          <w:szCs w:val="24"/>
        </w:rPr>
        <w:t>R</w:t>
      </w:r>
      <w:r w:rsidRPr="00DC0273">
        <w:rPr>
          <w:rFonts w:ascii="Times New Roman" w:hAnsi="Times New Roman" w:cs="Times New Roman"/>
          <w:sz w:val="24"/>
          <w:szCs w:val="24"/>
        </w:rPr>
        <w:t>emember</w:t>
      </w:r>
      <w:r w:rsidR="00604A63" w:rsidRPr="00DC0273">
        <w:rPr>
          <w:rFonts w:ascii="Times New Roman" w:hAnsi="Times New Roman" w:cs="Times New Roman"/>
          <w:sz w:val="24"/>
          <w:szCs w:val="24"/>
        </w:rPr>
        <w:t xml:space="preserve">ing that </w:t>
      </w:r>
      <w:r w:rsidRPr="00DC0273">
        <w:rPr>
          <w:rFonts w:ascii="Times New Roman" w:hAnsi="Times New Roman" w:cs="Times New Roman"/>
          <w:sz w:val="24"/>
          <w:szCs w:val="24"/>
        </w:rPr>
        <w:t xml:space="preserve">the number </w:t>
      </w:r>
      <w:r w:rsidR="00E75741" w:rsidRPr="00DC0273">
        <w:rPr>
          <w:rFonts w:ascii="Times New Roman" w:hAnsi="Times New Roman" w:cs="Times New Roman"/>
          <w:sz w:val="24"/>
          <w:szCs w:val="24"/>
        </w:rPr>
        <w:t>back in December 2013 was 154</w:t>
      </w:r>
      <w:r w:rsidR="00604A63" w:rsidRPr="00DC0273">
        <w:rPr>
          <w:rFonts w:ascii="Times New Roman" w:hAnsi="Times New Roman" w:cs="Times New Roman"/>
          <w:sz w:val="24"/>
          <w:szCs w:val="24"/>
        </w:rPr>
        <w:t xml:space="preserve">, </w:t>
      </w:r>
      <w:r w:rsidR="00E75741" w:rsidRPr="00DC0273">
        <w:rPr>
          <w:rFonts w:ascii="Times New Roman" w:hAnsi="Times New Roman" w:cs="Times New Roman"/>
          <w:sz w:val="24"/>
          <w:szCs w:val="24"/>
        </w:rPr>
        <w:t>we have virtually halved the number of pending appeals.  The waiting time for co</w:t>
      </w:r>
      <w:r w:rsidRPr="00DC0273">
        <w:rPr>
          <w:rFonts w:ascii="Times New Roman" w:hAnsi="Times New Roman" w:cs="Times New Roman"/>
          <w:sz w:val="24"/>
          <w:szCs w:val="24"/>
        </w:rPr>
        <w:t>mpletion is close to six months</w:t>
      </w:r>
      <w:r w:rsidR="00604A63" w:rsidRPr="00DC0273">
        <w:rPr>
          <w:rFonts w:ascii="Times New Roman" w:hAnsi="Times New Roman" w:cs="Times New Roman"/>
          <w:sz w:val="24"/>
          <w:szCs w:val="24"/>
        </w:rPr>
        <w:t xml:space="preserve"> </w:t>
      </w:r>
      <w:r w:rsidR="00E75741" w:rsidRPr="00DC0273">
        <w:rPr>
          <w:rFonts w:ascii="Times New Roman" w:hAnsi="Times New Roman" w:cs="Times New Roman"/>
          <w:sz w:val="24"/>
          <w:szCs w:val="24"/>
        </w:rPr>
        <w:t xml:space="preserve">and that is </w:t>
      </w:r>
      <w:r w:rsidR="007A582A" w:rsidRPr="00DC0273">
        <w:rPr>
          <w:rFonts w:ascii="Times New Roman" w:hAnsi="Times New Roman" w:cs="Times New Roman"/>
          <w:sz w:val="24"/>
          <w:szCs w:val="24"/>
        </w:rPr>
        <w:t>an excellent</w:t>
      </w:r>
      <w:r w:rsidR="00E75741" w:rsidRPr="00DC0273">
        <w:rPr>
          <w:rFonts w:ascii="Times New Roman" w:hAnsi="Times New Roman" w:cs="Times New Roman"/>
          <w:sz w:val="24"/>
          <w:szCs w:val="24"/>
        </w:rPr>
        <w:t xml:space="preserve"> reduction in time.  </w:t>
      </w:r>
    </w:p>
    <w:p w14:paraId="65DC5B72" w14:textId="77777777" w:rsidR="00604A63" w:rsidRPr="00DC0273" w:rsidRDefault="00604A63" w:rsidP="00905BC2">
      <w:pPr>
        <w:spacing w:after="0" w:line="276" w:lineRule="auto"/>
        <w:jc w:val="both"/>
        <w:rPr>
          <w:rFonts w:ascii="Times New Roman" w:hAnsi="Times New Roman" w:cs="Times New Roman"/>
          <w:sz w:val="24"/>
          <w:szCs w:val="24"/>
        </w:rPr>
      </w:pPr>
    </w:p>
    <w:p w14:paraId="7403FE07" w14:textId="1710287B" w:rsidR="00604A63" w:rsidRPr="00DC0273" w:rsidRDefault="00604A63"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Alternative Dispute Resolution</w:t>
      </w:r>
    </w:p>
    <w:p w14:paraId="10924BE5" w14:textId="77777777" w:rsidR="005C3C18" w:rsidRPr="00DC0273" w:rsidRDefault="005C3C18" w:rsidP="00905BC2">
      <w:pPr>
        <w:spacing w:after="0" w:line="276" w:lineRule="auto"/>
        <w:jc w:val="both"/>
        <w:rPr>
          <w:rFonts w:ascii="Times New Roman" w:hAnsi="Times New Roman" w:cs="Times New Roman"/>
          <w:sz w:val="24"/>
          <w:szCs w:val="24"/>
        </w:rPr>
      </w:pPr>
    </w:p>
    <w:p w14:paraId="1D90E277" w14:textId="4BFC6CC6" w:rsidR="00F519C8" w:rsidRPr="00DC0273" w:rsidRDefault="00E7574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 </w:t>
      </w:r>
      <w:r w:rsidR="00604A63" w:rsidRPr="00DC0273">
        <w:rPr>
          <w:rFonts w:ascii="Times New Roman" w:hAnsi="Times New Roman" w:cs="Times New Roman"/>
          <w:sz w:val="24"/>
          <w:szCs w:val="24"/>
        </w:rPr>
        <w:t xml:space="preserve">now turn to </w:t>
      </w:r>
      <w:r w:rsidR="0071575D" w:rsidRPr="00DC0273">
        <w:rPr>
          <w:rFonts w:ascii="Times New Roman" w:hAnsi="Times New Roman" w:cs="Times New Roman"/>
          <w:sz w:val="24"/>
          <w:szCs w:val="24"/>
        </w:rPr>
        <w:t xml:space="preserve">alternative dispute resolution.  </w:t>
      </w:r>
    </w:p>
    <w:p w14:paraId="5A4CA7F3" w14:textId="77777777" w:rsidR="00F519C8" w:rsidRPr="00DC0273" w:rsidRDefault="00F519C8" w:rsidP="00905BC2">
      <w:pPr>
        <w:spacing w:after="0" w:line="276" w:lineRule="auto"/>
        <w:ind w:firstLine="720"/>
        <w:jc w:val="both"/>
        <w:rPr>
          <w:rFonts w:ascii="Times New Roman" w:hAnsi="Times New Roman" w:cs="Times New Roman"/>
          <w:sz w:val="24"/>
          <w:szCs w:val="24"/>
        </w:rPr>
      </w:pPr>
    </w:p>
    <w:p w14:paraId="49D4025F" w14:textId="570823CD" w:rsidR="00E75741" w:rsidRPr="00DC0273" w:rsidRDefault="0071575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It is the case in the Victorian Supreme Court that</w:t>
      </w:r>
      <w:r w:rsidR="007A582A" w:rsidRPr="00DC0273">
        <w:rPr>
          <w:rFonts w:ascii="Times New Roman" w:hAnsi="Times New Roman" w:cs="Times New Roman"/>
          <w:sz w:val="24"/>
          <w:szCs w:val="24"/>
        </w:rPr>
        <w:t xml:space="preserve"> virtually</w:t>
      </w:r>
      <w:r w:rsidRPr="00DC0273">
        <w:rPr>
          <w:rFonts w:ascii="Times New Roman" w:hAnsi="Times New Roman" w:cs="Times New Roman"/>
          <w:sz w:val="24"/>
          <w:szCs w:val="24"/>
        </w:rPr>
        <w:t xml:space="preserve"> no civil case goes to trial without at least one round of mediation </w:t>
      </w:r>
      <w:r w:rsidR="00604A63" w:rsidRPr="00DC0273">
        <w:rPr>
          <w:rFonts w:ascii="Times New Roman" w:hAnsi="Times New Roman" w:cs="Times New Roman"/>
          <w:sz w:val="24"/>
          <w:szCs w:val="24"/>
        </w:rPr>
        <w:t xml:space="preserve">(indeed most civil appeals are </w:t>
      </w:r>
      <w:r w:rsidR="007A582A" w:rsidRPr="00DC0273">
        <w:rPr>
          <w:rFonts w:ascii="Times New Roman" w:hAnsi="Times New Roman" w:cs="Times New Roman"/>
          <w:sz w:val="24"/>
          <w:szCs w:val="24"/>
        </w:rPr>
        <w:t xml:space="preserve">also </w:t>
      </w:r>
      <w:r w:rsidR="00604A63" w:rsidRPr="00DC0273">
        <w:rPr>
          <w:rFonts w:ascii="Times New Roman" w:hAnsi="Times New Roman" w:cs="Times New Roman"/>
          <w:sz w:val="24"/>
          <w:szCs w:val="24"/>
        </w:rPr>
        <w:t>required to have undergone mediation subsequent to the appealed judgment).</w:t>
      </w:r>
      <w:r w:rsidRPr="00DC0273">
        <w:rPr>
          <w:rFonts w:ascii="Times New Roman" w:hAnsi="Times New Roman" w:cs="Times New Roman"/>
          <w:sz w:val="24"/>
          <w:szCs w:val="24"/>
        </w:rPr>
        <w:t xml:space="preserve"> We have implemented a model</w:t>
      </w:r>
      <w:r w:rsidR="00F519C8" w:rsidRPr="00DC0273">
        <w:rPr>
          <w:rFonts w:ascii="Times New Roman" w:hAnsi="Times New Roman" w:cs="Times New Roman"/>
          <w:sz w:val="24"/>
          <w:szCs w:val="24"/>
        </w:rPr>
        <w:t>,</w:t>
      </w:r>
      <w:r w:rsidRPr="00DC0273">
        <w:rPr>
          <w:rFonts w:ascii="Times New Roman" w:hAnsi="Times New Roman" w:cs="Times New Roman"/>
          <w:sz w:val="24"/>
          <w:szCs w:val="24"/>
        </w:rPr>
        <w:t xml:space="preserve"> which has been in place for a number of years</w:t>
      </w:r>
      <w:r w:rsidR="00F519C8" w:rsidRPr="00DC0273">
        <w:rPr>
          <w:rFonts w:ascii="Times New Roman" w:hAnsi="Times New Roman" w:cs="Times New Roman"/>
          <w:sz w:val="24"/>
          <w:szCs w:val="24"/>
        </w:rPr>
        <w:t>,</w:t>
      </w:r>
      <w:r w:rsidRPr="00DC0273">
        <w:rPr>
          <w:rFonts w:ascii="Times New Roman" w:hAnsi="Times New Roman" w:cs="Times New Roman"/>
          <w:sz w:val="24"/>
          <w:szCs w:val="24"/>
        </w:rPr>
        <w:t xml:space="preserve"> of court-led mediation</w:t>
      </w:r>
      <w:r w:rsidR="00F519C8" w:rsidRPr="00DC0273">
        <w:rPr>
          <w:rFonts w:ascii="Times New Roman" w:hAnsi="Times New Roman" w:cs="Times New Roman"/>
          <w:sz w:val="24"/>
          <w:szCs w:val="24"/>
        </w:rPr>
        <w:t>, which is mostly conducted by associate judges and the judicial r</w:t>
      </w:r>
      <w:r w:rsidRPr="00DC0273">
        <w:rPr>
          <w:rFonts w:ascii="Times New Roman" w:hAnsi="Times New Roman" w:cs="Times New Roman"/>
          <w:sz w:val="24"/>
          <w:szCs w:val="24"/>
        </w:rPr>
        <w:t>egistrar</w:t>
      </w:r>
      <w:r w:rsidR="007A582A" w:rsidRPr="00DC0273">
        <w:rPr>
          <w:rFonts w:ascii="Times New Roman" w:hAnsi="Times New Roman" w:cs="Times New Roman"/>
          <w:sz w:val="24"/>
          <w:szCs w:val="24"/>
        </w:rPr>
        <w:t>s</w:t>
      </w:r>
      <w:r w:rsidR="00530465" w:rsidRPr="00DC0273">
        <w:rPr>
          <w:rFonts w:ascii="Times New Roman" w:hAnsi="Times New Roman" w:cs="Times New Roman"/>
          <w:sz w:val="24"/>
          <w:szCs w:val="24"/>
        </w:rPr>
        <w:t xml:space="preserve">, particularly, Associate Justices </w:t>
      </w:r>
      <w:proofErr w:type="spellStart"/>
      <w:r w:rsidR="00530465" w:rsidRPr="00DC0273">
        <w:rPr>
          <w:rFonts w:ascii="Times New Roman" w:hAnsi="Times New Roman" w:cs="Times New Roman"/>
          <w:sz w:val="24"/>
          <w:szCs w:val="24"/>
        </w:rPr>
        <w:t>Efthim</w:t>
      </w:r>
      <w:proofErr w:type="spellEnd"/>
      <w:r w:rsidR="00530465" w:rsidRPr="00DC0273">
        <w:rPr>
          <w:rFonts w:ascii="Times New Roman" w:hAnsi="Times New Roman" w:cs="Times New Roman"/>
          <w:sz w:val="24"/>
          <w:szCs w:val="24"/>
        </w:rPr>
        <w:t xml:space="preserve"> and Wood</w:t>
      </w:r>
      <w:r w:rsidRPr="00DC0273">
        <w:rPr>
          <w:rFonts w:ascii="Times New Roman" w:hAnsi="Times New Roman" w:cs="Times New Roman"/>
          <w:sz w:val="24"/>
          <w:szCs w:val="24"/>
        </w:rPr>
        <w:t xml:space="preserve">.  It is a finite resource and we cannot offer this </w:t>
      </w:r>
      <w:r w:rsidR="007A582A" w:rsidRPr="00DC0273">
        <w:rPr>
          <w:rFonts w:ascii="Times New Roman" w:hAnsi="Times New Roman" w:cs="Times New Roman"/>
          <w:sz w:val="24"/>
          <w:szCs w:val="24"/>
        </w:rPr>
        <w:t xml:space="preserve">service </w:t>
      </w:r>
      <w:r w:rsidRPr="00DC0273">
        <w:rPr>
          <w:rFonts w:ascii="Times New Roman" w:hAnsi="Times New Roman" w:cs="Times New Roman"/>
          <w:sz w:val="24"/>
          <w:szCs w:val="24"/>
        </w:rPr>
        <w:t>to e</w:t>
      </w:r>
      <w:r w:rsidR="00604A63" w:rsidRPr="00DC0273">
        <w:rPr>
          <w:rFonts w:ascii="Times New Roman" w:hAnsi="Times New Roman" w:cs="Times New Roman"/>
          <w:sz w:val="24"/>
          <w:szCs w:val="24"/>
        </w:rPr>
        <w:t xml:space="preserve">very case.  </w:t>
      </w:r>
      <w:r w:rsidR="00530465" w:rsidRPr="00DC0273">
        <w:rPr>
          <w:rFonts w:ascii="Times New Roman" w:hAnsi="Times New Roman" w:cs="Times New Roman"/>
          <w:sz w:val="24"/>
          <w:szCs w:val="24"/>
        </w:rPr>
        <w:t>W</w:t>
      </w:r>
      <w:r w:rsidRPr="00DC0273">
        <w:rPr>
          <w:rFonts w:ascii="Times New Roman" w:hAnsi="Times New Roman" w:cs="Times New Roman"/>
          <w:sz w:val="24"/>
          <w:szCs w:val="24"/>
        </w:rPr>
        <w:t xml:space="preserve">e select cases where </w:t>
      </w:r>
      <w:r w:rsidR="00530465" w:rsidRPr="00DC0273">
        <w:rPr>
          <w:rFonts w:ascii="Times New Roman" w:hAnsi="Times New Roman" w:cs="Times New Roman"/>
          <w:sz w:val="24"/>
          <w:szCs w:val="24"/>
        </w:rPr>
        <w:t>c</w:t>
      </w:r>
      <w:r w:rsidRPr="00DC0273">
        <w:rPr>
          <w:rFonts w:ascii="Times New Roman" w:hAnsi="Times New Roman" w:cs="Times New Roman"/>
          <w:sz w:val="24"/>
          <w:szCs w:val="24"/>
        </w:rPr>
        <w:t>ourt</w:t>
      </w:r>
      <w:r w:rsidR="00530465" w:rsidRPr="00DC0273">
        <w:rPr>
          <w:rFonts w:ascii="Times New Roman" w:hAnsi="Times New Roman" w:cs="Times New Roman"/>
          <w:sz w:val="24"/>
          <w:szCs w:val="24"/>
        </w:rPr>
        <w:t>-led</w:t>
      </w:r>
      <w:r w:rsidRPr="00DC0273">
        <w:rPr>
          <w:rFonts w:ascii="Times New Roman" w:hAnsi="Times New Roman" w:cs="Times New Roman"/>
          <w:sz w:val="24"/>
          <w:szCs w:val="24"/>
        </w:rPr>
        <w:t xml:space="preserve"> mediation is suitable for the particular case.  </w:t>
      </w:r>
    </w:p>
    <w:p w14:paraId="656BE255"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2776DB4D" w14:textId="62821897" w:rsidR="0071575D" w:rsidRPr="00DC0273" w:rsidRDefault="007A582A"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It also </w:t>
      </w:r>
      <w:r w:rsidR="0071575D" w:rsidRPr="00DC0273">
        <w:rPr>
          <w:rFonts w:ascii="Times New Roman" w:hAnsi="Times New Roman" w:cs="Times New Roman"/>
          <w:sz w:val="24"/>
          <w:szCs w:val="24"/>
        </w:rPr>
        <w:t>happen</w:t>
      </w:r>
      <w:r w:rsidRPr="00DC0273">
        <w:rPr>
          <w:rFonts w:ascii="Times New Roman" w:hAnsi="Times New Roman" w:cs="Times New Roman"/>
          <w:sz w:val="24"/>
          <w:szCs w:val="24"/>
        </w:rPr>
        <w:t>s</w:t>
      </w:r>
      <w:r w:rsidR="0071575D" w:rsidRPr="00DC0273">
        <w:rPr>
          <w:rFonts w:ascii="Times New Roman" w:hAnsi="Times New Roman" w:cs="Times New Roman"/>
          <w:sz w:val="24"/>
          <w:szCs w:val="24"/>
        </w:rPr>
        <w:t xml:space="preserve"> that there are parties who cann</w:t>
      </w:r>
      <w:r w:rsidR="00DD7C86" w:rsidRPr="00DC0273">
        <w:rPr>
          <w:rFonts w:ascii="Times New Roman" w:hAnsi="Times New Roman" w:cs="Times New Roman"/>
          <w:sz w:val="24"/>
          <w:szCs w:val="24"/>
        </w:rPr>
        <w:t>ot afford to pay for a mediator</w:t>
      </w:r>
      <w:r w:rsidR="0071575D" w:rsidRPr="00DC0273">
        <w:rPr>
          <w:rFonts w:ascii="Times New Roman" w:hAnsi="Times New Roman" w:cs="Times New Roman"/>
          <w:sz w:val="24"/>
          <w:szCs w:val="24"/>
        </w:rPr>
        <w:t xml:space="preserve"> and that is where the Court will step in and provide assistance.  </w:t>
      </w:r>
      <w:r w:rsidR="00530465" w:rsidRPr="00DC0273">
        <w:rPr>
          <w:rFonts w:ascii="Times New Roman" w:hAnsi="Times New Roman" w:cs="Times New Roman"/>
          <w:sz w:val="24"/>
          <w:szCs w:val="24"/>
        </w:rPr>
        <w:t xml:space="preserve">This occurs </w:t>
      </w:r>
      <w:r w:rsidR="0071575D" w:rsidRPr="00DC0273">
        <w:rPr>
          <w:rFonts w:ascii="Times New Roman" w:hAnsi="Times New Roman" w:cs="Times New Roman"/>
          <w:sz w:val="24"/>
          <w:szCs w:val="24"/>
        </w:rPr>
        <w:t xml:space="preserve">extensively in the </w:t>
      </w:r>
      <w:r w:rsidR="00604A63" w:rsidRPr="00DC0273">
        <w:rPr>
          <w:rFonts w:ascii="Times New Roman" w:hAnsi="Times New Roman" w:cs="Times New Roman"/>
          <w:sz w:val="24"/>
          <w:szCs w:val="24"/>
        </w:rPr>
        <w:t>Corporation</w:t>
      </w:r>
      <w:r w:rsidR="00530465" w:rsidRPr="00DC0273">
        <w:rPr>
          <w:rFonts w:ascii="Times New Roman" w:hAnsi="Times New Roman" w:cs="Times New Roman"/>
          <w:sz w:val="24"/>
          <w:szCs w:val="24"/>
        </w:rPr>
        <w:t>s o</w:t>
      </w:r>
      <w:r w:rsidR="0071575D" w:rsidRPr="00DC0273">
        <w:rPr>
          <w:rFonts w:ascii="Times New Roman" w:hAnsi="Times New Roman" w:cs="Times New Roman"/>
          <w:sz w:val="24"/>
          <w:szCs w:val="24"/>
        </w:rPr>
        <w:t xml:space="preserve">ppression </w:t>
      </w:r>
      <w:r w:rsidRPr="00DC0273">
        <w:rPr>
          <w:rFonts w:ascii="Times New Roman" w:hAnsi="Times New Roman" w:cs="Times New Roman"/>
          <w:sz w:val="24"/>
          <w:szCs w:val="24"/>
        </w:rPr>
        <w:t>p</w:t>
      </w:r>
      <w:r w:rsidR="0071575D" w:rsidRPr="00DC0273">
        <w:rPr>
          <w:rFonts w:ascii="Times New Roman" w:hAnsi="Times New Roman" w:cs="Times New Roman"/>
          <w:sz w:val="24"/>
          <w:szCs w:val="24"/>
        </w:rPr>
        <w:t>roceedings I adverted to earlier and also w</w:t>
      </w:r>
      <w:r w:rsidRPr="00DC0273">
        <w:rPr>
          <w:rFonts w:ascii="Times New Roman" w:hAnsi="Times New Roman" w:cs="Times New Roman"/>
          <w:sz w:val="24"/>
          <w:szCs w:val="24"/>
        </w:rPr>
        <w:t>ith respect to deceased estate matters</w:t>
      </w:r>
      <w:r w:rsidR="0071575D" w:rsidRPr="00DC0273">
        <w:rPr>
          <w:rFonts w:ascii="Times New Roman" w:hAnsi="Times New Roman" w:cs="Times New Roman"/>
          <w:sz w:val="24"/>
          <w:szCs w:val="24"/>
        </w:rPr>
        <w:t>, particularly testators</w:t>
      </w:r>
      <w:r w:rsidR="00530465" w:rsidRPr="00DC0273">
        <w:rPr>
          <w:rFonts w:ascii="Times New Roman" w:hAnsi="Times New Roman" w:cs="Times New Roman"/>
          <w:sz w:val="24"/>
          <w:szCs w:val="24"/>
        </w:rPr>
        <w:t>’</w:t>
      </w:r>
      <w:r w:rsidR="0071575D" w:rsidRPr="00DC0273">
        <w:rPr>
          <w:rFonts w:ascii="Times New Roman" w:hAnsi="Times New Roman" w:cs="Times New Roman"/>
          <w:sz w:val="24"/>
          <w:szCs w:val="24"/>
        </w:rPr>
        <w:t xml:space="preserve"> family maintenance claims.  You will recall those sorts of cases where</w:t>
      </w:r>
      <w:r w:rsidR="00604A63" w:rsidRPr="00DC0273">
        <w:rPr>
          <w:rFonts w:ascii="Times New Roman" w:hAnsi="Times New Roman" w:cs="Times New Roman"/>
          <w:sz w:val="24"/>
          <w:szCs w:val="24"/>
        </w:rPr>
        <w:t xml:space="preserve">, for example, </w:t>
      </w:r>
      <w:r w:rsidR="0071575D" w:rsidRPr="00DC0273">
        <w:rPr>
          <w:rFonts w:ascii="Times New Roman" w:hAnsi="Times New Roman" w:cs="Times New Roman"/>
          <w:sz w:val="24"/>
          <w:szCs w:val="24"/>
        </w:rPr>
        <w:t xml:space="preserve">an adult child </w:t>
      </w:r>
      <w:r w:rsidR="00604A63" w:rsidRPr="00DC0273">
        <w:rPr>
          <w:rFonts w:ascii="Times New Roman" w:hAnsi="Times New Roman" w:cs="Times New Roman"/>
          <w:sz w:val="24"/>
          <w:szCs w:val="24"/>
        </w:rPr>
        <w:t>claims</w:t>
      </w:r>
      <w:r w:rsidRPr="00DC0273">
        <w:rPr>
          <w:rFonts w:ascii="Times New Roman" w:hAnsi="Times New Roman" w:cs="Times New Roman"/>
          <w:sz w:val="24"/>
          <w:szCs w:val="24"/>
        </w:rPr>
        <w:t xml:space="preserve"> to have</w:t>
      </w:r>
      <w:r w:rsidR="00604A63" w:rsidRPr="00DC0273">
        <w:rPr>
          <w:rFonts w:ascii="Times New Roman" w:hAnsi="Times New Roman" w:cs="Times New Roman"/>
          <w:sz w:val="24"/>
          <w:szCs w:val="24"/>
        </w:rPr>
        <w:t xml:space="preserve"> </w:t>
      </w:r>
      <w:r w:rsidR="0071575D" w:rsidRPr="00DC0273">
        <w:rPr>
          <w:rFonts w:ascii="Times New Roman" w:hAnsi="Times New Roman" w:cs="Times New Roman"/>
          <w:sz w:val="24"/>
          <w:szCs w:val="24"/>
        </w:rPr>
        <w:t xml:space="preserve">not been sufficiently provided for in a </w:t>
      </w:r>
      <w:r w:rsidR="00604A63" w:rsidRPr="00DC0273">
        <w:rPr>
          <w:rFonts w:ascii="Times New Roman" w:hAnsi="Times New Roman" w:cs="Times New Roman"/>
          <w:sz w:val="24"/>
          <w:szCs w:val="24"/>
        </w:rPr>
        <w:t xml:space="preserve">parent’s </w:t>
      </w:r>
      <w:r w:rsidR="0071575D" w:rsidRPr="00DC0273">
        <w:rPr>
          <w:rFonts w:ascii="Times New Roman" w:hAnsi="Times New Roman" w:cs="Times New Roman"/>
          <w:sz w:val="24"/>
          <w:szCs w:val="24"/>
        </w:rPr>
        <w:t xml:space="preserve">will.  Rather than the case running for some days before a judge, these matters are </w:t>
      </w:r>
      <w:r w:rsidR="00530465" w:rsidRPr="00DC0273">
        <w:rPr>
          <w:rFonts w:ascii="Times New Roman" w:hAnsi="Times New Roman" w:cs="Times New Roman"/>
          <w:sz w:val="24"/>
          <w:szCs w:val="24"/>
        </w:rPr>
        <w:t>being mediated by the Court.  This</w:t>
      </w:r>
      <w:r w:rsidR="0071575D" w:rsidRPr="00DC0273">
        <w:rPr>
          <w:rFonts w:ascii="Times New Roman" w:hAnsi="Times New Roman" w:cs="Times New Roman"/>
          <w:sz w:val="24"/>
          <w:szCs w:val="24"/>
        </w:rPr>
        <w:t xml:space="preserve"> has been extremely successful, with a very, very high resolution rate.</w:t>
      </w:r>
      <w:r w:rsidR="00604A63" w:rsidRPr="00DC0273">
        <w:rPr>
          <w:rFonts w:ascii="Times New Roman" w:hAnsi="Times New Roman" w:cs="Times New Roman"/>
          <w:sz w:val="24"/>
          <w:szCs w:val="24"/>
        </w:rPr>
        <w:t xml:space="preserve">  </w:t>
      </w:r>
      <w:r w:rsidR="0071575D" w:rsidRPr="00DC0273">
        <w:rPr>
          <w:rFonts w:ascii="Times New Roman" w:hAnsi="Times New Roman" w:cs="Times New Roman"/>
          <w:sz w:val="24"/>
          <w:szCs w:val="24"/>
        </w:rPr>
        <w:t xml:space="preserve">I am very pleased to say that </w:t>
      </w:r>
      <w:r w:rsidR="00604A63" w:rsidRPr="00DC0273">
        <w:rPr>
          <w:rFonts w:ascii="Times New Roman" w:hAnsi="Times New Roman" w:cs="Times New Roman"/>
          <w:sz w:val="24"/>
          <w:szCs w:val="24"/>
        </w:rPr>
        <w:t xml:space="preserve">Mr Gary </w:t>
      </w:r>
      <w:proofErr w:type="spellStart"/>
      <w:r w:rsidR="00113983" w:rsidRPr="00DC0273">
        <w:rPr>
          <w:rFonts w:ascii="Times New Roman" w:hAnsi="Times New Roman" w:cs="Times New Roman"/>
          <w:sz w:val="24"/>
          <w:szCs w:val="24"/>
        </w:rPr>
        <w:t>Cazalet</w:t>
      </w:r>
      <w:proofErr w:type="spellEnd"/>
      <w:r w:rsidR="00113983" w:rsidRPr="00DC0273">
        <w:rPr>
          <w:rFonts w:ascii="Times New Roman" w:hAnsi="Times New Roman" w:cs="Times New Roman"/>
          <w:sz w:val="24"/>
          <w:szCs w:val="24"/>
        </w:rPr>
        <w:t xml:space="preserve"> of </w:t>
      </w:r>
      <w:r w:rsidR="0071575D" w:rsidRPr="00DC0273">
        <w:rPr>
          <w:rFonts w:ascii="Times New Roman" w:hAnsi="Times New Roman" w:cs="Times New Roman"/>
          <w:sz w:val="24"/>
          <w:szCs w:val="24"/>
        </w:rPr>
        <w:t xml:space="preserve">the University </w:t>
      </w:r>
      <w:proofErr w:type="gramStart"/>
      <w:r w:rsidR="0071575D" w:rsidRPr="00DC0273">
        <w:rPr>
          <w:rFonts w:ascii="Times New Roman" w:hAnsi="Times New Roman" w:cs="Times New Roman"/>
          <w:sz w:val="24"/>
          <w:szCs w:val="24"/>
        </w:rPr>
        <w:t>of</w:t>
      </w:r>
      <w:proofErr w:type="gramEnd"/>
      <w:r w:rsidR="0071575D" w:rsidRPr="00DC0273">
        <w:rPr>
          <w:rFonts w:ascii="Times New Roman" w:hAnsi="Times New Roman" w:cs="Times New Roman"/>
          <w:sz w:val="24"/>
          <w:szCs w:val="24"/>
        </w:rPr>
        <w:t xml:space="preserve"> Melbourne </w:t>
      </w:r>
      <w:r w:rsidR="00113983" w:rsidRPr="00DC0273">
        <w:rPr>
          <w:rFonts w:ascii="Times New Roman" w:hAnsi="Times New Roman" w:cs="Times New Roman"/>
          <w:sz w:val="24"/>
          <w:szCs w:val="24"/>
        </w:rPr>
        <w:t xml:space="preserve">Law School </w:t>
      </w:r>
      <w:r w:rsidR="00530465" w:rsidRPr="00DC0273">
        <w:rPr>
          <w:rFonts w:ascii="Times New Roman" w:hAnsi="Times New Roman" w:cs="Times New Roman"/>
          <w:sz w:val="24"/>
          <w:szCs w:val="24"/>
        </w:rPr>
        <w:t>will shortly assist the Court in</w:t>
      </w:r>
      <w:r w:rsidR="0071575D" w:rsidRPr="00DC0273">
        <w:rPr>
          <w:rFonts w:ascii="Times New Roman" w:hAnsi="Times New Roman" w:cs="Times New Roman"/>
          <w:sz w:val="24"/>
          <w:szCs w:val="24"/>
        </w:rPr>
        <w:t xml:space="preserve"> conducting a value assessment of </w:t>
      </w:r>
      <w:r w:rsidR="00530465" w:rsidRPr="00DC0273">
        <w:rPr>
          <w:rFonts w:ascii="Times New Roman" w:hAnsi="Times New Roman" w:cs="Times New Roman"/>
          <w:sz w:val="24"/>
          <w:szCs w:val="24"/>
        </w:rPr>
        <w:t>Supreme</w:t>
      </w:r>
      <w:r w:rsidR="0071575D" w:rsidRPr="00DC0273">
        <w:rPr>
          <w:rFonts w:ascii="Times New Roman" w:hAnsi="Times New Roman" w:cs="Times New Roman"/>
          <w:sz w:val="24"/>
          <w:szCs w:val="24"/>
        </w:rPr>
        <w:t xml:space="preserve"> Court-led ADR.</w:t>
      </w:r>
    </w:p>
    <w:p w14:paraId="15C7CE1A" w14:textId="77777777" w:rsidR="00DD7C86" w:rsidRPr="00DC0273" w:rsidRDefault="00DD7C86" w:rsidP="00905BC2">
      <w:pPr>
        <w:spacing w:after="0" w:line="276" w:lineRule="auto"/>
        <w:jc w:val="both"/>
        <w:rPr>
          <w:rFonts w:ascii="Times New Roman" w:hAnsi="Times New Roman" w:cs="Times New Roman"/>
          <w:sz w:val="24"/>
          <w:szCs w:val="24"/>
        </w:rPr>
      </w:pPr>
    </w:p>
    <w:p w14:paraId="2D3A669B" w14:textId="77777777" w:rsidR="00DD7C86" w:rsidRPr="00DC0273" w:rsidRDefault="0071575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next phenomenon I want to focus on within the Court is the class action.  </w:t>
      </w:r>
    </w:p>
    <w:p w14:paraId="03624E90" w14:textId="6EC19016" w:rsidR="00113983" w:rsidRPr="00DC0273" w:rsidRDefault="00113983" w:rsidP="00905BC2">
      <w:pPr>
        <w:spacing w:after="0" w:line="276" w:lineRule="auto"/>
        <w:jc w:val="both"/>
        <w:rPr>
          <w:rFonts w:ascii="Times New Roman" w:hAnsi="Times New Roman" w:cs="Times New Roman"/>
          <w:sz w:val="24"/>
          <w:szCs w:val="24"/>
        </w:rPr>
      </w:pPr>
    </w:p>
    <w:p w14:paraId="20F4E9FF" w14:textId="6267A956" w:rsidR="00113983" w:rsidRPr="00DC0273" w:rsidRDefault="00113983"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Class Actions</w:t>
      </w:r>
    </w:p>
    <w:p w14:paraId="5841912F" w14:textId="77777777" w:rsidR="005C3C18" w:rsidRPr="00DC0273" w:rsidRDefault="005C3C18" w:rsidP="00905BC2">
      <w:pPr>
        <w:spacing w:after="0" w:line="276" w:lineRule="auto"/>
        <w:jc w:val="both"/>
        <w:rPr>
          <w:rFonts w:ascii="Times New Roman" w:hAnsi="Times New Roman" w:cs="Times New Roman"/>
          <w:sz w:val="24"/>
          <w:szCs w:val="24"/>
        </w:rPr>
      </w:pPr>
    </w:p>
    <w:p w14:paraId="0A25F650" w14:textId="4EC2A926" w:rsidR="0071575D" w:rsidRPr="00DC0273" w:rsidRDefault="00113983"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Class actions have </w:t>
      </w:r>
      <w:r w:rsidR="0071575D" w:rsidRPr="00DC0273">
        <w:rPr>
          <w:rFonts w:ascii="Times New Roman" w:hAnsi="Times New Roman" w:cs="Times New Roman"/>
          <w:sz w:val="24"/>
          <w:szCs w:val="24"/>
        </w:rPr>
        <w:t xml:space="preserve">had a </w:t>
      </w:r>
      <w:r w:rsidR="00530465" w:rsidRPr="00DC0273">
        <w:rPr>
          <w:rFonts w:ascii="Times New Roman" w:hAnsi="Times New Roman" w:cs="Times New Roman"/>
          <w:sz w:val="24"/>
          <w:szCs w:val="24"/>
        </w:rPr>
        <w:t>significant</w:t>
      </w:r>
      <w:r w:rsidR="0071575D" w:rsidRPr="00DC0273">
        <w:rPr>
          <w:rFonts w:ascii="Times New Roman" w:hAnsi="Times New Roman" w:cs="Times New Roman"/>
          <w:sz w:val="24"/>
          <w:szCs w:val="24"/>
        </w:rPr>
        <w:t xml:space="preserve"> impact on the Court.  I referred to the </w:t>
      </w:r>
      <w:proofErr w:type="gramStart"/>
      <w:r w:rsidR="0071575D" w:rsidRPr="00DC0273">
        <w:rPr>
          <w:rFonts w:ascii="Times New Roman" w:hAnsi="Times New Roman" w:cs="Times New Roman"/>
          <w:i/>
          <w:sz w:val="24"/>
          <w:szCs w:val="24"/>
        </w:rPr>
        <w:t>Great</w:t>
      </w:r>
      <w:proofErr w:type="gramEnd"/>
      <w:r w:rsidR="0071575D" w:rsidRPr="00DC0273">
        <w:rPr>
          <w:rFonts w:ascii="Times New Roman" w:hAnsi="Times New Roman" w:cs="Times New Roman"/>
          <w:i/>
          <w:sz w:val="24"/>
          <w:szCs w:val="24"/>
        </w:rPr>
        <w:t xml:space="preserve"> Southern</w:t>
      </w:r>
      <w:r w:rsidR="0071575D" w:rsidRPr="00DC0273">
        <w:rPr>
          <w:rFonts w:ascii="Times New Roman" w:hAnsi="Times New Roman" w:cs="Times New Roman"/>
          <w:sz w:val="24"/>
          <w:szCs w:val="24"/>
        </w:rPr>
        <w:t xml:space="preserve"> proceeding earlier; I now want to mention </w:t>
      </w:r>
      <w:r w:rsidRPr="00DC0273">
        <w:rPr>
          <w:rFonts w:ascii="Times New Roman" w:hAnsi="Times New Roman" w:cs="Times New Roman"/>
          <w:sz w:val="24"/>
          <w:szCs w:val="24"/>
        </w:rPr>
        <w:t>as an</w:t>
      </w:r>
      <w:r w:rsidR="007A582A" w:rsidRPr="00DC0273">
        <w:rPr>
          <w:rFonts w:ascii="Times New Roman" w:hAnsi="Times New Roman" w:cs="Times New Roman"/>
          <w:sz w:val="24"/>
          <w:szCs w:val="24"/>
        </w:rPr>
        <w:t>other</w:t>
      </w:r>
      <w:r w:rsidRPr="00DC0273">
        <w:rPr>
          <w:rFonts w:ascii="Times New Roman" w:hAnsi="Times New Roman" w:cs="Times New Roman"/>
          <w:sz w:val="24"/>
          <w:szCs w:val="24"/>
        </w:rPr>
        <w:t xml:space="preserve"> example </w:t>
      </w:r>
      <w:r w:rsidR="0071575D" w:rsidRPr="00DC0273">
        <w:rPr>
          <w:rFonts w:ascii="Times New Roman" w:hAnsi="Times New Roman" w:cs="Times New Roman"/>
          <w:sz w:val="24"/>
          <w:szCs w:val="24"/>
        </w:rPr>
        <w:t>the Kilmore</w:t>
      </w:r>
      <w:r w:rsidR="00530465" w:rsidRPr="00DC0273">
        <w:rPr>
          <w:rFonts w:ascii="Times New Roman" w:hAnsi="Times New Roman" w:cs="Times New Roman"/>
          <w:sz w:val="24"/>
          <w:szCs w:val="24"/>
        </w:rPr>
        <w:t xml:space="preserve"> East b</w:t>
      </w:r>
      <w:r w:rsidR="0071575D" w:rsidRPr="00DC0273">
        <w:rPr>
          <w:rFonts w:ascii="Times New Roman" w:hAnsi="Times New Roman" w:cs="Times New Roman"/>
          <w:sz w:val="24"/>
          <w:szCs w:val="24"/>
        </w:rPr>
        <w:t>ushfire</w:t>
      </w:r>
      <w:r w:rsidR="002B095E" w:rsidRPr="00DC0273">
        <w:rPr>
          <w:rFonts w:ascii="Times New Roman" w:hAnsi="Times New Roman" w:cs="Times New Roman"/>
          <w:sz w:val="24"/>
          <w:szCs w:val="24"/>
        </w:rPr>
        <w:t xml:space="preserve"> </w:t>
      </w:r>
      <w:r w:rsidR="0071575D" w:rsidRPr="00DC0273">
        <w:rPr>
          <w:rFonts w:ascii="Times New Roman" w:hAnsi="Times New Roman" w:cs="Times New Roman"/>
          <w:sz w:val="24"/>
          <w:szCs w:val="24"/>
        </w:rPr>
        <w:t xml:space="preserve">trial which was conducted by </w:t>
      </w:r>
      <w:r w:rsidR="007A582A" w:rsidRPr="00DC0273">
        <w:rPr>
          <w:rFonts w:ascii="Times New Roman" w:hAnsi="Times New Roman" w:cs="Times New Roman"/>
          <w:sz w:val="24"/>
          <w:szCs w:val="24"/>
        </w:rPr>
        <w:t>Justice J Forrest</w:t>
      </w:r>
      <w:r w:rsidR="0071575D" w:rsidRPr="00DC0273">
        <w:rPr>
          <w:rFonts w:ascii="Times New Roman" w:hAnsi="Times New Roman" w:cs="Times New Roman"/>
          <w:sz w:val="24"/>
          <w:szCs w:val="24"/>
        </w:rPr>
        <w:t>.</w:t>
      </w:r>
    </w:p>
    <w:p w14:paraId="6D66FFB3"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67A7549E" w14:textId="2D21F7EA" w:rsidR="00113983" w:rsidRPr="00DC0273" w:rsidRDefault="0071575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w:t>
      </w:r>
      <w:r w:rsidR="00113983" w:rsidRPr="00DC0273">
        <w:rPr>
          <w:rFonts w:ascii="Times New Roman" w:hAnsi="Times New Roman" w:cs="Times New Roman"/>
          <w:sz w:val="24"/>
          <w:szCs w:val="24"/>
        </w:rPr>
        <w:t xml:space="preserve">bushfire </w:t>
      </w:r>
      <w:r w:rsidRPr="00DC0273">
        <w:rPr>
          <w:rFonts w:ascii="Times New Roman" w:hAnsi="Times New Roman" w:cs="Times New Roman"/>
          <w:sz w:val="24"/>
          <w:szCs w:val="24"/>
        </w:rPr>
        <w:t>cases, for those of you who might need a refresh</w:t>
      </w:r>
      <w:r w:rsidR="00113983" w:rsidRPr="00DC0273">
        <w:rPr>
          <w:rFonts w:ascii="Times New Roman" w:hAnsi="Times New Roman" w:cs="Times New Roman"/>
          <w:sz w:val="24"/>
          <w:szCs w:val="24"/>
        </w:rPr>
        <w:t>er</w:t>
      </w:r>
      <w:r w:rsidRPr="00DC0273">
        <w:rPr>
          <w:rFonts w:ascii="Times New Roman" w:hAnsi="Times New Roman" w:cs="Times New Roman"/>
          <w:sz w:val="24"/>
          <w:szCs w:val="24"/>
        </w:rPr>
        <w:t xml:space="preserve">, were against electricity companies for breach of common law and statutory duties such as failure to replace </w:t>
      </w:r>
      <w:proofErr w:type="spellStart"/>
      <w:r w:rsidRPr="00DC0273">
        <w:rPr>
          <w:rFonts w:ascii="Times New Roman" w:hAnsi="Times New Roman" w:cs="Times New Roman"/>
          <w:sz w:val="24"/>
          <w:szCs w:val="24"/>
        </w:rPr>
        <w:t>powerlines</w:t>
      </w:r>
      <w:proofErr w:type="spellEnd"/>
      <w:r w:rsidRPr="00DC0273">
        <w:rPr>
          <w:rFonts w:ascii="Times New Roman" w:hAnsi="Times New Roman" w:cs="Times New Roman"/>
          <w:sz w:val="24"/>
          <w:szCs w:val="24"/>
        </w:rPr>
        <w:t>.  There were also ca</w:t>
      </w:r>
      <w:r w:rsidR="00E3147E" w:rsidRPr="00DC0273">
        <w:rPr>
          <w:rFonts w:ascii="Times New Roman" w:hAnsi="Times New Roman" w:cs="Times New Roman"/>
          <w:sz w:val="24"/>
          <w:szCs w:val="24"/>
        </w:rPr>
        <w:t>ses against government agencies, the Country Fire Authority and Victoria Police and other</w:t>
      </w:r>
      <w:r w:rsidR="00113983" w:rsidRPr="00DC0273">
        <w:rPr>
          <w:rFonts w:ascii="Times New Roman" w:hAnsi="Times New Roman" w:cs="Times New Roman"/>
          <w:sz w:val="24"/>
          <w:szCs w:val="24"/>
        </w:rPr>
        <w:t>s.</w:t>
      </w:r>
    </w:p>
    <w:p w14:paraId="236C6F6A" w14:textId="6BB8D721" w:rsidR="00DD7C86" w:rsidRPr="00DC0273" w:rsidRDefault="00DD7C86" w:rsidP="00905BC2">
      <w:pPr>
        <w:spacing w:after="0" w:line="276" w:lineRule="auto"/>
        <w:ind w:firstLine="720"/>
        <w:jc w:val="both"/>
        <w:rPr>
          <w:rFonts w:ascii="Times New Roman" w:hAnsi="Times New Roman" w:cs="Times New Roman"/>
          <w:sz w:val="24"/>
          <w:szCs w:val="24"/>
        </w:rPr>
      </w:pPr>
    </w:p>
    <w:p w14:paraId="11FAF2E1" w14:textId="5FF2E4CF" w:rsidR="00DF2231" w:rsidRPr="00DC0273" w:rsidRDefault="00E3147E"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There were six class actions across Victoria arising from Black Saturday – and remember, these bushfires took the lives of 173 people and injured over 1,000 people</w:t>
      </w:r>
      <w:r w:rsidR="000C75D2" w:rsidRPr="00DC0273">
        <w:rPr>
          <w:rFonts w:ascii="Times New Roman" w:hAnsi="Times New Roman" w:cs="Times New Roman"/>
          <w:sz w:val="24"/>
          <w:szCs w:val="24"/>
        </w:rPr>
        <w:t xml:space="preserve">, and 5,600 homes and other </w:t>
      </w:r>
      <w:r w:rsidR="000C75D2" w:rsidRPr="00DC0273">
        <w:rPr>
          <w:rFonts w:ascii="Times New Roman" w:hAnsi="Times New Roman" w:cs="Times New Roman"/>
          <w:sz w:val="24"/>
          <w:szCs w:val="24"/>
        </w:rPr>
        <w:lastRenderedPageBreak/>
        <w:t>structures were destroyed.  The largest and most complex was</w:t>
      </w:r>
      <w:r w:rsidR="00530465" w:rsidRPr="00DC0273">
        <w:rPr>
          <w:rFonts w:ascii="Times New Roman" w:hAnsi="Times New Roman" w:cs="Times New Roman"/>
          <w:sz w:val="24"/>
          <w:szCs w:val="24"/>
        </w:rPr>
        <w:t xml:space="preserve"> the </w:t>
      </w:r>
      <w:r w:rsidR="000C75D2" w:rsidRPr="00DC0273">
        <w:rPr>
          <w:rFonts w:ascii="Times New Roman" w:hAnsi="Times New Roman" w:cs="Times New Roman"/>
          <w:sz w:val="24"/>
          <w:szCs w:val="24"/>
        </w:rPr>
        <w:t>Kilmore East</w:t>
      </w:r>
      <w:r w:rsidR="00530465" w:rsidRPr="00DC0273">
        <w:rPr>
          <w:rFonts w:ascii="Times New Roman" w:hAnsi="Times New Roman" w:cs="Times New Roman"/>
          <w:sz w:val="24"/>
          <w:szCs w:val="24"/>
        </w:rPr>
        <w:t xml:space="preserve"> class action.</w:t>
      </w:r>
      <w:r w:rsidR="007A582A" w:rsidRPr="00DC0273">
        <w:rPr>
          <w:rFonts w:ascii="Times New Roman" w:hAnsi="Times New Roman" w:cs="Times New Roman"/>
          <w:sz w:val="24"/>
          <w:szCs w:val="24"/>
        </w:rPr>
        <w:t xml:space="preserve"> I</w:t>
      </w:r>
      <w:r w:rsidR="00DF2231" w:rsidRPr="00DC0273">
        <w:rPr>
          <w:rFonts w:ascii="Times New Roman" w:hAnsi="Times New Roman" w:cs="Times New Roman"/>
          <w:sz w:val="24"/>
          <w:szCs w:val="24"/>
        </w:rPr>
        <w:t>t was an extraordinary challenge for the Court.</w:t>
      </w:r>
    </w:p>
    <w:p w14:paraId="63444C25"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4E2A204D" w14:textId="51951B0E" w:rsidR="00DD7C86" w:rsidRPr="00DC0273" w:rsidRDefault="00DF223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fire itself at Kilmore East took 119 lives and there were claims against SPI Electricity</w:t>
      </w:r>
      <w:r w:rsidR="00113983" w:rsidRPr="00DC0273">
        <w:rPr>
          <w:rFonts w:ascii="Times New Roman" w:hAnsi="Times New Roman" w:cs="Times New Roman"/>
          <w:sz w:val="24"/>
          <w:szCs w:val="24"/>
        </w:rPr>
        <w:t xml:space="preserve"> and </w:t>
      </w:r>
      <w:r w:rsidRPr="00DC0273">
        <w:rPr>
          <w:rFonts w:ascii="Times New Roman" w:hAnsi="Times New Roman" w:cs="Times New Roman"/>
          <w:sz w:val="24"/>
          <w:szCs w:val="24"/>
        </w:rPr>
        <w:t>government agencies</w:t>
      </w:r>
      <w:r w:rsidR="00113983" w:rsidRPr="00DC0273">
        <w:rPr>
          <w:rFonts w:ascii="Times New Roman" w:hAnsi="Times New Roman" w:cs="Times New Roman"/>
          <w:sz w:val="24"/>
          <w:szCs w:val="24"/>
        </w:rPr>
        <w:t>.  T</w:t>
      </w:r>
      <w:r w:rsidRPr="00DC0273">
        <w:rPr>
          <w:rFonts w:ascii="Times New Roman" w:hAnsi="Times New Roman" w:cs="Times New Roman"/>
          <w:sz w:val="24"/>
          <w:szCs w:val="24"/>
        </w:rPr>
        <w:t xml:space="preserve">here were concurrent cases </w:t>
      </w:r>
      <w:r w:rsidR="00113983" w:rsidRPr="00DC0273">
        <w:rPr>
          <w:rFonts w:ascii="Times New Roman" w:hAnsi="Times New Roman" w:cs="Times New Roman"/>
          <w:sz w:val="24"/>
          <w:szCs w:val="24"/>
        </w:rPr>
        <w:t xml:space="preserve">with </w:t>
      </w:r>
      <w:r w:rsidRPr="00DC0273">
        <w:rPr>
          <w:rFonts w:ascii="Times New Roman" w:hAnsi="Times New Roman" w:cs="Times New Roman"/>
          <w:sz w:val="24"/>
          <w:szCs w:val="24"/>
        </w:rPr>
        <w:t>principal parties selected</w:t>
      </w:r>
      <w:r w:rsidR="00113983" w:rsidRPr="00DC0273">
        <w:rPr>
          <w:rFonts w:ascii="Times New Roman" w:hAnsi="Times New Roman" w:cs="Times New Roman"/>
          <w:sz w:val="24"/>
          <w:szCs w:val="24"/>
        </w:rPr>
        <w:t xml:space="preserve"> to represent others</w:t>
      </w:r>
      <w:r w:rsidR="00530465" w:rsidRPr="00DC0273">
        <w:rPr>
          <w:rFonts w:ascii="Times New Roman" w:hAnsi="Times New Roman" w:cs="Times New Roman"/>
          <w:sz w:val="24"/>
          <w:szCs w:val="24"/>
        </w:rPr>
        <w:t>.  The trial</w:t>
      </w:r>
      <w:r w:rsidRPr="00DC0273">
        <w:rPr>
          <w:rFonts w:ascii="Times New Roman" w:hAnsi="Times New Roman" w:cs="Times New Roman"/>
          <w:sz w:val="24"/>
          <w:szCs w:val="24"/>
        </w:rPr>
        <w:t xml:space="preserve"> commenced on 30 March 2013</w:t>
      </w:r>
      <w:r w:rsidR="00113983" w:rsidRPr="00DC0273">
        <w:rPr>
          <w:rFonts w:ascii="Times New Roman" w:hAnsi="Times New Roman" w:cs="Times New Roman"/>
          <w:sz w:val="24"/>
          <w:szCs w:val="24"/>
        </w:rPr>
        <w:t xml:space="preserve"> and </w:t>
      </w:r>
      <w:r w:rsidRPr="00DC0273">
        <w:rPr>
          <w:rFonts w:ascii="Times New Roman" w:hAnsi="Times New Roman" w:cs="Times New Roman"/>
          <w:sz w:val="24"/>
          <w:szCs w:val="24"/>
        </w:rPr>
        <w:t>ran for 208 days.  It had 26 counsel, hundreds of solicitors, 26 pre-trial directions hearings, 34 pre-trial in-court applications, 83 orders, over 21,000 pages of transcript, 40 expert witnesses, 60 lay witnesses, 400 pages of pleadings, 700 pages of opening</w:t>
      </w:r>
      <w:r w:rsidR="00113983" w:rsidRPr="00DC0273">
        <w:rPr>
          <w:rFonts w:ascii="Times New Roman" w:hAnsi="Times New Roman" w:cs="Times New Roman"/>
          <w:sz w:val="24"/>
          <w:szCs w:val="24"/>
        </w:rPr>
        <w:t xml:space="preserve"> submissions, 23,000 documents i</w:t>
      </w:r>
      <w:r w:rsidRPr="00DC0273">
        <w:rPr>
          <w:rFonts w:ascii="Times New Roman" w:hAnsi="Times New Roman" w:cs="Times New Roman"/>
          <w:sz w:val="24"/>
          <w:szCs w:val="24"/>
        </w:rPr>
        <w:t xml:space="preserve">n the electronic court book, and 500 pages of closing submissions.    </w:t>
      </w:r>
    </w:p>
    <w:p w14:paraId="4126034A"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6A58F523" w14:textId="5543A531" w:rsidR="0071575D" w:rsidRPr="00DC0273" w:rsidRDefault="00DF223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case ran extraordinarily successfully, for a number of reasons</w:t>
      </w:r>
      <w:r w:rsidR="00530465" w:rsidRPr="00DC0273">
        <w:rPr>
          <w:rFonts w:ascii="Times New Roman" w:hAnsi="Times New Roman" w:cs="Times New Roman"/>
          <w:sz w:val="24"/>
          <w:szCs w:val="24"/>
        </w:rPr>
        <w:t>,</w:t>
      </w:r>
      <w:r w:rsidR="007A582A" w:rsidRPr="00DC0273">
        <w:rPr>
          <w:rFonts w:ascii="Times New Roman" w:hAnsi="Times New Roman" w:cs="Times New Roman"/>
          <w:sz w:val="24"/>
          <w:szCs w:val="24"/>
        </w:rPr>
        <w:t xml:space="preserve"> one being that t</w:t>
      </w:r>
      <w:r w:rsidRPr="00DC0273">
        <w:rPr>
          <w:rFonts w:ascii="Times New Roman" w:hAnsi="Times New Roman" w:cs="Times New Roman"/>
          <w:sz w:val="24"/>
          <w:szCs w:val="24"/>
        </w:rPr>
        <w:t xml:space="preserve">he judge utilised the provisions of the </w:t>
      </w:r>
      <w:r w:rsidRPr="00DC0273">
        <w:rPr>
          <w:rFonts w:ascii="Times New Roman" w:hAnsi="Times New Roman" w:cs="Times New Roman"/>
          <w:i/>
          <w:sz w:val="24"/>
          <w:szCs w:val="24"/>
        </w:rPr>
        <w:t>Civil Procedure Act</w:t>
      </w:r>
      <w:r w:rsidR="00DD7C86" w:rsidRPr="00DC0273">
        <w:rPr>
          <w:rFonts w:ascii="Times New Roman" w:hAnsi="Times New Roman" w:cs="Times New Roman"/>
          <w:sz w:val="24"/>
          <w:szCs w:val="24"/>
        </w:rPr>
        <w:t xml:space="preserve"> extensively</w:t>
      </w:r>
      <w:r w:rsidRPr="00DC0273">
        <w:rPr>
          <w:rFonts w:ascii="Times New Roman" w:hAnsi="Times New Roman" w:cs="Times New Roman"/>
          <w:sz w:val="24"/>
          <w:szCs w:val="24"/>
        </w:rPr>
        <w:t xml:space="preserve">.  A </w:t>
      </w:r>
      <w:r w:rsidR="00113983" w:rsidRPr="00DC0273">
        <w:rPr>
          <w:rFonts w:ascii="Times New Roman" w:hAnsi="Times New Roman" w:cs="Times New Roman"/>
          <w:sz w:val="24"/>
          <w:szCs w:val="24"/>
        </w:rPr>
        <w:t xml:space="preserve">series </w:t>
      </w:r>
      <w:r w:rsidRPr="00DC0273">
        <w:rPr>
          <w:rFonts w:ascii="Times New Roman" w:hAnsi="Times New Roman" w:cs="Times New Roman"/>
          <w:sz w:val="24"/>
          <w:szCs w:val="24"/>
        </w:rPr>
        <w:t xml:space="preserve">of rulings were delivered by </w:t>
      </w:r>
      <w:r w:rsidR="007A582A" w:rsidRPr="00DC0273">
        <w:rPr>
          <w:rFonts w:ascii="Times New Roman" w:hAnsi="Times New Roman" w:cs="Times New Roman"/>
          <w:sz w:val="24"/>
          <w:szCs w:val="24"/>
        </w:rPr>
        <w:t xml:space="preserve">J </w:t>
      </w:r>
      <w:r w:rsidRPr="00DC0273">
        <w:rPr>
          <w:rFonts w:ascii="Times New Roman" w:hAnsi="Times New Roman" w:cs="Times New Roman"/>
          <w:sz w:val="24"/>
          <w:szCs w:val="24"/>
        </w:rPr>
        <w:t xml:space="preserve">Forrest J which are available on the </w:t>
      </w:r>
      <w:r w:rsidR="00113983" w:rsidRPr="00DC0273">
        <w:rPr>
          <w:rFonts w:ascii="Times New Roman" w:hAnsi="Times New Roman" w:cs="Times New Roman"/>
          <w:sz w:val="24"/>
          <w:szCs w:val="24"/>
        </w:rPr>
        <w:t xml:space="preserve">Supreme </w:t>
      </w:r>
      <w:r w:rsidRPr="00DC0273">
        <w:rPr>
          <w:rFonts w:ascii="Times New Roman" w:hAnsi="Times New Roman" w:cs="Times New Roman"/>
          <w:sz w:val="24"/>
          <w:szCs w:val="24"/>
        </w:rPr>
        <w:t xml:space="preserve">Court </w:t>
      </w:r>
      <w:r w:rsidR="00113983" w:rsidRPr="00DC0273">
        <w:rPr>
          <w:rFonts w:ascii="Times New Roman" w:hAnsi="Times New Roman" w:cs="Times New Roman"/>
          <w:sz w:val="24"/>
          <w:szCs w:val="24"/>
        </w:rPr>
        <w:t xml:space="preserve">and Judicial College </w:t>
      </w:r>
      <w:r w:rsidR="00530465" w:rsidRPr="00DC0273">
        <w:rPr>
          <w:rFonts w:ascii="Times New Roman" w:hAnsi="Times New Roman" w:cs="Times New Roman"/>
          <w:sz w:val="24"/>
          <w:szCs w:val="24"/>
        </w:rPr>
        <w:t xml:space="preserve">of Victoria </w:t>
      </w:r>
      <w:r w:rsidRPr="00DC0273">
        <w:rPr>
          <w:rFonts w:ascii="Times New Roman" w:hAnsi="Times New Roman" w:cs="Times New Roman"/>
          <w:sz w:val="24"/>
          <w:szCs w:val="24"/>
        </w:rPr>
        <w:t>website</w:t>
      </w:r>
      <w:r w:rsidR="00113983" w:rsidRPr="00DC0273">
        <w:rPr>
          <w:rFonts w:ascii="Times New Roman" w:hAnsi="Times New Roman" w:cs="Times New Roman"/>
          <w:sz w:val="24"/>
          <w:szCs w:val="24"/>
        </w:rPr>
        <w:t>s</w:t>
      </w:r>
      <w:r w:rsidRPr="00DC0273">
        <w:rPr>
          <w:rFonts w:ascii="Times New Roman" w:hAnsi="Times New Roman" w:cs="Times New Roman"/>
          <w:sz w:val="24"/>
          <w:szCs w:val="24"/>
        </w:rPr>
        <w:t>, which demonstrate the effectiveness of the legislation.</w:t>
      </w:r>
    </w:p>
    <w:p w14:paraId="71C135F3"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10BE1677" w14:textId="056C06DB" w:rsidR="00C87EB2" w:rsidRPr="00DC0273" w:rsidRDefault="00DF223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Secondly, and it was an absolute key to the success of the </w:t>
      </w:r>
      <w:r w:rsidR="00113983" w:rsidRPr="00DC0273">
        <w:rPr>
          <w:rFonts w:ascii="Times New Roman" w:hAnsi="Times New Roman" w:cs="Times New Roman"/>
          <w:sz w:val="24"/>
          <w:szCs w:val="24"/>
        </w:rPr>
        <w:t xml:space="preserve">management of the </w:t>
      </w:r>
      <w:r w:rsidRPr="00DC0273">
        <w:rPr>
          <w:rFonts w:ascii="Times New Roman" w:hAnsi="Times New Roman" w:cs="Times New Roman"/>
          <w:sz w:val="24"/>
          <w:szCs w:val="24"/>
        </w:rPr>
        <w:t xml:space="preserve">litigation, was the </w:t>
      </w:r>
      <w:r w:rsidR="00113983" w:rsidRPr="00DC0273">
        <w:rPr>
          <w:rFonts w:ascii="Times New Roman" w:hAnsi="Times New Roman" w:cs="Times New Roman"/>
          <w:sz w:val="24"/>
          <w:szCs w:val="24"/>
        </w:rPr>
        <w:t xml:space="preserve">use </w:t>
      </w:r>
      <w:r w:rsidRPr="00DC0273">
        <w:rPr>
          <w:rFonts w:ascii="Times New Roman" w:hAnsi="Times New Roman" w:cs="Times New Roman"/>
          <w:sz w:val="24"/>
          <w:szCs w:val="24"/>
        </w:rPr>
        <w:t xml:space="preserve">of technology.  </w:t>
      </w:r>
      <w:r w:rsidR="00113983" w:rsidRPr="00DC0273">
        <w:rPr>
          <w:rFonts w:ascii="Times New Roman" w:hAnsi="Times New Roman" w:cs="Times New Roman"/>
          <w:sz w:val="24"/>
          <w:szCs w:val="24"/>
        </w:rPr>
        <w:t xml:space="preserve">The judge </w:t>
      </w:r>
      <w:r w:rsidRPr="00DC0273">
        <w:rPr>
          <w:rFonts w:ascii="Times New Roman" w:hAnsi="Times New Roman" w:cs="Times New Roman"/>
          <w:sz w:val="24"/>
          <w:szCs w:val="24"/>
        </w:rPr>
        <w:t>ran the case as a wholly electronic trial.  Trolleys were banned</w:t>
      </w:r>
      <w:r w:rsidR="00113983" w:rsidRPr="00DC0273">
        <w:rPr>
          <w:rFonts w:ascii="Times New Roman" w:hAnsi="Times New Roman" w:cs="Times New Roman"/>
          <w:sz w:val="24"/>
          <w:szCs w:val="24"/>
        </w:rPr>
        <w:t xml:space="preserve"> by judicial edict</w:t>
      </w:r>
      <w:r w:rsidRPr="00DC0273">
        <w:rPr>
          <w:rFonts w:ascii="Times New Roman" w:hAnsi="Times New Roman" w:cs="Times New Roman"/>
          <w:sz w:val="24"/>
          <w:szCs w:val="24"/>
        </w:rPr>
        <w:t>.  Occasionally, a folder would find its way in</w:t>
      </w:r>
      <w:r w:rsidR="00113983" w:rsidRPr="00DC0273">
        <w:rPr>
          <w:rFonts w:ascii="Times New Roman" w:hAnsi="Times New Roman" w:cs="Times New Roman"/>
          <w:sz w:val="24"/>
          <w:szCs w:val="24"/>
        </w:rPr>
        <w:t>to the courtroom</w:t>
      </w:r>
      <w:r w:rsidR="00530465" w:rsidRPr="00DC0273">
        <w:rPr>
          <w:rFonts w:ascii="Times New Roman" w:hAnsi="Times New Roman" w:cs="Times New Roman"/>
          <w:sz w:val="24"/>
          <w:szCs w:val="24"/>
        </w:rPr>
        <w:t>;</w:t>
      </w:r>
      <w:r w:rsidR="00C87EB2" w:rsidRPr="00DC0273">
        <w:rPr>
          <w:rFonts w:ascii="Times New Roman" w:hAnsi="Times New Roman" w:cs="Times New Roman"/>
          <w:sz w:val="24"/>
          <w:szCs w:val="24"/>
        </w:rPr>
        <w:t xml:space="preserve"> perhaps i</w:t>
      </w:r>
      <w:r w:rsidRPr="00DC0273">
        <w:rPr>
          <w:rFonts w:ascii="Times New Roman" w:hAnsi="Times New Roman" w:cs="Times New Roman"/>
          <w:sz w:val="24"/>
          <w:szCs w:val="24"/>
        </w:rPr>
        <w:t xml:space="preserve">f a barrister was cross-examining an individual </w:t>
      </w:r>
      <w:r w:rsidR="00113983" w:rsidRPr="00DC0273">
        <w:rPr>
          <w:rFonts w:ascii="Times New Roman" w:hAnsi="Times New Roman" w:cs="Times New Roman"/>
          <w:sz w:val="24"/>
          <w:szCs w:val="24"/>
        </w:rPr>
        <w:t xml:space="preserve">the judge </w:t>
      </w:r>
      <w:r w:rsidRPr="00DC0273">
        <w:rPr>
          <w:rFonts w:ascii="Times New Roman" w:hAnsi="Times New Roman" w:cs="Times New Roman"/>
          <w:sz w:val="24"/>
          <w:szCs w:val="24"/>
        </w:rPr>
        <w:t xml:space="preserve">would be tolerant.  But it was </w:t>
      </w:r>
      <w:r w:rsidR="00530465" w:rsidRPr="00DC0273">
        <w:rPr>
          <w:rFonts w:ascii="Times New Roman" w:hAnsi="Times New Roman" w:cs="Times New Roman"/>
          <w:sz w:val="24"/>
          <w:szCs w:val="24"/>
        </w:rPr>
        <w:t xml:space="preserve">essentially </w:t>
      </w:r>
      <w:r w:rsidRPr="00DC0273">
        <w:rPr>
          <w:rFonts w:ascii="Times New Roman" w:hAnsi="Times New Roman" w:cs="Times New Roman"/>
          <w:sz w:val="24"/>
          <w:szCs w:val="24"/>
        </w:rPr>
        <w:t>a paper-free trial.  It was conducted in a special courtroom built for that purpose in th</w:t>
      </w:r>
      <w:r w:rsidR="00530465" w:rsidRPr="00DC0273">
        <w:rPr>
          <w:rFonts w:ascii="Times New Roman" w:hAnsi="Times New Roman" w:cs="Times New Roman"/>
          <w:sz w:val="24"/>
          <w:szCs w:val="24"/>
        </w:rPr>
        <w:t>e William Cooper Justice Centre, and i</w:t>
      </w:r>
      <w:r w:rsidRPr="00DC0273">
        <w:rPr>
          <w:rFonts w:ascii="Times New Roman" w:hAnsi="Times New Roman" w:cs="Times New Roman"/>
          <w:sz w:val="24"/>
          <w:szCs w:val="24"/>
        </w:rPr>
        <w:t>t is a model</w:t>
      </w:r>
      <w:r w:rsidR="00211543" w:rsidRPr="00DC0273">
        <w:rPr>
          <w:rFonts w:ascii="Times New Roman" w:hAnsi="Times New Roman" w:cs="Times New Roman"/>
          <w:sz w:val="24"/>
          <w:szCs w:val="24"/>
        </w:rPr>
        <w:t xml:space="preserve"> proceeding</w:t>
      </w:r>
      <w:r w:rsidRPr="00DC0273">
        <w:rPr>
          <w:rFonts w:ascii="Times New Roman" w:hAnsi="Times New Roman" w:cs="Times New Roman"/>
          <w:sz w:val="24"/>
          <w:szCs w:val="24"/>
        </w:rPr>
        <w:t xml:space="preserve">.  It demonstrates that if courts are provided with the facilities, if they are given the tools, they </w:t>
      </w:r>
      <w:r w:rsidR="00211543" w:rsidRPr="00DC0273">
        <w:rPr>
          <w:rFonts w:ascii="Times New Roman" w:hAnsi="Times New Roman" w:cs="Times New Roman"/>
          <w:sz w:val="24"/>
          <w:szCs w:val="24"/>
        </w:rPr>
        <w:t xml:space="preserve">can </w:t>
      </w:r>
      <w:r w:rsidRPr="00DC0273">
        <w:rPr>
          <w:rFonts w:ascii="Times New Roman" w:hAnsi="Times New Roman" w:cs="Times New Roman"/>
          <w:sz w:val="24"/>
          <w:szCs w:val="24"/>
        </w:rPr>
        <w:t>conduct litigation in a wholly innovative way.</w:t>
      </w:r>
      <w:r w:rsidR="00113983" w:rsidRPr="00DC0273">
        <w:rPr>
          <w:rFonts w:ascii="Times New Roman" w:hAnsi="Times New Roman" w:cs="Times New Roman"/>
          <w:sz w:val="24"/>
          <w:szCs w:val="24"/>
        </w:rPr>
        <w:t xml:space="preserve">  </w:t>
      </w:r>
    </w:p>
    <w:p w14:paraId="61E14B74" w14:textId="77777777" w:rsidR="00C87EB2" w:rsidRPr="00DC0273" w:rsidRDefault="00C87EB2" w:rsidP="00905BC2">
      <w:pPr>
        <w:spacing w:after="0" w:line="276" w:lineRule="auto"/>
        <w:ind w:firstLine="720"/>
        <w:jc w:val="both"/>
        <w:rPr>
          <w:rFonts w:ascii="Times New Roman" w:hAnsi="Times New Roman" w:cs="Times New Roman"/>
          <w:sz w:val="24"/>
          <w:szCs w:val="24"/>
        </w:rPr>
      </w:pPr>
    </w:p>
    <w:p w14:paraId="1C3F9D3F" w14:textId="2627A5AA" w:rsidR="00DF2231" w:rsidRPr="00DC0273" w:rsidRDefault="00113983"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Independent assessments conducted for the court disclose that approximately one third of the </w:t>
      </w:r>
      <w:r w:rsidR="00C87EB2" w:rsidRPr="00DC0273">
        <w:rPr>
          <w:rFonts w:ascii="Times New Roman" w:hAnsi="Times New Roman" w:cs="Times New Roman"/>
          <w:sz w:val="24"/>
          <w:szCs w:val="24"/>
        </w:rPr>
        <w:t xml:space="preserve">class action </w:t>
      </w:r>
      <w:r w:rsidRPr="00DC0273">
        <w:rPr>
          <w:rFonts w:ascii="Times New Roman" w:hAnsi="Times New Roman" w:cs="Times New Roman"/>
          <w:sz w:val="24"/>
          <w:szCs w:val="24"/>
        </w:rPr>
        <w:t>trials</w:t>
      </w:r>
      <w:r w:rsidR="00211543" w:rsidRPr="00DC0273">
        <w:rPr>
          <w:rFonts w:ascii="Times New Roman" w:hAnsi="Times New Roman" w:cs="Times New Roman"/>
          <w:sz w:val="24"/>
          <w:szCs w:val="24"/>
        </w:rPr>
        <w:t>’</w:t>
      </w:r>
      <w:r w:rsidRPr="00DC0273">
        <w:rPr>
          <w:rFonts w:ascii="Times New Roman" w:hAnsi="Times New Roman" w:cs="Times New Roman"/>
          <w:sz w:val="24"/>
          <w:szCs w:val="24"/>
        </w:rPr>
        <w:t xml:space="preserve"> duration was saved by the trials being conducted on a wholly electronic basis.</w:t>
      </w:r>
    </w:p>
    <w:p w14:paraId="20AE219C" w14:textId="77777777" w:rsidR="00113983" w:rsidRPr="00DC0273" w:rsidRDefault="00113983" w:rsidP="00905BC2">
      <w:pPr>
        <w:spacing w:after="0" w:line="276" w:lineRule="auto"/>
        <w:ind w:firstLine="720"/>
        <w:jc w:val="both"/>
        <w:rPr>
          <w:rFonts w:ascii="Times New Roman" w:hAnsi="Times New Roman" w:cs="Times New Roman"/>
          <w:sz w:val="24"/>
          <w:szCs w:val="24"/>
        </w:rPr>
      </w:pPr>
    </w:p>
    <w:p w14:paraId="4F803800" w14:textId="2949E18B" w:rsidR="00DF2231" w:rsidRPr="00DC0273" w:rsidRDefault="00DF223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model applied in the Kilmore East trial has been emulated subsequently in other cases.  We now have multitudinous class actions on the books in the Supreme Court.  We need to run them electronically </w:t>
      </w:r>
      <w:r w:rsidR="00113983" w:rsidRPr="00DC0273">
        <w:rPr>
          <w:rFonts w:ascii="Times New Roman" w:hAnsi="Times New Roman" w:cs="Times New Roman"/>
          <w:sz w:val="24"/>
          <w:szCs w:val="24"/>
        </w:rPr>
        <w:t xml:space="preserve">so far as possible </w:t>
      </w:r>
      <w:r w:rsidRPr="00DC0273">
        <w:rPr>
          <w:rFonts w:ascii="Times New Roman" w:hAnsi="Times New Roman" w:cs="Times New Roman"/>
          <w:sz w:val="24"/>
          <w:szCs w:val="24"/>
        </w:rPr>
        <w:t xml:space="preserve">and we are utilising </w:t>
      </w:r>
      <w:proofErr w:type="gramStart"/>
      <w:r w:rsidRPr="00DC0273">
        <w:rPr>
          <w:rFonts w:ascii="Times New Roman" w:hAnsi="Times New Roman" w:cs="Times New Roman"/>
          <w:sz w:val="24"/>
          <w:szCs w:val="24"/>
        </w:rPr>
        <w:t xml:space="preserve">the </w:t>
      </w:r>
      <w:r w:rsidR="00C87EB2" w:rsidRPr="00DC0273">
        <w:rPr>
          <w:rFonts w:ascii="Times New Roman" w:hAnsi="Times New Roman" w:cs="Times New Roman"/>
          <w:sz w:val="24"/>
          <w:szCs w:val="24"/>
        </w:rPr>
        <w:t xml:space="preserve"> Great</w:t>
      </w:r>
      <w:proofErr w:type="gramEnd"/>
      <w:r w:rsidR="00C87EB2" w:rsidRPr="00DC0273">
        <w:rPr>
          <w:rFonts w:ascii="Times New Roman" w:hAnsi="Times New Roman" w:cs="Times New Roman"/>
          <w:sz w:val="24"/>
          <w:szCs w:val="24"/>
        </w:rPr>
        <w:t xml:space="preserve"> Southern and </w:t>
      </w:r>
      <w:r w:rsidRPr="00DC0273">
        <w:rPr>
          <w:rFonts w:ascii="Times New Roman" w:hAnsi="Times New Roman" w:cs="Times New Roman"/>
          <w:sz w:val="24"/>
          <w:szCs w:val="24"/>
        </w:rPr>
        <w:t>Kilmore East model</w:t>
      </w:r>
      <w:r w:rsidR="00C87EB2" w:rsidRPr="00DC0273">
        <w:rPr>
          <w:rFonts w:ascii="Times New Roman" w:hAnsi="Times New Roman" w:cs="Times New Roman"/>
          <w:sz w:val="24"/>
          <w:szCs w:val="24"/>
        </w:rPr>
        <w:t>s</w:t>
      </w:r>
      <w:r w:rsidRPr="00DC0273">
        <w:rPr>
          <w:rFonts w:ascii="Times New Roman" w:hAnsi="Times New Roman" w:cs="Times New Roman"/>
          <w:sz w:val="24"/>
          <w:szCs w:val="24"/>
        </w:rPr>
        <w:t xml:space="preserve"> for that purpose.  </w:t>
      </w:r>
      <w:r w:rsidR="00113983" w:rsidRPr="00DC0273">
        <w:rPr>
          <w:rFonts w:ascii="Times New Roman" w:hAnsi="Times New Roman" w:cs="Times New Roman"/>
          <w:sz w:val="24"/>
          <w:szCs w:val="24"/>
        </w:rPr>
        <w:t>For completion, I mention that</w:t>
      </w:r>
      <w:r w:rsidR="00767D06" w:rsidRPr="00DC0273">
        <w:rPr>
          <w:rFonts w:ascii="Times New Roman" w:hAnsi="Times New Roman" w:cs="Times New Roman"/>
          <w:sz w:val="24"/>
          <w:szCs w:val="24"/>
        </w:rPr>
        <w:t>, u</w:t>
      </w:r>
      <w:r w:rsidRPr="00DC0273">
        <w:rPr>
          <w:rFonts w:ascii="Times New Roman" w:hAnsi="Times New Roman" w:cs="Times New Roman"/>
          <w:sz w:val="24"/>
          <w:szCs w:val="24"/>
        </w:rPr>
        <w:t xml:space="preserve">ltimately, after </w:t>
      </w:r>
      <w:r w:rsidR="00113983" w:rsidRPr="00DC0273">
        <w:rPr>
          <w:rFonts w:ascii="Times New Roman" w:hAnsi="Times New Roman" w:cs="Times New Roman"/>
          <w:sz w:val="24"/>
          <w:szCs w:val="24"/>
        </w:rPr>
        <w:t xml:space="preserve">the judge </w:t>
      </w:r>
      <w:r w:rsidR="00C87EB2" w:rsidRPr="00DC0273">
        <w:rPr>
          <w:rFonts w:ascii="Times New Roman" w:hAnsi="Times New Roman" w:cs="Times New Roman"/>
          <w:sz w:val="24"/>
          <w:szCs w:val="24"/>
        </w:rPr>
        <w:t>in Kilmore East</w:t>
      </w:r>
      <w:r w:rsidR="00C87EB2" w:rsidRPr="00DC0273">
        <w:rPr>
          <w:rFonts w:ascii="Times New Roman" w:hAnsi="Times New Roman" w:cs="Times New Roman"/>
          <w:i/>
          <w:sz w:val="24"/>
          <w:szCs w:val="24"/>
        </w:rPr>
        <w:t xml:space="preserve"> </w:t>
      </w:r>
      <w:r w:rsidRPr="00DC0273">
        <w:rPr>
          <w:rFonts w:ascii="Times New Roman" w:hAnsi="Times New Roman" w:cs="Times New Roman"/>
          <w:sz w:val="24"/>
          <w:szCs w:val="24"/>
        </w:rPr>
        <w:t xml:space="preserve">had reserved judgment the case </w:t>
      </w:r>
      <w:r w:rsidR="00C87EB2" w:rsidRPr="00DC0273">
        <w:rPr>
          <w:rFonts w:ascii="Times New Roman" w:hAnsi="Times New Roman" w:cs="Times New Roman"/>
          <w:sz w:val="24"/>
          <w:szCs w:val="24"/>
        </w:rPr>
        <w:t xml:space="preserve">also </w:t>
      </w:r>
      <w:r w:rsidRPr="00DC0273">
        <w:rPr>
          <w:rFonts w:ascii="Times New Roman" w:hAnsi="Times New Roman" w:cs="Times New Roman"/>
          <w:sz w:val="24"/>
          <w:szCs w:val="24"/>
        </w:rPr>
        <w:t>settled.</w:t>
      </w:r>
      <w:r w:rsidR="00767D06" w:rsidRPr="00DC0273">
        <w:rPr>
          <w:rFonts w:ascii="Times New Roman" w:hAnsi="Times New Roman" w:cs="Times New Roman"/>
          <w:sz w:val="24"/>
          <w:szCs w:val="24"/>
        </w:rPr>
        <w:t xml:space="preserve"> </w:t>
      </w:r>
    </w:p>
    <w:p w14:paraId="04F14819"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3767905E" w14:textId="5223FB21" w:rsidR="00DD7C86" w:rsidRPr="00DC0273" w:rsidRDefault="00DF223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With respect to other bushfire proceedings, most of those, save a couple which </w:t>
      </w:r>
      <w:r w:rsidR="000F30A7" w:rsidRPr="00DC0273">
        <w:rPr>
          <w:rFonts w:ascii="Times New Roman" w:hAnsi="Times New Roman" w:cs="Times New Roman"/>
          <w:sz w:val="24"/>
          <w:szCs w:val="24"/>
        </w:rPr>
        <w:t xml:space="preserve">remain </w:t>
      </w:r>
      <w:r w:rsidRPr="00DC0273">
        <w:rPr>
          <w:rFonts w:ascii="Times New Roman" w:hAnsi="Times New Roman" w:cs="Times New Roman"/>
          <w:sz w:val="24"/>
          <w:szCs w:val="24"/>
        </w:rPr>
        <w:t>on foot, have been r</w:t>
      </w:r>
      <w:r w:rsidR="00DD7C86" w:rsidRPr="00DC0273">
        <w:rPr>
          <w:rFonts w:ascii="Times New Roman" w:hAnsi="Times New Roman" w:cs="Times New Roman"/>
          <w:sz w:val="24"/>
          <w:szCs w:val="24"/>
        </w:rPr>
        <w:t>esolved through the use of the c</w:t>
      </w:r>
      <w:r w:rsidRPr="00DC0273">
        <w:rPr>
          <w:rFonts w:ascii="Times New Roman" w:hAnsi="Times New Roman" w:cs="Times New Roman"/>
          <w:sz w:val="24"/>
          <w:szCs w:val="24"/>
        </w:rPr>
        <w:t xml:space="preserve">ourt-led mediation.  </w:t>
      </w:r>
    </w:p>
    <w:p w14:paraId="1B1A4336"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1FCA3B35" w14:textId="066ACF26" w:rsidR="00DF2231" w:rsidRPr="00DC0273" w:rsidRDefault="000F30A7"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Courts </w:t>
      </w:r>
      <w:r w:rsidR="00DF2231" w:rsidRPr="00DC0273">
        <w:rPr>
          <w:rFonts w:ascii="Times New Roman" w:hAnsi="Times New Roman" w:cs="Times New Roman"/>
          <w:sz w:val="24"/>
          <w:szCs w:val="24"/>
        </w:rPr>
        <w:t>have come a long way in terms of how to manage these mega cases.</w:t>
      </w:r>
    </w:p>
    <w:p w14:paraId="2C4E1E99" w14:textId="77777777" w:rsidR="00DD7C86" w:rsidRPr="00DC0273" w:rsidRDefault="00DD7C86" w:rsidP="00905BC2">
      <w:pPr>
        <w:spacing w:after="0" w:line="276" w:lineRule="auto"/>
        <w:jc w:val="both"/>
        <w:rPr>
          <w:rFonts w:ascii="Times New Roman" w:hAnsi="Times New Roman" w:cs="Times New Roman"/>
          <w:sz w:val="24"/>
          <w:szCs w:val="24"/>
        </w:rPr>
      </w:pPr>
    </w:p>
    <w:p w14:paraId="4A99A205" w14:textId="004BE6E6" w:rsidR="000F30A7" w:rsidRPr="00DC0273" w:rsidRDefault="000F30A7"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Technology</w:t>
      </w:r>
    </w:p>
    <w:p w14:paraId="551DF6CC" w14:textId="77777777" w:rsidR="005C3C18" w:rsidRPr="00DC0273" w:rsidRDefault="005C3C18" w:rsidP="00905BC2">
      <w:pPr>
        <w:spacing w:after="0" w:line="276" w:lineRule="auto"/>
        <w:jc w:val="both"/>
        <w:rPr>
          <w:rFonts w:ascii="Times New Roman" w:hAnsi="Times New Roman" w:cs="Times New Roman"/>
          <w:b/>
          <w:sz w:val="24"/>
          <w:szCs w:val="24"/>
        </w:rPr>
      </w:pPr>
    </w:p>
    <w:p w14:paraId="4BF88BDA" w14:textId="31B62A8D" w:rsidR="00DD7C86" w:rsidRPr="00DC0273" w:rsidRDefault="00DF223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 want to turn now to technology, because what the courts are trying to do is link</w:t>
      </w:r>
      <w:r w:rsidR="00211543" w:rsidRPr="00DC0273">
        <w:rPr>
          <w:rFonts w:ascii="Times New Roman" w:hAnsi="Times New Roman" w:cs="Times New Roman"/>
          <w:sz w:val="24"/>
          <w:szCs w:val="24"/>
        </w:rPr>
        <w:t xml:space="preserve"> into</w:t>
      </w:r>
      <w:r w:rsidRPr="00DC0273">
        <w:rPr>
          <w:rFonts w:ascii="Times New Roman" w:hAnsi="Times New Roman" w:cs="Times New Roman"/>
          <w:sz w:val="24"/>
          <w:szCs w:val="24"/>
        </w:rPr>
        <w:t xml:space="preserve"> the needs of the law firms and litigants who are accustomed to operating electronically.  Many courts are moving to electronic filing and case management systems.  Much of the discovery process already occurs electronically.</w:t>
      </w:r>
      <w:r w:rsidR="000F30A7" w:rsidRPr="00DC0273">
        <w:rPr>
          <w:rStyle w:val="FootnoteReference"/>
          <w:rFonts w:ascii="Times New Roman" w:hAnsi="Times New Roman" w:cs="Times New Roman"/>
          <w:sz w:val="24"/>
          <w:szCs w:val="24"/>
        </w:rPr>
        <w:footnoteReference w:id="21"/>
      </w:r>
      <w:r w:rsidRPr="00DC0273">
        <w:rPr>
          <w:rFonts w:ascii="Times New Roman" w:hAnsi="Times New Roman" w:cs="Times New Roman"/>
          <w:sz w:val="24"/>
          <w:szCs w:val="24"/>
        </w:rPr>
        <w:t xml:space="preserve">  </w:t>
      </w:r>
    </w:p>
    <w:p w14:paraId="191A13D9"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187823A8" w14:textId="41C8E6FF" w:rsidR="00DF2231" w:rsidRPr="00DC0273" w:rsidRDefault="00DF2231"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lastRenderedPageBreak/>
        <w:t xml:space="preserve">To illustrate, </w:t>
      </w:r>
      <w:r w:rsidR="00211543" w:rsidRPr="00DC0273">
        <w:rPr>
          <w:rFonts w:ascii="Times New Roman" w:hAnsi="Times New Roman" w:cs="Times New Roman"/>
          <w:sz w:val="24"/>
          <w:szCs w:val="24"/>
        </w:rPr>
        <w:t xml:space="preserve">I will give </w:t>
      </w:r>
      <w:r w:rsidRPr="00DC0273">
        <w:rPr>
          <w:rFonts w:ascii="Times New Roman" w:hAnsi="Times New Roman" w:cs="Times New Roman"/>
          <w:sz w:val="24"/>
          <w:szCs w:val="24"/>
        </w:rPr>
        <w:t xml:space="preserve">a recent example of how this works.  In 2015, a mesothelioma nervous shock trial </w:t>
      </w:r>
      <w:r w:rsidR="00C87EB2" w:rsidRPr="00DC0273">
        <w:rPr>
          <w:rFonts w:ascii="Times New Roman" w:hAnsi="Times New Roman" w:cs="Times New Roman"/>
          <w:sz w:val="24"/>
          <w:szCs w:val="24"/>
        </w:rPr>
        <w:t xml:space="preserve">was </w:t>
      </w:r>
      <w:r w:rsidRPr="00DC0273">
        <w:rPr>
          <w:rFonts w:ascii="Times New Roman" w:hAnsi="Times New Roman" w:cs="Times New Roman"/>
          <w:sz w:val="24"/>
          <w:szCs w:val="24"/>
        </w:rPr>
        <w:t>before the Supreme Court</w:t>
      </w:r>
      <w:r w:rsidR="00C87EB2" w:rsidRPr="00DC0273">
        <w:rPr>
          <w:rFonts w:ascii="Times New Roman" w:hAnsi="Times New Roman" w:cs="Times New Roman"/>
          <w:sz w:val="24"/>
          <w:szCs w:val="24"/>
        </w:rPr>
        <w:t>.  T</w:t>
      </w:r>
      <w:r w:rsidRPr="00DC0273">
        <w:rPr>
          <w:rFonts w:ascii="Times New Roman" w:hAnsi="Times New Roman" w:cs="Times New Roman"/>
          <w:sz w:val="24"/>
          <w:szCs w:val="24"/>
        </w:rPr>
        <w:t xml:space="preserve">he presiding judge travelled to Greece to hear evidence from several witnesses.  The evidence was taken in conference venues within two hotels.  Each of the parties was represented by </w:t>
      </w:r>
      <w:r w:rsidR="00211543" w:rsidRPr="00DC0273">
        <w:rPr>
          <w:rFonts w:ascii="Times New Roman" w:hAnsi="Times New Roman" w:cs="Times New Roman"/>
          <w:sz w:val="24"/>
          <w:szCs w:val="24"/>
        </w:rPr>
        <w:t>both senior and junior counsel</w:t>
      </w:r>
      <w:r w:rsidRPr="00DC0273">
        <w:rPr>
          <w:rFonts w:ascii="Times New Roman" w:hAnsi="Times New Roman" w:cs="Times New Roman"/>
          <w:sz w:val="24"/>
          <w:szCs w:val="24"/>
        </w:rPr>
        <w:t xml:space="preserve"> with an instructing lawyer.  An interpreter was also available.  The Supreme Court personnel </w:t>
      </w:r>
      <w:r w:rsidR="00DD7C86" w:rsidRPr="00DC0273">
        <w:rPr>
          <w:rFonts w:ascii="Times New Roman" w:hAnsi="Times New Roman" w:cs="Times New Roman"/>
          <w:sz w:val="24"/>
          <w:szCs w:val="24"/>
        </w:rPr>
        <w:t>involved were the judge, his a</w:t>
      </w:r>
      <w:r w:rsidRPr="00DC0273">
        <w:rPr>
          <w:rFonts w:ascii="Times New Roman" w:hAnsi="Times New Roman" w:cs="Times New Roman"/>
          <w:sz w:val="24"/>
          <w:szCs w:val="24"/>
        </w:rPr>
        <w:t>ssociate and one court reporter.  His Honour wrote to me following the trip, and I quote:</w:t>
      </w:r>
    </w:p>
    <w:p w14:paraId="53FCA3DF" w14:textId="77777777" w:rsidR="00DD7C86" w:rsidRPr="00DC0273" w:rsidRDefault="00DD7C86" w:rsidP="00905BC2">
      <w:pPr>
        <w:spacing w:after="0" w:line="276" w:lineRule="auto"/>
        <w:ind w:firstLine="720"/>
        <w:jc w:val="both"/>
        <w:rPr>
          <w:rFonts w:ascii="Times New Roman" w:hAnsi="Times New Roman" w:cs="Times New Roman"/>
          <w:sz w:val="24"/>
          <w:szCs w:val="24"/>
        </w:rPr>
      </w:pPr>
    </w:p>
    <w:p w14:paraId="1E277290" w14:textId="77777777" w:rsidR="00DF2231" w:rsidRPr="00DC0273" w:rsidRDefault="00DD7C86" w:rsidP="00905BC2">
      <w:pPr>
        <w:spacing w:after="0" w:line="276" w:lineRule="auto"/>
        <w:ind w:left="720" w:right="90"/>
        <w:jc w:val="both"/>
        <w:rPr>
          <w:rFonts w:ascii="Times New Roman" w:hAnsi="Times New Roman" w:cs="Times New Roman"/>
          <w:sz w:val="24"/>
          <w:szCs w:val="24"/>
        </w:rPr>
      </w:pPr>
      <w:r w:rsidRPr="00DC0273">
        <w:rPr>
          <w:rFonts w:ascii="Times New Roman" w:hAnsi="Times New Roman" w:cs="Times New Roman"/>
          <w:sz w:val="24"/>
          <w:szCs w:val="24"/>
        </w:rPr>
        <w:t>The c</w:t>
      </w:r>
      <w:r w:rsidR="00DF2231" w:rsidRPr="00DC0273">
        <w:rPr>
          <w:rFonts w:ascii="Times New Roman" w:hAnsi="Times New Roman" w:cs="Times New Roman"/>
          <w:sz w:val="24"/>
          <w:szCs w:val="24"/>
        </w:rPr>
        <w:t>ourt’s approach was paperless.  The hard copy court file was not taken to Greece because of its size.  Similarly, the court books and associated discovered documents</w:t>
      </w:r>
      <w:r w:rsidR="007C1469" w:rsidRPr="00DC0273">
        <w:rPr>
          <w:rFonts w:ascii="Times New Roman" w:hAnsi="Times New Roman" w:cs="Times New Roman"/>
          <w:sz w:val="24"/>
          <w:szCs w:val="24"/>
        </w:rPr>
        <w:t xml:space="preserve"> were not taken as part of the c</w:t>
      </w:r>
      <w:r w:rsidR="00DF2231" w:rsidRPr="00DC0273">
        <w:rPr>
          <w:rFonts w:ascii="Times New Roman" w:hAnsi="Times New Roman" w:cs="Times New Roman"/>
          <w:sz w:val="24"/>
          <w:szCs w:val="24"/>
        </w:rPr>
        <w:t>ourt’s materials.  Rather, all documentation was maintained in the Clou</w:t>
      </w:r>
      <w:r w:rsidR="007C1469" w:rsidRPr="00DC0273">
        <w:rPr>
          <w:rFonts w:ascii="Times New Roman" w:hAnsi="Times New Roman" w:cs="Times New Roman"/>
          <w:sz w:val="24"/>
          <w:szCs w:val="24"/>
        </w:rPr>
        <w:t>d on the One Drive system.  My a</w:t>
      </w:r>
      <w:r w:rsidR="00DF2231" w:rsidRPr="00DC0273">
        <w:rPr>
          <w:rFonts w:ascii="Times New Roman" w:hAnsi="Times New Roman" w:cs="Times New Roman"/>
          <w:sz w:val="24"/>
          <w:szCs w:val="24"/>
        </w:rPr>
        <w:t>ssociate and I primarily utilised our laptops throughout the course of the hearing and all-in-all, we travelle</w:t>
      </w:r>
      <w:r w:rsidR="007C1469" w:rsidRPr="00DC0273">
        <w:rPr>
          <w:rFonts w:ascii="Times New Roman" w:hAnsi="Times New Roman" w:cs="Times New Roman"/>
          <w:sz w:val="24"/>
          <w:szCs w:val="24"/>
        </w:rPr>
        <w:t>d with about five kilograms of c</w:t>
      </w:r>
      <w:r w:rsidR="00DF2231" w:rsidRPr="00DC0273">
        <w:rPr>
          <w:rFonts w:ascii="Times New Roman" w:hAnsi="Times New Roman" w:cs="Times New Roman"/>
          <w:sz w:val="24"/>
          <w:szCs w:val="24"/>
        </w:rPr>
        <w:t>ourt material, which was mainly the weight of the laptops.  The wireless internet connection at both hotels was of a very good standard, so access to documents and the transcript during the course of the hearing was almost instantaneous.  In addition, we were able to work jointly on the draft judgment which was stored on the One Drive.</w:t>
      </w:r>
    </w:p>
    <w:p w14:paraId="6A62BBE7" w14:textId="77777777" w:rsidR="007C1469" w:rsidRPr="00DC0273" w:rsidRDefault="007C1469" w:rsidP="00905BC2">
      <w:pPr>
        <w:spacing w:after="0" w:line="276" w:lineRule="auto"/>
        <w:ind w:left="720" w:right="720"/>
        <w:jc w:val="both"/>
        <w:rPr>
          <w:rFonts w:ascii="Times New Roman" w:hAnsi="Times New Roman" w:cs="Times New Roman"/>
          <w:sz w:val="24"/>
          <w:szCs w:val="24"/>
        </w:rPr>
      </w:pPr>
    </w:p>
    <w:p w14:paraId="68CF7298" w14:textId="30323608" w:rsidR="00DF2231" w:rsidRPr="00DC0273" w:rsidRDefault="00211543" w:rsidP="00905BC2">
      <w:pPr>
        <w:spacing w:after="0" w:line="276" w:lineRule="auto"/>
        <w:jc w:val="both"/>
        <w:rPr>
          <w:rFonts w:ascii="Times New Roman" w:hAnsi="Times New Roman" w:cs="Times New Roman"/>
          <w:sz w:val="24"/>
          <w:szCs w:val="24"/>
        </w:rPr>
      </w:pPr>
      <w:r w:rsidRPr="00DC0273">
        <w:rPr>
          <w:rFonts w:ascii="Times New Roman" w:hAnsi="Times New Roman" w:cs="Times New Roman"/>
          <w:sz w:val="24"/>
          <w:szCs w:val="24"/>
        </w:rPr>
        <w:t>H</w:t>
      </w:r>
      <w:r w:rsidR="00DF2231" w:rsidRPr="00DC0273">
        <w:rPr>
          <w:rFonts w:ascii="Times New Roman" w:hAnsi="Times New Roman" w:cs="Times New Roman"/>
          <w:sz w:val="24"/>
          <w:szCs w:val="24"/>
        </w:rPr>
        <w:t>is Honour continue</w:t>
      </w:r>
      <w:r w:rsidRPr="00DC0273">
        <w:rPr>
          <w:rFonts w:ascii="Times New Roman" w:hAnsi="Times New Roman" w:cs="Times New Roman"/>
          <w:sz w:val="24"/>
          <w:szCs w:val="24"/>
        </w:rPr>
        <w:t>d</w:t>
      </w:r>
      <w:r w:rsidR="00DF2231" w:rsidRPr="00DC0273">
        <w:rPr>
          <w:rFonts w:ascii="Times New Roman" w:hAnsi="Times New Roman" w:cs="Times New Roman"/>
          <w:sz w:val="24"/>
          <w:szCs w:val="24"/>
        </w:rPr>
        <w:t>:</w:t>
      </w:r>
    </w:p>
    <w:p w14:paraId="796C1DB6" w14:textId="77777777" w:rsidR="007C1469" w:rsidRPr="00DC0273" w:rsidRDefault="007C1469" w:rsidP="00905BC2">
      <w:pPr>
        <w:spacing w:after="0" w:line="276" w:lineRule="auto"/>
        <w:jc w:val="both"/>
        <w:rPr>
          <w:rFonts w:ascii="Times New Roman" w:hAnsi="Times New Roman" w:cs="Times New Roman"/>
          <w:sz w:val="24"/>
          <w:szCs w:val="24"/>
        </w:rPr>
      </w:pPr>
    </w:p>
    <w:p w14:paraId="43BCCFEB" w14:textId="77777777" w:rsidR="00DF2231" w:rsidRPr="00DC0273" w:rsidRDefault="00DF2231" w:rsidP="00905BC2">
      <w:pPr>
        <w:spacing w:after="0" w:line="276" w:lineRule="auto"/>
        <w:ind w:left="720" w:right="90"/>
        <w:jc w:val="both"/>
        <w:rPr>
          <w:rFonts w:ascii="Times New Roman" w:hAnsi="Times New Roman" w:cs="Times New Roman"/>
          <w:sz w:val="24"/>
          <w:szCs w:val="24"/>
        </w:rPr>
      </w:pPr>
      <w:r w:rsidRPr="00DC0273">
        <w:rPr>
          <w:rFonts w:ascii="Times New Roman" w:hAnsi="Times New Roman" w:cs="Times New Roman"/>
          <w:sz w:val="24"/>
          <w:szCs w:val="24"/>
        </w:rPr>
        <w:t xml:space="preserve">By contrast, </w:t>
      </w:r>
      <w:r w:rsidR="000F3B03" w:rsidRPr="00DC0273">
        <w:rPr>
          <w:rFonts w:ascii="Times New Roman" w:hAnsi="Times New Roman" w:cs="Times New Roman"/>
          <w:sz w:val="24"/>
          <w:szCs w:val="24"/>
        </w:rPr>
        <w:t>the parties travelled with paper files.  This meant that the solicitors had to cart approximately 50 kilograms of material, each in folders, to Greece. This meant that special arrangements for the luggage had to be made and that delays were encountered at the airport.</w:t>
      </w:r>
    </w:p>
    <w:p w14:paraId="3D814D80" w14:textId="77777777" w:rsidR="007C1469" w:rsidRPr="00DC0273" w:rsidRDefault="007C1469" w:rsidP="00905BC2">
      <w:pPr>
        <w:spacing w:after="0" w:line="276" w:lineRule="auto"/>
        <w:ind w:left="720" w:right="720"/>
        <w:jc w:val="both"/>
        <w:rPr>
          <w:rFonts w:ascii="Times New Roman" w:hAnsi="Times New Roman" w:cs="Times New Roman"/>
          <w:sz w:val="24"/>
          <w:szCs w:val="24"/>
        </w:rPr>
      </w:pPr>
    </w:p>
    <w:p w14:paraId="24870D41" w14:textId="0C8763EB" w:rsidR="00DF2231" w:rsidRPr="00DC0273" w:rsidRDefault="000F3B03"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Upon his Honour’s return from Greece, the</w:t>
      </w:r>
      <w:r w:rsidR="00C87EB2" w:rsidRPr="00DC0273">
        <w:rPr>
          <w:rFonts w:ascii="Times New Roman" w:hAnsi="Times New Roman" w:cs="Times New Roman"/>
          <w:sz w:val="24"/>
          <w:szCs w:val="24"/>
        </w:rPr>
        <w:t xml:space="preserve"> Court</w:t>
      </w:r>
      <w:r w:rsidRPr="00DC0273">
        <w:rPr>
          <w:rFonts w:ascii="Times New Roman" w:hAnsi="Times New Roman" w:cs="Times New Roman"/>
          <w:sz w:val="24"/>
          <w:szCs w:val="24"/>
        </w:rPr>
        <w:t xml:space="preserve"> resumed sitting two days later and took evidence from </w:t>
      </w:r>
      <w:r w:rsidR="00211543" w:rsidRPr="00DC0273">
        <w:rPr>
          <w:rFonts w:ascii="Times New Roman" w:hAnsi="Times New Roman" w:cs="Times New Roman"/>
          <w:sz w:val="24"/>
          <w:szCs w:val="24"/>
        </w:rPr>
        <w:t>a</w:t>
      </w:r>
      <w:r w:rsidRPr="00DC0273">
        <w:rPr>
          <w:rFonts w:ascii="Times New Roman" w:hAnsi="Times New Roman" w:cs="Times New Roman"/>
          <w:sz w:val="24"/>
          <w:szCs w:val="24"/>
        </w:rPr>
        <w:t xml:space="preserve"> medico-legal expert psychiatrist via video-link from Miami.  The case settled that afternoon.  One can readily contemplate that the Court’s ability to remain on top of the case via technology played an important part in the resolution of the case.</w:t>
      </w:r>
      <w:r w:rsidR="000F30A7" w:rsidRPr="00DC0273">
        <w:rPr>
          <w:rStyle w:val="FootnoteReference"/>
          <w:rFonts w:ascii="Times New Roman" w:hAnsi="Times New Roman" w:cs="Times New Roman"/>
          <w:sz w:val="24"/>
          <w:szCs w:val="24"/>
        </w:rPr>
        <w:footnoteReference w:id="22"/>
      </w:r>
    </w:p>
    <w:p w14:paraId="6C1443B6"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607699CC" w14:textId="1EABF327" w:rsidR="000F3B03" w:rsidRPr="00DC0273" w:rsidRDefault="000F3B03"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 cannot emphasise enough the power and opportunity provided to the courts through technology.  Our only frustration is </w:t>
      </w:r>
      <w:r w:rsidR="00211543" w:rsidRPr="00DC0273">
        <w:rPr>
          <w:rFonts w:ascii="Times New Roman" w:hAnsi="Times New Roman" w:cs="Times New Roman"/>
          <w:sz w:val="24"/>
          <w:szCs w:val="24"/>
        </w:rPr>
        <w:t>secur</w:t>
      </w:r>
      <w:r w:rsidRPr="00DC0273">
        <w:rPr>
          <w:rFonts w:ascii="Times New Roman" w:hAnsi="Times New Roman" w:cs="Times New Roman"/>
          <w:sz w:val="24"/>
          <w:szCs w:val="24"/>
        </w:rPr>
        <w:t>ing sufficient funding to be able to ensure e-filing</w:t>
      </w:r>
      <w:r w:rsidR="00C87EB2" w:rsidRPr="00DC0273">
        <w:rPr>
          <w:rFonts w:ascii="Times New Roman" w:hAnsi="Times New Roman" w:cs="Times New Roman"/>
          <w:sz w:val="24"/>
          <w:szCs w:val="24"/>
        </w:rPr>
        <w:t xml:space="preserve"> and e-management of trials and appeals.</w:t>
      </w:r>
    </w:p>
    <w:p w14:paraId="40F70A8A"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605C2B65" w14:textId="071021CC" w:rsidR="000F3B03" w:rsidRPr="00DC0273" w:rsidRDefault="00C87EB2"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We also</w:t>
      </w:r>
      <w:r w:rsidR="000F3B03" w:rsidRPr="00DC0273">
        <w:rPr>
          <w:rFonts w:ascii="Times New Roman" w:hAnsi="Times New Roman" w:cs="Times New Roman"/>
          <w:sz w:val="24"/>
          <w:szCs w:val="24"/>
        </w:rPr>
        <w:t xml:space="preserve"> need to bear in mind that the graduates coming through from the law schools are absolutely computer and tech-savvy.  </w:t>
      </w:r>
      <w:r w:rsidR="000F30A7" w:rsidRPr="00DC0273">
        <w:rPr>
          <w:rFonts w:ascii="Times New Roman" w:hAnsi="Times New Roman" w:cs="Times New Roman"/>
          <w:sz w:val="24"/>
          <w:szCs w:val="24"/>
        </w:rPr>
        <w:t>It is n</w:t>
      </w:r>
      <w:r w:rsidR="000F3B03" w:rsidRPr="00DC0273">
        <w:rPr>
          <w:rFonts w:ascii="Times New Roman" w:hAnsi="Times New Roman" w:cs="Times New Roman"/>
          <w:sz w:val="24"/>
          <w:szCs w:val="24"/>
        </w:rPr>
        <w:t>ot for them</w:t>
      </w:r>
      <w:r w:rsidR="00005C0F" w:rsidRPr="00DC0273">
        <w:rPr>
          <w:rFonts w:ascii="Times New Roman" w:hAnsi="Times New Roman" w:cs="Times New Roman"/>
          <w:sz w:val="24"/>
          <w:szCs w:val="24"/>
        </w:rPr>
        <w:t xml:space="preserve"> to cart trolleys and folders around to courts.  We need to reflect upon the opportunities that we can utilise </w:t>
      </w:r>
      <w:r w:rsidR="000F30A7" w:rsidRPr="00DC0273">
        <w:rPr>
          <w:rFonts w:ascii="Times New Roman" w:hAnsi="Times New Roman" w:cs="Times New Roman"/>
          <w:sz w:val="24"/>
          <w:szCs w:val="24"/>
        </w:rPr>
        <w:t xml:space="preserve">through </w:t>
      </w:r>
      <w:r w:rsidR="00005C0F" w:rsidRPr="00DC0273">
        <w:rPr>
          <w:rFonts w:ascii="Times New Roman" w:hAnsi="Times New Roman" w:cs="Times New Roman"/>
          <w:sz w:val="24"/>
          <w:szCs w:val="24"/>
        </w:rPr>
        <w:t xml:space="preserve">these young law graduates and their </w:t>
      </w:r>
      <w:r w:rsidR="000F30A7" w:rsidRPr="00DC0273">
        <w:rPr>
          <w:rFonts w:ascii="Times New Roman" w:hAnsi="Times New Roman" w:cs="Times New Roman"/>
          <w:sz w:val="24"/>
          <w:szCs w:val="24"/>
        </w:rPr>
        <w:t xml:space="preserve">technological </w:t>
      </w:r>
      <w:r w:rsidR="00005C0F" w:rsidRPr="00DC0273">
        <w:rPr>
          <w:rFonts w:ascii="Times New Roman" w:hAnsi="Times New Roman" w:cs="Times New Roman"/>
          <w:sz w:val="24"/>
          <w:szCs w:val="24"/>
        </w:rPr>
        <w:t>skills.  There are opportunities for virtual courtrooms; it is just a matter of courts having enough funding.</w:t>
      </w:r>
      <w:r w:rsidR="000F30A7" w:rsidRPr="00DC0273">
        <w:rPr>
          <w:rFonts w:ascii="Times New Roman" w:hAnsi="Times New Roman" w:cs="Times New Roman"/>
          <w:sz w:val="24"/>
          <w:szCs w:val="24"/>
        </w:rPr>
        <w:t xml:space="preserve">  It is a ‘blue sky’ opportunity.</w:t>
      </w:r>
    </w:p>
    <w:p w14:paraId="4AF9A4AC"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10ED509A" w14:textId="77777777" w:rsidR="00211543" w:rsidRPr="00DC0273" w:rsidRDefault="00211543" w:rsidP="00905BC2">
      <w:pPr>
        <w:spacing w:after="0" w:line="276" w:lineRule="auto"/>
        <w:ind w:firstLine="720"/>
        <w:jc w:val="both"/>
        <w:rPr>
          <w:rFonts w:ascii="Times New Roman" w:hAnsi="Times New Roman" w:cs="Times New Roman"/>
          <w:sz w:val="24"/>
          <w:szCs w:val="24"/>
        </w:rPr>
      </w:pPr>
    </w:p>
    <w:p w14:paraId="228644E7" w14:textId="3BBA95E2" w:rsidR="000F30A7" w:rsidRPr="00DC0273" w:rsidRDefault="000F30A7"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Shifts in Jurisdiction Forums – The Rise of the Tribunal</w:t>
      </w:r>
    </w:p>
    <w:p w14:paraId="7B8B2656" w14:textId="77777777" w:rsidR="005C3C18" w:rsidRPr="00DC0273" w:rsidRDefault="005C3C18" w:rsidP="00905BC2">
      <w:pPr>
        <w:spacing w:after="0" w:line="276" w:lineRule="auto"/>
        <w:jc w:val="both"/>
        <w:rPr>
          <w:rFonts w:ascii="Times New Roman" w:hAnsi="Times New Roman" w:cs="Times New Roman"/>
          <w:sz w:val="24"/>
          <w:szCs w:val="24"/>
        </w:rPr>
      </w:pPr>
    </w:p>
    <w:p w14:paraId="662F324C" w14:textId="77777777" w:rsidR="007C1469" w:rsidRPr="00DC0273" w:rsidRDefault="00005C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One phenomenon that cannot be forgotten about in civil</w:t>
      </w:r>
      <w:r w:rsidR="007C1469" w:rsidRPr="00DC0273">
        <w:rPr>
          <w:rFonts w:ascii="Times New Roman" w:hAnsi="Times New Roman" w:cs="Times New Roman"/>
          <w:sz w:val="24"/>
          <w:szCs w:val="24"/>
        </w:rPr>
        <w:t xml:space="preserve"> litigation is the rise of the t</w:t>
      </w:r>
      <w:r w:rsidRPr="00DC0273">
        <w:rPr>
          <w:rFonts w:ascii="Times New Roman" w:hAnsi="Times New Roman" w:cs="Times New Roman"/>
          <w:sz w:val="24"/>
          <w:szCs w:val="24"/>
        </w:rPr>
        <w:t xml:space="preserve">ribunal.  </w:t>
      </w:r>
    </w:p>
    <w:p w14:paraId="3BA98951"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7205BDFE" w14:textId="1DB84E47" w:rsidR="00005C0F" w:rsidRPr="00DC0273" w:rsidRDefault="000F30A7"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w:t>
      </w:r>
      <w:r w:rsidR="00005C0F" w:rsidRPr="00DC0273">
        <w:rPr>
          <w:rFonts w:ascii="Times New Roman" w:hAnsi="Times New Roman" w:cs="Times New Roman"/>
          <w:sz w:val="24"/>
          <w:szCs w:val="24"/>
        </w:rPr>
        <w:t>V</w:t>
      </w:r>
      <w:r w:rsidRPr="00DC0273">
        <w:rPr>
          <w:rFonts w:ascii="Times New Roman" w:hAnsi="Times New Roman" w:cs="Times New Roman"/>
          <w:sz w:val="24"/>
          <w:szCs w:val="24"/>
        </w:rPr>
        <w:t xml:space="preserve">ictorian </w:t>
      </w:r>
      <w:r w:rsidR="00005C0F" w:rsidRPr="00DC0273">
        <w:rPr>
          <w:rFonts w:ascii="Times New Roman" w:hAnsi="Times New Roman" w:cs="Times New Roman"/>
          <w:sz w:val="24"/>
          <w:szCs w:val="24"/>
        </w:rPr>
        <w:t>C</w:t>
      </w:r>
      <w:r w:rsidRPr="00DC0273">
        <w:rPr>
          <w:rFonts w:ascii="Times New Roman" w:hAnsi="Times New Roman" w:cs="Times New Roman"/>
          <w:sz w:val="24"/>
          <w:szCs w:val="24"/>
        </w:rPr>
        <w:t xml:space="preserve">ivil and </w:t>
      </w:r>
      <w:r w:rsidR="00005C0F" w:rsidRPr="00DC0273">
        <w:rPr>
          <w:rFonts w:ascii="Times New Roman" w:hAnsi="Times New Roman" w:cs="Times New Roman"/>
          <w:sz w:val="24"/>
          <w:szCs w:val="24"/>
        </w:rPr>
        <w:t>A</w:t>
      </w:r>
      <w:r w:rsidRPr="00DC0273">
        <w:rPr>
          <w:rFonts w:ascii="Times New Roman" w:hAnsi="Times New Roman" w:cs="Times New Roman"/>
          <w:sz w:val="24"/>
          <w:szCs w:val="24"/>
        </w:rPr>
        <w:t xml:space="preserve">dministrative </w:t>
      </w:r>
      <w:r w:rsidR="00005C0F" w:rsidRPr="00DC0273">
        <w:rPr>
          <w:rFonts w:ascii="Times New Roman" w:hAnsi="Times New Roman" w:cs="Times New Roman"/>
          <w:sz w:val="24"/>
          <w:szCs w:val="24"/>
        </w:rPr>
        <w:t>T</w:t>
      </w:r>
      <w:r w:rsidRPr="00DC0273">
        <w:rPr>
          <w:rFonts w:ascii="Times New Roman" w:hAnsi="Times New Roman" w:cs="Times New Roman"/>
          <w:sz w:val="24"/>
          <w:szCs w:val="24"/>
        </w:rPr>
        <w:t>ribunal</w:t>
      </w:r>
      <w:r w:rsidR="00005C0F" w:rsidRPr="00DC0273">
        <w:rPr>
          <w:rFonts w:ascii="Times New Roman" w:hAnsi="Times New Roman" w:cs="Times New Roman"/>
          <w:sz w:val="24"/>
          <w:szCs w:val="24"/>
        </w:rPr>
        <w:t xml:space="preserve"> and its operations were established </w:t>
      </w:r>
      <w:r w:rsidR="00211543" w:rsidRPr="00DC0273">
        <w:rPr>
          <w:rFonts w:ascii="Times New Roman" w:hAnsi="Times New Roman" w:cs="Times New Roman"/>
          <w:sz w:val="24"/>
          <w:szCs w:val="24"/>
        </w:rPr>
        <w:t>on 1 July 1998</w:t>
      </w:r>
      <w:r w:rsidR="00005C0F" w:rsidRPr="00DC0273">
        <w:rPr>
          <w:rFonts w:ascii="Times New Roman" w:hAnsi="Times New Roman" w:cs="Times New Roman"/>
          <w:sz w:val="24"/>
          <w:szCs w:val="24"/>
        </w:rPr>
        <w:t>.  VCAT has proved to be an extraordinary success.  It was established to ensure cost-effective, fast delivery of justice to individuals.  Its case load is somewhere in the order of 100,000</w:t>
      </w:r>
      <w:r w:rsidR="00211543" w:rsidRPr="00DC0273">
        <w:rPr>
          <w:rFonts w:ascii="Times New Roman" w:hAnsi="Times New Roman" w:cs="Times New Roman"/>
          <w:sz w:val="24"/>
          <w:szCs w:val="24"/>
        </w:rPr>
        <w:t xml:space="preserve"> matters</w:t>
      </w:r>
      <w:r w:rsidR="00005C0F" w:rsidRPr="00DC0273">
        <w:rPr>
          <w:rFonts w:ascii="Times New Roman" w:hAnsi="Times New Roman" w:cs="Times New Roman"/>
          <w:sz w:val="24"/>
          <w:szCs w:val="24"/>
        </w:rPr>
        <w:t xml:space="preserve"> a </w:t>
      </w:r>
      <w:r w:rsidR="00005C0F" w:rsidRPr="00DC0273">
        <w:rPr>
          <w:rFonts w:ascii="Times New Roman" w:hAnsi="Times New Roman" w:cs="Times New Roman"/>
          <w:sz w:val="24"/>
          <w:szCs w:val="24"/>
        </w:rPr>
        <w:lastRenderedPageBreak/>
        <w:t xml:space="preserve">year.  Such has been the success of the model that it has been adopted in Queensland with QCAT, New South Wales with NCAT and Western Australia with WACAT.  The </w:t>
      </w:r>
      <w:r w:rsidR="003F0069" w:rsidRPr="00DC0273">
        <w:rPr>
          <w:rFonts w:ascii="Times New Roman" w:hAnsi="Times New Roman" w:cs="Times New Roman"/>
          <w:sz w:val="24"/>
          <w:szCs w:val="24"/>
        </w:rPr>
        <w:t xml:space="preserve">Victorian </w:t>
      </w:r>
      <w:r w:rsidR="00005C0F" w:rsidRPr="00DC0273">
        <w:rPr>
          <w:rFonts w:ascii="Times New Roman" w:hAnsi="Times New Roman" w:cs="Times New Roman"/>
          <w:sz w:val="24"/>
          <w:szCs w:val="24"/>
        </w:rPr>
        <w:t>Attorney-General, at this time, is looking at the prospect of whether the civil jurisdiction remaining within the Magistrates’ Court in Victoria should be transferred wholly to VCAT, such is its success.</w:t>
      </w:r>
    </w:p>
    <w:p w14:paraId="6156A3BF"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53D4B492" w14:textId="7B9D3A78" w:rsidR="00005C0F" w:rsidRPr="00DC0273" w:rsidRDefault="00005C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There is jurisdiction now within VCAT in Victoria that not very long ago was exclusive Supreme Court jurisdiction.  VCAT has unlimited</w:t>
      </w:r>
      <w:r w:rsidR="003F0069" w:rsidRPr="00DC0273">
        <w:rPr>
          <w:rFonts w:ascii="Times New Roman" w:hAnsi="Times New Roman" w:cs="Times New Roman"/>
          <w:sz w:val="24"/>
          <w:szCs w:val="24"/>
        </w:rPr>
        <w:t xml:space="preserve">, exclusive </w:t>
      </w:r>
      <w:r w:rsidRPr="00DC0273">
        <w:rPr>
          <w:rFonts w:ascii="Times New Roman" w:hAnsi="Times New Roman" w:cs="Times New Roman"/>
          <w:sz w:val="24"/>
          <w:szCs w:val="24"/>
        </w:rPr>
        <w:t xml:space="preserve">jurisdiction in areas such as domestic building </w:t>
      </w:r>
      <w:r w:rsidR="00C87EB2" w:rsidRPr="00DC0273">
        <w:rPr>
          <w:rFonts w:ascii="Times New Roman" w:hAnsi="Times New Roman" w:cs="Times New Roman"/>
          <w:sz w:val="24"/>
          <w:szCs w:val="24"/>
        </w:rPr>
        <w:t>contracts</w:t>
      </w:r>
      <w:r w:rsidR="003F0069" w:rsidRPr="00DC0273">
        <w:rPr>
          <w:rFonts w:ascii="Times New Roman" w:hAnsi="Times New Roman" w:cs="Times New Roman"/>
          <w:sz w:val="24"/>
          <w:szCs w:val="24"/>
        </w:rPr>
        <w:t xml:space="preserve">.  If </w:t>
      </w:r>
      <w:r w:rsidRPr="00DC0273">
        <w:rPr>
          <w:rFonts w:ascii="Times New Roman" w:hAnsi="Times New Roman" w:cs="Times New Roman"/>
          <w:sz w:val="24"/>
          <w:szCs w:val="24"/>
        </w:rPr>
        <w:t>we think of the growth of skyscrape</w:t>
      </w:r>
      <w:r w:rsidR="00211543" w:rsidRPr="00DC0273">
        <w:rPr>
          <w:rFonts w:ascii="Times New Roman" w:hAnsi="Times New Roman" w:cs="Times New Roman"/>
          <w:sz w:val="24"/>
          <w:szCs w:val="24"/>
        </w:rPr>
        <w:t>r construction</w:t>
      </w:r>
      <w:r w:rsidR="00B3567F" w:rsidRPr="00DC0273">
        <w:rPr>
          <w:rFonts w:ascii="Times New Roman" w:hAnsi="Times New Roman" w:cs="Times New Roman"/>
          <w:sz w:val="24"/>
          <w:szCs w:val="24"/>
        </w:rPr>
        <w:t xml:space="preserve"> </w:t>
      </w:r>
      <w:r w:rsidR="00211543" w:rsidRPr="00DC0273">
        <w:rPr>
          <w:rFonts w:ascii="Times New Roman" w:hAnsi="Times New Roman" w:cs="Times New Roman"/>
          <w:sz w:val="24"/>
          <w:szCs w:val="24"/>
        </w:rPr>
        <w:t>of</w:t>
      </w:r>
      <w:r w:rsidR="003F0069" w:rsidRPr="00DC0273">
        <w:rPr>
          <w:rFonts w:ascii="Times New Roman" w:hAnsi="Times New Roman" w:cs="Times New Roman"/>
          <w:sz w:val="24"/>
          <w:szCs w:val="24"/>
        </w:rPr>
        <w:t xml:space="preserve"> </w:t>
      </w:r>
      <w:r w:rsidRPr="00DC0273">
        <w:rPr>
          <w:rFonts w:ascii="Times New Roman" w:hAnsi="Times New Roman" w:cs="Times New Roman"/>
          <w:sz w:val="24"/>
          <w:szCs w:val="24"/>
        </w:rPr>
        <w:t xml:space="preserve">apartments around Melbourne, </w:t>
      </w:r>
      <w:r w:rsidR="003F0069" w:rsidRPr="00DC0273">
        <w:rPr>
          <w:rFonts w:ascii="Times New Roman" w:hAnsi="Times New Roman" w:cs="Times New Roman"/>
          <w:sz w:val="24"/>
          <w:szCs w:val="24"/>
        </w:rPr>
        <w:t>we</w:t>
      </w:r>
      <w:r w:rsidRPr="00DC0273">
        <w:rPr>
          <w:rFonts w:ascii="Times New Roman" w:hAnsi="Times New Roman" w:cs="Times New Roman"/>
          <w:sz w:val="24"/>
          <w:szCs w:val="24"/>
        </w:rPr>
        <w:t xml:space="preserve"> can appreciate very quickly the magnitude of the jurisdiction</w:t>
      </w:r>
      <w:r w:rsidR="003F0069" w:rsidRPr="00DC0273">
        <w:rPr>
          <w:rFonts w:ascii="Times New Roman" w:hAnsi="Times New Roman" w:cs="Times New Roman"/>
          <w:sz w:val="24"/>
          <w:szCs w:val="24"/>
        </w:rPr>
        <w:t xml:space="preserve"> of the Tribunal</w:t>
      </w:r>
      <w:r w:rsidRPr="00DC0273">
        <w:rPr>
          <w:rFonts w:ascii="Times New Roman" w:hAnsi="Times New Roman" w:cs="Times New Roman"/>
          <w:sz w:val="24"/>
          <w:szCs w:val="24"/>
        </w:rPr>
        <w:t>.</w:t>
      </w:r>
    </w:p>
    <w:p w14:paraId="22202B3E"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4727BA12" w14:textId="726A53AC" w:rsidR="00005C0F" w:rsidRPr="00DC0273" w:rsidRDefault="007C146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Without the </w:t>
      </w:r>
      <w:r w:rsidR="00C87EB2" w:rsidRPr="00DC0273">
        <w:rPr>
          <w:rFonts w:ascii="Times New Roman" w:hAnsi="Times New Roman" w:cs="Times New Roman"/>
          <w:sz w:val="24"/>
          <w:szCs w:val="24"/>
        </w:rPr>
        <w:t>tribunal model</w:t>
      </w:r>
      <w:r w:rsidR="00005C0F" w:rsidRPr="00DC0273">
        <w:rPr>
          <w:rFonts w:ascii="Times New Roman" w:hAnsi="Times New Roman" w:cs="Times New Roman"/>
          <w:sz w:val="24"/>
          <w:szCs w:val="24"/>
        </w:rPr>
        <w:t xml:space="preserve"> across the country, but particularly here in Victoria, the courts could not have coped</w:t>
      </w:r>
      <w:r w:rsidR="003F0069" w:rsidRPr="00DC0273">
        <w:rPr>
          <w:rFonts w:ascii="Times New Roman" w:hAnsi="Times New Roman" w:cs="Times New Roman"/>
          <w:sz w:val="24"/>
          <w:szCs w:val="24"/>
        </w:rPr>
        <w:t xml:space="preserve"> with their workloads.  </w:t>
      </w:r>
    </w:p>
    <w:p w14:paraId="5559186C" w14:textId="4D9D12B3" w:rsidR="003F0069" w:rsidRPr="00DC0273" w:rsidRDefault="003F0069" w:rsidP="00905BC2">
      <w:pPr>
        <w:spacing w:after="0" w:line="276" w:lineRule="auto"/>
        <w:jc w:val="both"/>
        <w:rPr>
          <w:rFonts w:ascii="Times New Roman" w:hAnsi="Times New Roman" w:cs="Times New Roman"/>
          <w:sz w:val="24"/>
          <w:szCs w:val="24"/>
        </w:rPr>
      </w:pPr>
    </w:p>
    <w:p w14:paraId="731A28D3" w14:textId="5A4DDE62" w:rsidR="003F0069" w:rsidRPr="00DC0273" w:rsidRDefault="003F0069"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Costs</w:t>
      </w:r>
    </w:p>
    <w:p w14:paraId="4ACEE7A5" w14:textId="77777777" w:rsidR="005C3C18" w:rsidRPr="00DC0273" w:rsidRDefault="005C3C18" w:rsidP="00905BC2">
      <w:pPr>
        <w:spacing w:after="0" w:line="276" w:lineRule="auto"/>
        <w:jc w:val="both"/>
        <w:rPr>
          <w:rFonts w:ascii="Times New Roman" w:hAnsi="Times New Roman" w:cs="Times New Roman"/>
          <w:sz w:val="24"/>
          <w:szCs w:val="24"/>
        </w:rPr>
      </w:pPr>
    </w:p>
    <w:p w14:paraId="38904F74" w14:textId="59560DB7" w:rsidR="007C1469" w:rsidRPr="00DC0273" w:rsidRDefault="00005C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I want to touch on costs.  </w:t>
      </w:r>
    </w:p>
    <w:p w14:paraId="78594551" w14:textId="77777777" w:rsidR="003F0069" w:rsidRPr="00DC0273" w:rsidRDefault="003F0069" w:rsidP="00905BC2">
      <w:pPr>
        <w:spacing w:after="0" w:line="276" w:lineRule="auto"/>
        <w:ind w:firstLine="720"/>
        <w:jc w:val="both"/>
        <w:rPr>
          <w:rFonts w:ascii="Times New Roman" w:hAnsi="Times New Roman" w:cs="Times New Roman"/>
          <w:sz w:val="24"/>
          <w:szCs w:val="24"/>
        </w:rPr>
      </w:pPr>
    </w:p>
    <w:p w14:paraId="1344DB47" w14:textId="73728281" w:rsidR="007C1469" w:rsidRPr="00DC0273" w:rsidRDefault="00005C0F"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In Victoria, we have the Costs Court.  It has been extremely successf</w:t>
      </w:r>
      <w:r w:rsidR="007C1469" w:rsidRPr="00DC0273">
        <w:rPr>
          <w:rFonts w:ascii="Times New Roman" w:hAnsi="Times New Roman" w:cs="Times New Roman"/>
          <w:sz w:val="24"/>
          <w:szCs w:val="24"/>
        </w:rPr>
        <w:t>ul, having a specialist judge, judicial registrar and r</w:t>
      </w:r>
      <w:r w:rsidRPr="00DC0273">
        <w:rPr>
          <w:rFonts w:ascii="Times New Roman" w:hAnsi="Times New Roman" w:cs="Times New Roman"/>
          <w:sz w:val="24"/>
          <w:szCs w:val="24"/>
        </w:rPr>
        <w:t>egistrars dealing with costs assessment</w:t>
      </w:r>
      <w:r w:rsidR="00211543" w:rsidRPr="00DC0273">
        <w:rPr>
          <w:rFonts w:ascii="Times New Roman" w:hAnsi="Times New Roman" w:cs="Times New Roman"/>
          <w:sz w:val="24"/>
          <w:szCs w:val="24"/>
        </w:rPr>
        <w:t>s</w:t>
      </w:r>
      <w:r w:rsidRPr="00DC0273">
        <w:rPr>
          <w:rFonts w:ascii="Times New Roman" w:hAnsi="Times New Roman" w:cs="Times New Roman"/>
          <w:sz w:val="24"/>
          <w:szCs w:val="24"/>
        </w:rPr>
        <w:t xml:space="preserve"> for all jurisdictions in Victoria.  One phenomenon – and </w:t>
      </w:r>
      <w:r w:rsidR="003F0069" w:rsidRPr="00DC0273">
        <w:rPr>
          <w:rFonts w:ascii="Times New Roman" w:hAnsi="Times New Roman" w:cs="Times New Roman"/>
          <w:sz w:val="24"/>
          <w:szCs w:val="24"/>
        </w:rPr>
        <w:t>i</w:t>
      </w:r>
      <w:r w:rsidRPr="00DC0273">
        <w:rPr>
          <w:rFonts w:ascii="Times New Roman" w:hAnsi="Times New Roman" w:cs="Times New Roman"/>
          <w:sz w:val="24"/>
          <w:szCs w:val="24"/>
        </w:rPr>
        <w:t>t is very important in a setting where there is now discussion about the capping</w:t>
      </w:r>
      <w:r w:rsidR="007C1469" w:rsidRPr="00DC0273">
        <w:rPr>
          <w:rFonts w:ascii="Times New Roman" w:hAnsi="Times New Roman" w:cs="Times New Roman"/>
          <w:sz w:val="24"/>
          <w:szCs w:val="24"/>
        </w:rPr>
        <w:t xml:space="preserve"> of costs, particularly in the f</w:t>
      </w:r>
      <w:r w:rsidRPr="00DC0273">
        <w:rPr>
          <w:rFonts w:ascii="Times New Roman" w:hAnsi="Times New Roman" w:cs="Times New Roman"/>
          <w:sz w:val="24"/>
          <w:szCs w:val="24"/>
        </w:rPr>
        <w:t xml:space="preserve">ederal sector – is that proportionality is a </w:t>
      </w:r>
      <w:r w:rsidR="003F0069" w:rsidRPr="00DC0273">
        <w:rPr>
          <w:rFonts w:ascii="Times New Roman" w:hAnsi="Times New Roman" w:cs="Times New Roman"/>
          <w:sz w:val="24"/>
          <w:szCs w:val="24"/>
        </w:rPr>
        <w:t xml:space="preserve">factor </w:t>
      </w:r>
      <w:r w:rsidRPr="00DC0273">
        <w:rPr>
          <w:rFonts w:ascii="Times New Roman" w:hAnsi="Times New Roman" w:cs="Times New Roman"/>
          <w:sz w:val="24"/>
          <w:szCs w:val="24"/>
        </w:rPr>
        <w:t xml:space="preserve">that has been carefully considered within the </w:t>
      </w:r>
      <w:r w:rsidR="003F0069" w:rsidRPr="00DC0273">
        <w:rPr>
          <w:rFonts w:ascii="Times New Roman" w:hAnsi="Times New Roman" w:cs="Times New Roman"/>
          <w:sz w:val="24"/>
          <w:szCs w:val="24"/>
        </w:rPr>
        <w:t xml:space="preserve">assessments of </w:t>
      </w:r>
      <w:r w:rsidR="00211543" w:rsidRPr="00DC0273">
        <w:rPr>
          <w:rFonts w:ascii="Times New Roman" w:hAnsi="Times New Roman" w:cs="Times New Roman"/>
          <w:sz w:val="24"/>
          <w:szCs w:val="24"/>
        </w:rPr>
        <w:t xml:space="preserve">the </w:t>
      </w:r>
      <w:r w:rsidRPr="00DC0273">
        <w:rPr>
          <w:rFonts w:ascii="Times New Roman" w:hAnsi="Times New Roman" w:cs="Times New Roman"/>
          <w:sz w:val="24"/>
          <w:szCs w:val="24"/>
        </w:rPr>
        <w:t xml:space="preserve">Costs Court.  </w:t>
      </w:r>
    </w:p>
    <w:p w14:paraId="1D80B594" w14:textId="77777777" w:rsidR="00767D06" w:rsidRPr="00DC0273" w:rsidRDefault="00767D06" w:rsidP="00905BC2">
      <w:pPr>
        <w:spacing w:after="0" w:line="276" w:lineRule="auto"/>
        <w:ind w:firstLine="720"/>
        <w:jc w:val="both"/>
        <w:rPr>
          <w:rFonts w:ascii="Times New Roman" w:hAnsi="Times New Roman" w:cs="Times New Roman"/>
          <w:sz w:val="24"/>
          <w:szCs w:val="24"/>
        </w:rPr>
      </w:pPr>
    </w:p>
    <w:p w14:paraId="2D44C2A1" w14:textId="6DDECE13" w:rsidR="009D0355" w:rsidRPr="00DC0273" w:rsidRDefault="003F006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concept of ‘proportionality’ has now made its way into the </w:t>
      </w:r>
      <w:r w:rsidRPr="00DC0273">
        <w:rPr>
          <w:rFonts w:ascii="Times New Roman" w:hAnsi="Times New Roman" w:cs="Times New Roman"/>
          <w:i/>
          <w:sz w:val="24"/>
          <w:szCs w:val="24"/>
        </w:rPr>
        <w:t>Civil Procedure Act</w:t>
      </w:r>
      <w:r w:rsidRPr="00DC0273">
        <w:rPr>
          <w:rFonts w:ascii="Times New Roman" w:hAnsi="Times New Roman" w:cs="Times New Roman"/>
          <w:sz w:val="24"/>
          <w:szCs w:val="24"/>
        </w:rPr>
        <w:t xml:space="preserve"> – notably</w:t>
      </w:r>
      <w:r w:rsidR="00211543" w:rsidRPr="00DC0273">
        <w:rPr>
          <w:rFonts w:ascii="Times New Roman" w:hAnsi="Times New Roman" w:cs="Times New Roman"/>
          <w:sz w:val="24"/>
          <w:szCs w:val="24"/>
        </w:rPr>
        <w:t xml:space="preserve"> in </w:t>
      </w:r>
      <w:proofErr w:type="spellStart"/>
      <w:r w:rsidRPr="00DC0273">
        <w:rPr>
          <w:rFonts w:ascii="Times New Roman" w:hAnsi="Times New Roman" w:cs="Times New Roman"/>
          <w:sz w:val="24"/>
          <w:szCs w:val="24"/>
        </w:rPr>
        <w:t>ss</w:t>
      </w:r>
      <w:proofErr w:type="spellEnd"/>
      <w:r w:rsidRPr="00DC0273">
        <w:rPr>
          <w:rFonts w:ascii="Times New Roman" w:hAnsi="Times New Roman" w:cs="Times New Roman"/>
          <w:sz w:val="24"/>
          <w:szCs w:val="24"/>
        </w:rPr>
        <w:t xml:space="preserve"> 24 and 65A, 65B and 65C.  The </w:t>
      </w:r>
      <w:r w:rsidR="00C87EB2" w:rsidRPr="00DC0273">
        <w:rPr>
          <w:rFonts w:ascii="Times New Roman" w:hAnsi="Times New Roman" w:cs="Times New Roman"/>
          <w:sz w:val="24"/>
          <w:szCs w:val="24"/>
        </w:rPr>
        <w:t>sections, particularly s 24, were</w:t>
      </w:r>
      <w:r w:rsidRPr="00DC0273">
        <w:rPr>
          <w:rFonts w:ascii="Times New Roman" w:hAnsi="Times New Roman" w:cs="Times New Roman"/>
          <w:sz w:val="24"/>
          <w:szCs w:val="24"/>
        </w:rPr>
        <w:t xml:space="preserve"> considered in the case I already mentioned of </w:t>
      </w:r>
      <w:proofErr w:type="spellStart"/>
      <w:r w:rsidRPr="00DC0273">
        <w:rPr>
          <w:rFonts w:ascii="Times New Roman" w:hAnsi="Times New Roman" w:cs="Times New Roman"/>
          <w:i/>
          <w:sz w:val="24"/>
          <w:szCs w:val="24"/>
        </w:rPr>
        <w:t>Yara</w:t>
      </w:r>
      <w:proofErr w:type="spellEnd"/>
      <w:r w:rsidRPr="00DC0273">
        <w:rPr>
          <w:rFonts w:ascii="Times New Roman" w:hAnsi="Times New Roman" w:cs="Times New Roman"/>
          <w:sz w:val="24"/>
          <w:szCs w:val="24"/>
        </w:rPr>
        <w:t xml:space="preserve">.  Proportionality is also included in the </w:t>
      </w:r>
      <w:r w:rsidRPr="00DC0273">
        <w:rPr>
          <w:rFonts w:ascii="Times New Roman" w:hAnsi="Times New Roman" w:cs="Times New Roman"/>
          <w:i/>
          <w:sz w:val="24"/>
          <w:szCs w:val="24"/>
        </w:rPr>
        <w:t>Legal Profession</w:t>
      </w:r>
      <w:r w:rsidR="00211543" w:rsidRPr="00DC0273">
        <w:rPr>
          <w:rFonts w:ascii="Times New Roman" w:hAnsi="Times New Roman" w:cs="Times New Roman"/>
          <w:i/>
          <w:sz w:val="24"/>
          <w:szCs w:val="24"/>
        </w:rPr>
        <w:t xml:space="preserve"> Uniform Law</w:t>
      </w:r>
      <w:r w:rsidRPr="00DC0273">
        <w:rPr>
          <w:rFonts w:ascii="Times New Roman" w:hAnsi="Times New Roman" w:cs="Times New Roman"/>
          <w:sz w:val="24"/>
          <w:szCs w:val="24"/>
        </w:rPr>
        <w:t xml:space="preserve">.  Proportionality and greater transparency and control of costs by courts </w:t>
      </w:r>
      <w:r w:rsidR="00C87EB2" w:rsidRPr="00DC0273">
        <w:rPr>
          <w:rFonts w:ascii="Times New Roman" w:hAnsi="Times New Roman" w:cs="Times New Roman"/>
          <w:sz w:val="24"/>
          <w:szCs w:val="24"/>
        </w:rPr>
        <w:t>are</w:t>
      </w:r>
      <w:r w:rsidRPr="00DC0273">
        <w:rPr>
          <w:rFonts w:ascii="Times New Roman" w:hAnsi="Times New Roman" w:cs="Times New Roman"/>
          <w:sz w:val="24"/>
          <w:szCs w:val="24"/>
        </w:rPr>
        <w:t xml:space="preserve"> a significant way that the landscape i</w:t>
      </w:r>
      <w:r w:rsidR="00211543" w:rsidRPr="00DC0273">
        <w:rPr>
          <w:rFonts w:ascii="Times New Roman" w:hAnsi="Times New Roman" w:cs="Times New Roman"/>
          <w:sz w:val="24"/>
          <w:szCs w:val="24"/>
        </w:rPr>
        <w:t>s changing.  Section 172</w:t>
      </w:r>
      <w:r w:rsidRPr="00DC0273">
        <w:rPr>
          <w:rFonts w:ascii="Times New Roman" w:hAnsi="Times New Roman" w:cs="Times New Roman"/>
          <w:sz w:val="24"/>
          <w:szCs w:val="24"/>
        </w:rPr>
        <w:t xml:space="preserve"> of the </w:t>
      </w:r>
      <w:r w:rsidRPr="00DC0273">
        <w:rPr>
          <w:rFonts w:ascii="Times New Roman" w:hAnsi="Times New Roman" w:cs="Times New Roman"/>
          <w:i/>
          <w:sz w:val="24"/>
          <w:szCs w:val="24"/>
        </w:rPr>
        <w:t xml:space="preserve">Legal Profession Uniform Law </w:t>
      </w:r>
      <w:r w:rsidRPr="00DC0273">
        <w:rPr>
          <w:rFonts w:ascii="Times New Roman" w:hAnsi="Times New Roman" w:cs="Times New Roman"/>
          <w:sz w:val="24"/>
          <w:szCs w:val="24"/>
        </w:rPr>
        <w:t xml:space="preserve">provides that legal costs must be </w:t>
      </w:r>
      <w:r w:rsidR="00211543" w:rsidRPr="00DC0273">
        <w:rPr>
          <w:rFonts w:ascii="Times New Roman" w:hAnsi="Times New Roman" w:cs="Times New Roman"/>
          <w:sz w:val="24"/>
          <w:szCs w:val="24"/>
        </w:rPr>
        <w:t>‘</w:t>
      </w:r>
      <w:r w:rsidRPr="00DC0273">
        <w:rPr>
          <w:rFonts w:ascii="Times New Roman" w:hAnsi="Times New Roman" w:cs="Times New Roman"/>
          <w:sz w:val="24"/>
          <w:szCs w:val="24"/>
        </w:rPr>
        <w:t>fair and reasonable in all the circumstances</w:t>
      </w:r>
      <w:r w:rsidR="00211543" w:rsidRPr="00DC0273">
        <w:rPr>
          <w:rFonts w:ascii="Times New Roman" w:hAnsi="Times New Roman" w:cs="Times New Roman"/>
          <w:sz w:val="24"/>
          <w:szCs w:val="24"/>
        </w:rPr>
        <w:t>’</w:t>
      </w:r>
      <w:r w:rsidRPr="00DC0273">
        <w:rPr>
          <w:rFonts w:ascii="Times New Roman" w:hAnsi="Times New Roman" w:cs="Times New Roman"/>
          <w:sz w:val="24"/>
          <w:szCs w:val="24"/>
        </w:rPr>
        <w:t xml:space="preserve"> and in particular ‘proportionately and reasonably incurred</w:t>
      </w:r>
      <w:r w:rsidR="00211543" w:rsidRPr="00DC0273">
        <w:rPr>
          <w:rFonts w:ascii="Times New Roman" w:hAnsi="Times New Roman" w:cs="Times New Roman"/>
          <w:sz w:val="24"/>
          <w:szCs w:val="24"/>
        </w:rPr>
        <w:t>’</w:t>
      </w:r>
      <w:r w:rsidRPr="00DC0273">
        <w:rPr>
          <w:rFonts w:ascii="Times New Roman" w:hAnsi="Times New Roman" w:cs="Times New Roman"/>
          <w:sz w:val="24"/>
          <w:szCs w:val="24"/>
        </w:rPr>
        <w:t xml:space="preserve"> and </w:t>
      </w:r>
      <w:r w:rsidR="00211543" w:rsidRPr="00DC0273">
        <w:rPr>
          <w:rFonts w:ascii="Times New Roman" w:hAnsi="Times New Roman" w:cs="Times New Roman"/>
          <w:sz w:val="24"/>
          <w:szCs w:val="24"/>
        </w:rPr>
        <w:t>‘</w:t>
      </w:r>
      <w:r w:rsidRPr="00DC0273">
        <w:rPr>
          <w:rFonts w:ascii="Times New Roman" w:hAnsi="Times New Roman" w:cs="Times New Roman"/>
          <w:sz w:val="24"/>
          <w:szCs w:val="24"/>
        </w:rPr>
        <w:t>proportionate and reasonable in amount’.  Relevantly, under s </w:t>
      </w:r>
      <w:proofErr w:type="gramStart"/>
      <w:r w:rsidRPr="00DC0273">
        <w:rPr>
          <w:rFonts w:ascii="Times New Roman" w:hAnsi="Times New Roman" w:cs="Times New Roman"/>
          <w:sz w:val="24"/>
          <w:szCs w:val="24"/>
        </w:rPr>
        <w:t>65C(</w:t>
      </w:r>
      <w:proofErr w:type="gramEnd"/>
      <w:r w:rsidRPr="00DC0273">
        <w:rPr>
          <w:rFonts w:ascii="Times New Roman" w:hAnsi="Times New Roman" w:cs="Times New Roman"/>
          <w:sz w:val="24"/>
          <w:szCs w:val="24"/>
        </w:rPr>
        <w:t xml:space="preserve">2)(d) of the </w:t>
      </w:r>
      <w:r w:rsidRPr="00DC0273">
        <w:rPr>
          <w:rFonts w:ascii="Times New Roman" w:hAnsi="Times New Roman" w:cs="Times New Roman"/>
          <w:i/>
          <w:sz w:val="24"/>
          <w:szCs w:val="24"/>
        </w:rPr>
        <w:t>Civil Procedure Act</w:t>
      </w:r>
      <w:r w:rsidR="00C87EB2" w:rsidRPr="00DC0273">
        <w:rPr>
          <w:rFonts w:ascii="Times New Roman" w:hAnsi="Times New Roman" w:cs="Times New Roman"/>
          <w:sz w:val="24"/>
          <w:szCs w:val="24"/>
        </w:rPr>
        <w:t>, a court can cap or f</w:t>
      </w:r>
      <w:r w:rsidRPr="00DC0273">
        <w:rPr>
          <w:rFonts w:ascii="Times New Roman" w:hAnsi="Times New Roman" w:cs="Times New Roman"/>
          <w:sz w:val="24"/>
          <w:szCs w:val="24"/>
        </w:rPr>
        <w:t xml:space="preserve">ix costs in advance if </w:t>
      </w:r>
      <w:r w:rsidR="00211543" w:rsidRPr="00DC0273">
        <w:rPr>
          <w:rFonts w:ascii="Times New Roman" w:hAnsi="Times New Roman" w:cs="Times New Roman"/>
          <w:sz w:val="24"/>
          <w:szCs w:val="24"/>
        </w:rPr>
        <w:t xml:space="preserve">it is </w:t>
      </w:r>
      <w:r w:rsidRPr="00DC0273">
        <w:rPr>
          <w:rFonts w:ascii="Times New Roman" w:hAnsi="Times New Roman" w:cs="Times New Roman"/>
          <w:sz w:val="24"/>
          <w:szCs w:val="24"/>
        </w:rPr>
        <w:t>so minded.  However, capping is not a new concept</w:t>
      </w:r>
      <w:r w:rsidR="00211543" w:rsidRPr="00DC0273">
        <w:rPr>
          <w:rFonts w:ascii="Times New Roman" w:hAnsi="Times New Roman" w:cs="Times New Roman"/>
          <w:sz w:val="24"/>
          <w:szCs w:val="24"/>
        </w:rPr>
        <w:t>;</w:t>
      </w:r>
      <w:r w:rsidRPr="00DC0273">
        <w:rPr>
          <w:rFonts w:ascii="Times New Roman" w:hAnsi="Times New Roman" w:cs="Times New Roman"/>
          <w:sz w:val="24"/>
          <w:szCs w:val="24"/>
        </w:rPr>
        <w:t xml:space="preserve"> it has just been rarely utilised.  </w:t>
      </w:r>
    </w:p>
    <w:p w14:paraId="5B4349CC" w14:textId="77777777" w:rsidR="009D0355" w:rsidRPr="00DC0273" w:rsidRDefault="009D0355" w:rsidP="00905BC2">
      <w:pPr>
        <w:spacing w:after="0" w:line="276" w:lineRule="auto"/>
        <w:ind w:firstLine="720"/>
        <w:jc w:val="both"/>
        <w:rPr>
          <w:rFonts w:ascii="Times New Roman" w:hAnsi="Times New Roman" w:cs="Times New Roman"/>
          <w:b/>
          <w:sz w:val="24"/>
          <w:szCs w:val="24"/>
        </w:rPr>
      </w:pPr>
    </w:p>
    <w:p w14:paraId="6AB4992C" w14:textId="629DBBBC" w:rsidR="007C1469" w:rsidRPr="00DC0273" w:rsidRDefault="005C3C18"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Courts Governance – t</w:t>
      </w:r>
      <w:r w:rsidR="003F0069" w:rsidRPr="00DC0273">
        <w:rPr>
          <w:rFonts w:ascii="Times New Roman" w:hAnsi="Times New Roman" w:cs="Times New Roman"/>
          <w:b/>
          <w:sz w:val="24"/>
          <w:szCs w:val="24"/>
        </w:rPr>
        <w:t>he Setting</w:t>
      </w:r>
    </w:p>
    <w:p w14:paraId="0F378B02" w14:textId="77777777" w:rsidR="005C3C18" w:rsidRPr="00DC0273" w:rsidRDefault="005C3C18" w:rsidP="00905BC2">
      <w:pPr>
        <w:spacing w:after="0" w:line="276" w:lineRule="auto"/>
        <w:ind w:firstLine="720"/>
        <w:jc w:val="both"/>
        <w:rPr>
          <w:rFonts w:ascii="Times New Roman" w:hAnsi="Times New Roman" w:cs="Times New Roman"/>
          <w:sz w:val="24"/>
          <w:szCs w:val="24"/>
        </w:rPr>
      </w:pPr>
    </w:p>
    <w:p w14:paraId="2D652492" w14:textId="14CBAAA5" w:rsidR="00313459" w:rsidRPr="00DC0273" w:rsidRDefault="0031345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There is one aspect also that w</w:t>
      </w:r>
      <w:r w:rsidR="002B095E" w:rsidRPr="00DC0273">
        <w:rPr>
          <w:rFonts w:ascii="Times New Roman" w:hAnsi="Times New Roman" w:cs="Times New Roman"/>
          <w:sz w:val="24"/>
          <w:szCs w:val="24"/>
        </w:rPr>
        <w:t xml:space="preserve">e need to take account of when </w:t>
      </w:r>
      <w:r w:rsidRPr="00DC0273">
        <w:rPr>
          <w:rFonts w:ascii="Times New Roman" w:hAnsi="Times New Roman" w:cs="Times New Roman"/>
          <w:sz w:val="24"/>
          <w:szCs w:val="24"/>
        </w:rPr>
        <w:t xml:space="preserve">considering civil litigation in Victoria, and that is courts governance.  We have had </w:t>
      </w:r>
      <w:r w:rsidR="00211543" w:rsidRPr="00DC0273">
        <w:rPr>
          <w:rFonts w:ascii="Times New Roman" w:hAnsi="Times New Roman" w:cs="Times New Roman"/>
          <w:sz w:val="24"/>
          <w:szCs w:val="24"/>
        </w:rPr>
        <w:t xml:space="preserve">Court Services Victoria </w:t>
      </w:r>
      <w:r w:rsidRPr="00DC0273">
        <w:rPr>
          <w:rFonts w:ascii="Times New Roman" w:hAnsi="Times New Roman" w:cs="Times New Roman"/>
          <w:sz w:val="24"/>
          <w:szCs w:val="24"/>
        </w:rPr>
        <w:t>now in Victoria for 18</w:t>
      </w:r>
      <w:r w:rsidR="00182118" w:rsidRPr="00DC0273">
        <w:rPr>
          <w:rFonts w:ascii="Times New Roman" w:hAnsi="Times New Roman" w:cs="Times New Roman"/>
          <w:sz w:val="24"/>
          <w:szCs w:val="24"/>
        </w:rPr>
        <w:t xml:space="preserve"> months</w:t>
      </w:r>
      <w:r w:rsidRPr="00DC0273">
        <w:rPr>
          <w:rFonts w:ascii="Times New Roman" w:hAnsi="Times New Roman" w:cs="Times New Roman"/>
          <w:sz w:val="24"/>
          <w:szCs w:val="24"/>
        </w:rPr>
        <w:t xml:space="preserve">.  </w:t>
      </w:r>
      <w:r w:rsidR="003F0069" w:rsidRPr="00DC0273">
        <w:rPr>
          <w:rFonts w:ascii="Times New Roman" w:hAnsi="Times New Roman" w:cs="Times New Roman"/>
          <w:sz w:val="24"/>
          <w:szCs w:val="24"/>
        </w:rPr>
        <w:t>T</w:t>
      </w:r>
      <w:r w:rsidRPr="00DC0273">
        <w:rPr>
          <w:rFonts w:ascii="Times New Roman" w:hAnsi="Times New Roman" w:cs="Times New Roman"/>
          <w:sz w:val="24"/>
          <w:szCs w:val="24"/>
        </w:rPr>
        <w:t xml:space="preserve">he </w:t>
      </w:r>
      <w:r w:rsidR="003F0069" w:rsidRPr="00DC0273">
        <w:rPr>
          <w:rFonts w:ascii="Times New Roman" w:hAnsi="Times New Roman" w:cs="Times New Roman"/>
          <w:sz w:val="24"/>
          <w:szCs w:val="24"/>
        </w:rPr>
        <w:t xml:space="preserve">Victorian </w:t>
      </w:r>
      <w:r w:rsidRPr="00DC0273">
        <w:rPr>
          <w:rFonts w:ascii="Times New Roman" w:hAnsi="Times New Roman" w:cs="Times New Roman"/>
          <w:sz w:val="24"/>
          <w:szCs w:val="24"/>
        </w:rPr>
        <w:t xml:space="preserve">courts </w:t>
      </w:r>
      <w:r w:rsidR="003F0069" w:rsidRPr="00DC0273">
        <w:rPr>
          <w:rFonts w:ascii="Times New Roman" w:hAnsi="Times New Roman" w:cs="Times New Roman"/>
          <w:sz w:val="24"/>
          <w:szCs w:val="24"/>
        </w:rPr>
        <w:t xml:space="preserve">and VCAT </w:t>
      </w:r>
      <w:r w:rsidRPr="00DC0273">
        <w:rPr>
          <w:rFonts w:ascii="Times New Roman" w:hAnsi="Times New Roman" w:cs="Times New Roman"/>
          <w:sz w:val="24"/>
          <w:szCs w:val="24"/>
        </w:rPr>
        <w:t>have been separated from the Department of Justice and hence we are able to advocate directly to the Attorney-General, the Department of Treasury and Finance and work with the Department of Justice to ensur</w:t>
      </w:r>
      <w:r w:rsidR="00C87EB2" w:rsidRPr="00DC0273">
        <w:rPr>
          <w:rFonts w:ascii="Times New Roman" w:hAnsi="Times New Roman" w:cs="Times New Roman"/>
          <w:sz w:val="24"/>
          <w:szCs w:val="24"/>
        </w:rPr>
        <w:t xml:space="preserve">e that the courts are properly resourced </w:t>
      </w:r>
      <w:r w:rsidRPr="00DC0273">
        <w:rPr>
          <w:rFonts w:ascii="Times New Roman" w:hAnsi="Times New Roman" w:cs="Times New Roman"/>
          <w:sz w:val="24"/>
          <w:szCs w:val="24"/>
        </w:rPr>
        <w:t>and able to provide the service</w:t>
      </w:r>
      <w:r w:rsidR="003F0069" w:rsidRPr="00DC0273">
        <w:rPr>
          <w:rFonts w:ascii="Times New Roman" w:hAnsi="Times New Roman" w:cs="Times New Roman"/>
          <w:sz w:val="24"/>
          <w:szCs w:val="24"/>
        </w:rPr>
        <w:t>s expected of them</w:t>
      </w:r>
      <w:r w:rsidRPr="00DC0273">
        <w:rPr>
          <w:rFonts w:ascii="Times New Roman" w:hAnsi="Times New Roman" w:cs="Times New Roman"/>
          <w:sz w:val="24"/>
          <w:szCs w:val="24"/>
        </w:rPr>
        <w:t xml:space="preserve">.  </w:t>
      </w:r>
    </w:p>
    <w:p w14:paraId="0609E451" w14:textId="77777777" w:rsidR="009D0355" w:rsidRPr="00DC0273" w:rsidRDefault="009D0355" w:rsidP="00905BC2">
      <w:pPr>
        <w:spacing w:after="0" w:line="276" w:lineRule="auto"/>
        <w:ind w:firstLine="720"/>
        <w:jc w:val="both"/>
        <w:rPr>
          <w:rFonts w:ascii="Times New Roman" w:hAnsi="Times New Roman" w:cs="Times New Roman"/>
          <w:sz w:val="24"/>
          <w:szCs w:val="24"/>
        </w:rPr>
      </w:pPr>
    </w:p>
    <w:p w14:paraId="04CF7FEE" w14:textId="7DC23911" w:rsidR="00C87EB2" w:rsidRPr="00DC0273" w:rsidRDefault="009D0355"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As Court Services Victoria develops under the guidance of it</w:t>
      </w:r>
      <w:r w:rsidR="00C87EB2" w:rsidRPr="00DC0273">
        <w:rPr>
          <w:rFonts w:ascii="Times New Roman" w:hAnsi="Times New Roman" w:cs="Times New Roman"/>
          <w:sz w:val="24"/>
          <w:szCs w:val="24"/>
        </w:rPr>
        <w:t>s governing council, the Courts’</w:t>
      </w:r>
      <w:r w:rsidR="00B3567F" w:rsidRPr="00DC0273">
        <w:rPr>
          <w:rFonts w:ascii="Times New Roman" w:hAnsi="Times New Roman" w:cs="Times New Roman"/>
          <w:sz w:val="24"/>
          <w:szCs w:val="24"/>
        </w:rPr>
        <w:t xml:space="preserve"> </w:t>
      </w:r>
      <w:r w:rsidR="00C87EB2" w:rsidRPr="00DC0273">
        <w:rPr>
          <w:rFonts w:ascii="Times New Roman" w:hAnsi="Times New Roman" w:cs="Times New Roman"/>
          <w:sz w:val="24"/>
          <w:szCs w:val="24"/>
        </w:rPr>
        <w:t>C</w:t>
      </w:r>
      <w:r w:rsidRPr="00DC0273">
        <w:rPr>
          <w:rFonts w:ascii="Times New Roman" w:hAnsi="Times New Roman" w:cs="Times New Roman"/>
          <w:sz w:val="24"/>
          <w:szCs w:val="24"/>
        </w:rPr>
        <w:t xml:space="preserve">ouncil, the quality of service and the performance of the courts in the administration of justice generally will be improved.  </w:t>
      </w:r>
    </w:p>
    <w:p w14:paraId="61D3EDA5" w14:textId="77777777" w:rsidR="00C87EB2" w:rsidRPr="00DC0273" w:rsidRDefault="00C87EB2" w:rsidP="00905BC2">
      <w:pPr>
        <w:spacing w:after="0" w:line="276" w:lineRule="auto"/>
        <w:ind w:firstLine="720"/>
        <w:jc w:val="both"/>
        <w:rPr>
          <w:rFonts w:ascii="Times New Roman" w:hAnsi="Times New Roman" w:cs="Times New Roman"/>
          <w:sz w:val="24"/>
          <w:szCs w:val="24"/>
        </w:rPr>
      </w:pPr>
    </w:p>
    <w:p w14:paraId="3F87BD72" w14:textId="3CFCC553" w:rsidR="009D0355" w:rsidRPr="00DC0273" w:rsidRDefault="009D0355"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lastRenderedPageBreak/>
        <w:t xml:space="preserve">I am reminded of the commentary of the Rule One initiative </w:t>
      </w:r>
      <w:r w:rsidRPr="00DC0273">
        <w:rPr>
          <w:rFonts w:ascii="Times New Roman" w:hAnsi="Times New Roman" w:cs="Times New Roman"/>
          <w:i/>
          <w:sz w:val="24"/>
          <w:szCs w:val="24"/>
        </w:rPr>
        <w:t>Change the Culture</w:t>
      </w:r>
      <w:r w:rsidR="00211543" w:rsidRPr="00DC0273">
        <w:rPr>
          <w:rFonts w:ascii="Times New Roman" w:hAnsi="Times New Roman" w:cs="Times New Roman"/>
          <w:i/>
          <w:sz w:val="24"/>
          <w:szCs w:val="24"/>
        </w:rPr>
        <w:t>,</w:t>
      </w:r>
      <w:r w:rsidRPr="00DC0273">
        <w:rPr>
          <w:rFonts w:ascii="Times New Roman" w:hAnsi="Times New Roman" w:cs="Times New Roman"/>
          <w:i/>
          <w:sz w:val="24"/>
          <w:szCs w:val="24"/>
        </w:rPr>
        <w:t xml:space="preserve"> Change the System – Top 10 Cultural Shifts Needed to Create the Courts of Tomorrow.</w:t>
      </w:r>
      <w:r w:rsidRPr="00DC0273">
        <w:rPr>
          <w:rStyle w:val="FootnoteReference"/>
          <w:rFonts w:ascii="Times New Roman" w:hAnsi="Times New Roman" w:cs="Times New Roman"/>
          <w:i/>
          <w:sz w:val="24"/>
          <w:szCs w:val="24"/>
        </w:rPr>
        <w:footnoteReference w:id="23"/>
      </w:r>
      <w:r w:rsidR="00211543" w:rsidRPr="00DC0273">
        <w:rPr>
          <w:rFonts w:ascii="Times New Roman" w:hAnsi="Times New Roman" w:cs="Times New Roman"/>
          <w:i/>
          <w:sz w:val="24"/>
          <w:szCs w:val="24"/>
        </w:rPr>
        <w:t xml:space="preserve">  </w:t>
      </w:r>
      <w:r w:rsidRPr="00DC0273">
        <w:rPr>
          <w:rFonts w:ascii="Times New Roman" w:hAnsi="Times New Roman" w:cs="Times New Roman"/>
          <w:sz w:val="24"/>
          <w:szCs w:val="24"/>
        </w:rPr>
        <w:t xml:space="preserve">Under the heading </w:t>
      </w:r>
      <w:r w:rsidRPr="00DC0273">
        <w:rPr>
          <w:rFonts w:ascii="Times New Roman" w:hAnsi="Times New Roman" w:cs="Times New Roman"/>
          <w:i/>
          <w:sz w:val="24"/>
          <w:szCs w:val="24"/>
        </w:rPr>
        <w:t xml:space="preserve">Efficiency </w:t>
      </w:r>
      <w:proofErr w:type="gramStart"/>
      <w:r w:rsidRPr="00DC0273">
        <w:rPr>
          <w:rFonts w:ascii="Times New Roman" w:hAnsi="Times New Roman" w:cs="Times New Roman"/>
          <w:i/>
          <w:sz w:val="24"/>
          <w:szCs w:val="24"/>
        </w:rPr>
        <w:t>Up</w:t>
      </w:r>
      <w:proofErr w:type="gramEnd"/>
      <w:r w:rsidRPr="00DC0273">
        <w:rPr>
          <w:rFonts w:ascii="Times New Roman" w:hAnsi="Times New Roman" w:cs="Times New Roman"/>
          <w:i/>
          <w:sz w:val="24"/>
          <w:szCs w:val="24"/>
        </w:rPr>
        <w:t xml:space="preserve"> the Court Ladder</w:t>
      </w:r>
      <w:r w:rsidR="00211543" w:rsidRPr="00DC0273">
        <w:rPr>
          <w:rFonts w:ascii="Times New Roman" w:hAnsi="Times New Roman" w:cs="Times New Roman"/>
          <w:i/>
          <w:sz w:val="24"/>
          <w:szCs w:val="24"/>
        </w:rPr>
        <w:t>,</w:t>
      </w:r>
      <w:r w:rsidRPr="00DC0273">
        <w:rPr>
          <w:rFonts w:ascii="Times New Roman" w:hAnsi="Times New Roman" w:cs="Times New Roman"/>
          <w:i/>
          <w:sz w:val="24"/>
          <w:szCs w:val="24"/>
        </w:rPr>
        <w:t xml:space="preserve"> </w:t>
      </w:r>
      <w:r w:rsidRPr="00DC0273">
        <w:rPr>
          <w:rFonts w:ascii="Times New Roman" w:hAnsi="Times New Roman" w:cs="Times New Roman"/>
          <w:sz w:val="24"/>
          <w:szCs w:val="24"/>
        </w:rPr>
        <w:t>the statement is made that ‘we need to utilise everyone with</w:t>
      </w:r>
      <w:r w:rsidR="00211543" w:rsidRPr="00DC0273">
        <w:rPr>
          <w:rFonts w:ascii="Times New Roman" w:hAnsi="Times New Roman" w:cs="Times New Roman"/>
          <w:sz w:val="24"/>
          <w:szCs w:val="24"/>
        </w:rPr>
        <w:t>in</w:t>
      </w:r>
      <w:r w:rsidRPr="00DC0273">
        <w:rPr>
          <w:rFonts w:ascii="Times New Roman" w:hAnsi="Times New Roman" w:cs="Times New Roman"/>
          <w:sz w:val="24"/>
          <w:szCs w:val="24"/>
        </w:rPr>
        <w:t xml:space="preserve"> the court structure more effectively and efficiently’.  This is where Court Services Victoria comes in.  Already in a period of 18 months we are seeing a more effective and efficient utilisation of court staff to support </w:t>
      </w:r>
      <w:r w:rsidR="00C87EB2" w:rsidRPr="00DC0273">
        <w:rPr>
          <w:rFonts w:ascii="Times New Roman" w:hAnsi="Times New Roman" w:cs="Times New Roman"/>
          <w:sz w:val="24"/>
          <w:szCs w:val="24"/>
        </w:rPr>
        <w:t xml:space="preserve">Victorian </w:t>
      </w:r>
      <w:r w:rsidRPr="00DC0273">
        <w:rPr>
          <w:rFonts w:ascii="Times New Roman" w:hAnsi="Times New Roman" w:cs="Times New Roman"/>
          <w:sz w:val="24"/>
          <w:szCs w:val="24"/>
        </w:rPr>
        <w:t xml:space="preserve">judges </w:t>
      </w:r>
      <w:r w:rsidR="00C87EB2" w:rsidRPr="00DC0273">
        <w:rPr>
          <w:rFonts w:ascii="Times New Roman" w:hAnsi="Times New Roman" w:cs="Times New Roman"/>
          <w:sz w:val="24"/>
          <w:szCs w:val="24"/>
        </w:rPr>
        <w:t xml:space="preserve">and magistrates </w:t>
      </w:r>
      <w:r w:rsidRPr="00DC0273">
        <w:rPr>
          <w:rFonts w:ascii="Times New Roman" w:hAnsi="Times New Roman" w:cs="Times New Roman"/>
          <w:sz w:val="24"/>
          <w:szCs w:val="24"/>
        </w:rPr>
        <w:t xml:space="preserve">in their work.  Relevantly, the </w:t>
      </w:r>
      <w:r w:rsidR="00C87EB2" w:rsidRPr="00DC0273">
        <w:rPr>
          <w:rFonts w:ascii="Times New Roman" w:hAnsi="Times New Roman" w:cs="Times New Roman"/>
          <w:i/>
          <w:sz w:val="24"/>
          <w:szCs w:val="24"/>
        </w:rPr>
        <w:t>Change the Culture</w:t>
      </w:r>
      <w:r w:rsidRPr="00DC0273">
        <w:rPr>
          <w:rFonts w:ascii="Times New Roman" w:hAnsi="Times New Roman" w:cs="Times New Roman"/>
          <w:sz w:val="24"/>
          <w:szCs w:val="24"/>
        </w:rPr>
        <w:t xml:space="preserve"> document provides:</w:t>
      </w:r>
    </w:p>
    <w:p w14:paraId="6914D9DE" w14:textId="77777777" w:rsidR="006E4562" w:rsidRPr="00DC0273" w:rsidRDefault="006E4562" w:rsidP="00905BC2">
      <w:pPr>
        <w:spacing w:after="0" w:line="276" w:lineRule="auto"/>
        <w:ind w:firstLine="720"/>
        <w:jc w:val="both"/>
        <w:rPr>
          <w:rFonts w:ascii="Times New Roman" w:hAnsi="Times New Roman" w:cs="Times New Roman"/>
          <w:sz w:val="24"/>
          <w:szCs w:val="24"/>
        </w:rPr>
      </w:pPr>
    </w:p>
    <w:p w14:paraId="1EE12E2D" w14:textId="77777777" w:rsidR="006E4562" w:rsidRPr="00DC0273" w:rsidRDefault="006E4562" w:rsidP="00905BC2">
      <w:pPr>
        <w:spacing w:after="0" w:line="276" w:lineRule="auto"/>
        <w:ind w:left="720"/>
        <w:jc w:val="both"/>
        <w:rPr>
          <w:rFonts w:ascii="Times New Roman" w:hAnsi="Times New Roman" w:cs="Times New Roman"/>
          <w:sz w:val="24"/>
          <w:szCs w:val="24"/>
        </w:rPr>
      </w:pPr>
      <w:r w:rsidRPr="00DC0273">
        <w:rPr>
          <w:rFonts w:ascii="Times New Roman" w:hAnsi="Times New Roman" w:cs="Times New Roman"/>
          <w:sz w:val="24"/>
          <w:szCs w:val="24"/>
        </w:rPr>
        <w:t>A critical way in which courts can make a difference in the provision of court services is to rethink the court structure so as to utilize everyone in the most efficient and effective way. With the advent of electronic filing and electronic case management systems, there are different staff needs in our courthouses today than there were 20 years ago. The modern court must be staffed in a way that employs each person in the most efficient way possible.</w:t>
      </w:r>
    </w:p>
    <w:p w14:paraId="3FB53E01" w14:textId="77777777" w:rsidR="006E4562" w:rsidRPr="00DC0273" w:rsidRDefault="006E4562" w:rsidP="00905BC2">
      <w:pPr>
        <w:spacing w:after="0" w:line="276" w:lineRule="auto"/>
        <w:ind w:left="720" w:firstLine="720"/>
        <w:jc w:val="both"/>
        <w:rPr>
          <w:rFonts w:ascii="Times New Roman" w:hAnsi="Times New Roman" w:cs="Times New Roman"/>
          <w:sz w:val="24"/>
          <w:szCs w:val="24"/>
        </w:rPr>
      </w:pPr>
    </w:p>
    <w:p w14:paraId="1EA33746" w14:textId="41801940" w:rsidR="009D0355" w:rsidRPr="00DC0273" w:rsidRDefault="006E4562" w:rsidP="00905BC2">
      <w:pPr>
        <w:spacing w:after="0" w:line="276" w:lineRule="auto"/>
        <w:ind w:left="720"/>
        <w:jc w:val="both"/>
        <w:rPr>
          <w:rFonts w:ascii="Times New Roman" w:hAnsi="Times New Roman" w:cs="Times New Roman"/>
          <w:sz w:val="24"/>
          <w:szCs w:val="24"/>
        </w:rPr>
      </w:pPr>
      <w:r w:rsidRPr="00DC0273">
        <w:rPr>
          <w:rFonts w:ascii="Times New Roman" w:hAnsi="Times New Roman" w:cs="Times New Roman"/>
          <w:sz w:val="24"/>
          <w:szCs w:val="24"/>
        </w:rPr>
        <w:t>Moreover, we need to rethink how we utilize the court infrastructure. Starting with judges, we need to recognize when a task requires a judge's deliberative function and when the task can be done by someone else. Judges have the most experience and education. They should be doing the work that requires that</w:t>
      </w:r>
      <w:r w:rsidR="002B095E" w:rsidRPr="00DC0273">
        <w:rPr>
          <w:rFonts w:ascii="Times New Roman" w:hAnsi="Times New Roman" w:cs="Times New Roman"/>
          <w:sz w:val="24"/>
          <w:szCs w:val="24"/>
        </w:rPr>
        <w:t xml:space="preserve"> experience and education, and other tasks should</w:t>
      </w:r>
      <w:r w:rsidRPr="00DC0273">
        <w:rPr>
          <w:rFonts w:ascii="Times New Roman" w:hAnsi="Times New Roman" w:cs="Times New Roman"/>
          <w:sz w:val="24"/>
          <w:szCs w:val="24"/>
        </w:rPr>
        <w:t xml:space="preserve"> be more efficiently allocated to others who can</w:t>
      </w:r>
      <w:r w:rsidR="00211543" w:rsidRPr="00DC0273">
        <w:rPr>
          <w:rFonts w:ascii="Times New Roman" w:hAnsi="Times New Roman" w:cs="Times New Roman"/>
          <w:sz w:val="24"/>
          <w:szCs w:val="24"/>
        </w:rPr>
        <w:t xml:space="preserve"> provide support for the judges </w:t>
      </w:r>
      <w:r w:rsidRPr="00DC0273">
        <w:rPr>
          <w:rFonts w:ascii="Times New Roman" w:hAnsi="Times New Roman" w:cs="Times New Roman"/>
          <w:sz w:val="24"/>
          <w:szCs w:val="24"/>
        </w:rPr>
        <w:t xml:space="preserve">be it law clerks, staff lawyers, etc. Certain aspects of case processing can clearly be undertaken by </w:t>
      </w:r>
      <w:proofErr w:type="spellStart"/>
      <w:r w:rsidRPr="00DC0273">
        <w:rPr>
          <w:rFonts w:ascii="Times New Roman" w:hAnsi="Times New Roman" w:cs="Times New Roman"/>
          <w:sz w:val="24"/>
          <w:szCs w:val="24"/>
        </w:rPr>
        <w:t>non­judicial</w:t>
      </w:r>
      <w:proofErr w:type="spellEnd"/>
      <w:r w:rsidRPr="00DC0273">
        <w:rPr>
          <w:rFonts w:ascii="Times New Roman" w:hAnsi="Times New Roman" w:cs="Times New Roman"/>
          <w:sz w:val="24"/>
          <w:szCs w:val="24"/>
        </w:rPr>
        <w:t xml:space="preserve"> or quasi-judicial personnel. It is critical that everyone work as a team, recognizing the valuable roles that everyone plays at all levels. We should not be cabined by the traditional positions or responsibilities of court staff. We need to rethink how best to allocate the work of the court in this modern age. Just as law firms are being moved in this direction by the market, so too must courts adjust to the needs of modern society. We need to think with openness about the best way to do what court systems do.</w:t>
      </w:r>
      <w:r w:rsidRPr="00DC0273">
        <w:rPr>
          <w:rStyle w:val="FootnoteReference"/>
          <w:rFonts w:ascii="Times New Roman" w:hAnsi="Times New Roman" w:cs="Times New Roman"/>
          <w:sz w:val="24"/>
          <w:szCs w:val="24"/>
        </w:rPr>
        <w:footnoteReference w:id="24"/>
      </w:r>
    </w:p>
    <w:p w14:paraId="038A804B" w14:textId="0653508B" w:rsidR="003F0069" w:rsidRPr="00DC0273" w:rsidRDefault="003F0069" w:rsidP="00905BC2">
      <w:pPr>
        <w:spacing w:after="0" w:line="276" w:lineRule="auto"/>
        <w:jc w:val="both"/>
        <w:rPr>
          <w:rFonts w:ascii="Times New Roman" w:hAnsi="Times New Roman" w:cs="Times New Roman"/>
          <w:sz w:val="24"/>
          <w:szCs w:val="24"/>
        </w:rPr>
      </w:pPr>
    </w:p>
    <w:p w14:paraId="51034AA4" w14:textId="7A89BA6C" w:rsidR="003F0069" w:rsidRPr="00DC0273" w:rsidRDefault="003F0069"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Courts Performance</w:t>
      </w:r>
      <w:r w:rsidR="00C87EB2" w:rsidRPr="00DC0273">
        <w:rPr>
          <w:rStyle w:val="FootnoteReference"/>
          <w:rFonts w:ascii="Times New Roman" w:hAnsi="Times New Roman" w:cs="Times New Roman"/>
          <w:b/>
          <w:sz w:val="24"/>
          <w:szCs w:val="24"/>
        </w:rPr>
        <w:footnoteReference w:id="25"/>
      </w:r>
    </w:p>
    <w:p w14:paraId="583814FB" w14:textId="77777777" w:rsidR="005C3C18" w:rsidRPr="00DC0273" w:rsidRDefault="005C3C18" w:rsidP="00905BC2">
      <w:pPr>
        <w:spacing w:after="0" w:line="276" w:lineRule="auto"/>
        <w:jc w:val="both"/>
        <w:rPr>
          <w:rFonts w:ascii="Times New Roman" w:hAnsi="Times New Roman" w:cs="Times New Roman"/>
          <w:sz w:val="24"/>
          <w:szCs w:val="24"/>
        </w:rPr>
      </w:pPr>
    </w:p>
    <w:p w14:paraId="1BB3D19B" w14:textId="01CB8910" w:rsidR="004576BA" w:rsidRPr="00DC0273" w:rsidRDefault="007C1469"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 also need to touch upon</w:t>
      </w:r>
      <w:r w:rsidR="00313459" w:rsidRPr="00DC0273">
        <w:rPr>
          <w:rFonts w:ascii="Times New Roman" w:hAnsi="Times New Roman" w:cs="Times New Roman"/>
          <w:sz w:val="24"/>
          <w:szCs w:val="24"/>
        </w:rPr>
        <w:t xml:space="preserve"> the </w:t>
      </w:r>
      <w:r w:rsidR="00211543" w:rsidRPr="00DC0273">
        <w:rPr>
          <w:rFonts w:ascii="Times New Roman" w:hAnsi="Times New Roman" w:cs="Times New Roman"/>
          <w:sz w:val="24"/>
          <w:szCs w:val="24"/>
        </w:rPr>
        <w:t>International Framework f</w:t>
      </w:r>
      <w:r w:rsidRPr="00DC0273">
        <w:rPr>
          <w:rFonts w:ascii="Times New Roman" w:hAnsi="Times New Roman" w:cs="Times New Roman"/>
          <w:sz w:val="24"/>
          <w:szCs w:val="24"/>
        </w:rPr>
        <w:t>or Court Excellence</w:t>
      </w:r>
      <w:r w:rsidR="00313459" w:rsidRPr="00DC0273">
        <w:rPr>
          <w:rFonts w:ascii="Times New Roman" w:hAnsi="Times New Roman" w:cs="Times New Roman"/>
          <w:sz w:val="24"/>
          <w:szCs w:val="24"/>
        </w:rPr>
        <w:t>.  In Victoria, all of the Victorian c</w:t>
      </w:r>
      <w:r w:rsidRPr="00DC0273">
        <w:rPr>
          <w:rFonts w:ascii="Times New Roman" w:hAnsi="Times New Roman" w:cs="Times New Roman"/>
          <w:sz w:val="24"/>
          <w:szCs w:val="24"/>
        </w:rPr>
        <w:t>ourts are subject to assessment</w:t>
      </w:r>
      <w:r w:rsidR="00211543" w:rsidRPr="00DC0273">
        <w:rPr>
          <w:rFonts w:ascii="Times New Roman" w:hAnsi="Times New Roman" w:cs="Times New Roman"/>
          <w:sz w:val="24"/>
          <w:szCs w:val="24"/>
        </w:rPr>
        <w:t>,</w:t>
      </w:r>
      <w:r w:rsidR="00313459" w:rsidRPr="00DC0273">
        <w:rPr>
          <w:rFonts w:ascii="Times New Roman" w:hAnsi="Times New Roman" w:cs="Times New Roman"/>
          <w:sz w:val="24"/>
          <w:szCs w:val="24"/>
        </w:rPr>
        <w:t xml:space="preserve"> effectively self-asses</w:t>
      </w:r>
      <w:r w:rsidR="00C87EB2" w:rsidRPr="00DC0273">
        <w:rPr>
          <w:rFonts w:ascii="Times New Roman" w:hAnsi="Times New Roman" w:cs="Times New Roman"/>
          <w:sz w:val="24"/>
          <w:szCs w:val="24"/>
        </w:rPr>
        <w:t>sment, under the I</w:t>
      </w:r>
      <w:r w:rsidRPr="00DC0273">
        <w:rPr>
          <w:rFonts w:ascii="Times New Roman" w:hAnsi="Times New Roman" w:cs="Times New Roman"/>
          <w:sz w:val="24"/>
          <w:szCs w:val="24"/>
        </w:rPr>
        <w:t>nternational F</w:t>
      </w:r>
      <w:r w:rsidR="00313459" w:rsidRPr="00DC0273">
        <w:rPr>
          <w:rFonts w:ascii="Times New Roman" w:hAnsi="Times New Roman" w:cs="Times New Roman"/>
          <w:sz w:val="24"/>
          <w:szCs w:val="24"/>
        </w:rPr>
        <w:t>ramework.  The Australasian Institute of Judicial Administration has played a leadership role i</w:t>
      </w:r>
      <w:r w:rsidRPr="00DC0273">
        <w:rPr>
          <w:rFonts w:ascii="Times New Roman" w:hAnsi="Times New Roman" w:cs="Times New Roman"/>
          <w:sz w:val="24"/>
          <w:szCs w:val="24"/>
        </w:rPr>
        <w:t>n the foundation of the F</w:t>
      </w:r>
      <w:r w:rsidR="00313459" w:rsidRPr="00DC0273">
        <w:rPr>
          <w:rFonts w:ascii="Times New Roman" w:hAnsi="Times New Roman" w:cs="Times New Roman"/>
          <w:sz w:val="24"/>
          <w:szCs w:val="24"/>
        </w:rPr>
        <w:t xml:space="preserve">ramework.  </w:t>
      </w:r>
      <w:r w:rsidRPr="00DC0273">
        <w:rPr>
          <w:rFonts w:ascii="Times New Roman" w:hAnsi="Times New Roman" w:cs="Times New Roman"/>
          <w:sz w:val="24"/>
          <w:szCs w:val="24"/>
        </w:rPr>
        <w:t xml:space="preserve">Victoria has </w:t>
      </w:r>
      <w:r w:rsidR="00C84BBB" w:rsidRPr="00DC0273">
        <w:rPr>
          <w:rFonts w:ascii="Times New Roman" w:hAnsi="Times New Roman" w:cs="Times New Roman"/>
          <w:sz w:val="24"/>
          <w:szCs w:val="24"/>
        </w:rPr>
        <w:t xml:space="preserve">adopted the Framework.  As </w:t>
      </w:r>
      <w:r w:rsidR="00313459" w:rsidRPr="00DC0273">
        <w:rPr>
          <w:rFonts w:ascii="Times New Roman" w:hAnsi="Times New Roman" w:cs="Times New Roman"/>
          <w:sz w:val="24"/>
          <w:szCs w:val="24"/>
        </w:rPr>
        <w:t xml:space="preserve">far as I know, we are the only </w:t>
      </w:r>
      <w:r w:rsidR="00BF6ADA" w:rsidRPr="00DC0273">
        <w:rPr>
          <w:rFonts w:ascii="Times New Roman" w:hAnsi="Times New Roman" w:cs="Times New Roman"/>
          <w:sz w:val="24"/>
          <w:szCs w:val="24"/>
        </w:rPr>
        <w:t>jurisdiction where every court an</w:t>
      </w:r>
      <w:r w:rsidR="00C84BBB" w:rsidRPr="00DC0273">
        <w:rPr>
          <w:rFonts w:ascii="Times New Roman" w:hAnsi="Times New Roman" w:cs="Times New Roman"/>
          <w:sz w:val="24"/>
          <w:szCs w:val="24"/>
        </w:rPr>
        <w:t>d tribunal has committed to the F</w:t>
      </w:r>
      <w:r w:rsidR="00BF6ADA" w:rsidRPr="00DC0273">
        <w:rPr>
          <w:rFonts w:ascii="Times New Roman" w:hAnsi="Times New Roman" w:cs="Times New Roman"/>
          <w:sz w:val="24"/>
          <w:szCs w:val="24"/>
        </w:rPr>
        <w:t>ramework</w:t>
      </w:r>
      <w:r w:rsidR="00C84BBB" w:rsidRPr="00DC0273">
        <w:rPr>
          <w:rFonts w:ascii="Times New Roman" w:hAnsi="Times New Roman" w:cs="Times New Roman"/>
          <w:sz w:val="24"/>
          <w:szCs w:val="24"/>
        </w:rPr>
        <w:t>.  O</w:t>
      </w:r>
      <w:r w:rsidR="00BF6ADA" w:rsidRPr="00DC0273">
        <w:rPr>
          <w:rFonts w:ascii="Times New Roman" w:hAnsi="Times New Roman" w:cs="Times New Roman"/>
          <w:sz w:val="24"/>
          <w:szCs w:val="24"/>
        </w:rPr>
        <w:t xml:space="preserve">ur performance is being measured by the criteria laid down in the </w:t>
      </w:r>
      <w:r w:rsidR="00C84BBB" w:rsidRPr="00DC0273">
        <w:rPr>
          <w:rFonts w:ascii="Times New Roman" w:hAnsi="Times New Roman" w:cs="Times New Roman"/>
          <w:sz w:val="24"/>
          <w:szCs w:val="24"/>
        </w:rPr>
        <w:t>F</w:t>
      </w:r>
      <w:r w:rsidR="00BF6ADA" w:rsidRPr="00DC0273">
        <w:rPr>
          <w:rFonts w:ascii="Times New Roman" w:hAnsi="Times New Roman" w:cs="Times New Roman"/>
          <w:sz w:val="24"/>
          <w:szCs w:val="24"/>
        </w:rPr>
        <w:t>ramework.</w:t>
      </w:r>
    </w:p>
    <w:p w14:paraId="408578CA" w14:textId="77777777" w:rsidR="004576BA" w:rsidRPr="00DC0273" w:rsidRDefault="004576BA" w:rsidP="00905BC2">
      <w:pPr>
        <w:spacing w:after="0" w:line="276" w:lineRule="auto"/>
        <w:ind w:firstLine="720"/>
        <w:jc w:val="both"/>
        <w:rPr>
          <w:rFonts w:ascii="Times New Roman" w:hAnsi="Times New Roman" w:cs="Times New Roman"/>
          <w:sz w:val="24"/>
          <w:szCs w:val="24"/>
        </w:rPr>
      </w:pPr>
    </w:p>
    <w:p w14:paraId="198E4ADB" w14:textId="77777777" w:rsidR="004576BA" w:rsidRPr="00DC0273" w:rsidRDefault="004576BA" w:rsidP="00905BC2">
      <w:pPr>
        <w:spacing w:after="0" w:line="276" w:lineRule="auto"/>
        <w:ind w:firstLine="720"/>
        <w:jc w:val="both"/>
        <w:rPr>
          <w:rFonts w:ascii="Times New Roman" w:eastAsia="Arial" w:hAnsi="Times New Roman" w:cs="Times New Roman"/>
          <w:bCs/>
          <w:sz w:val="24"/>
          <w:szCs w:val="24"/>
        </w:rPr>
      </w:pPr>
      <w:r w:rsidRPr="00DC0273">
        <w:rPr>
          <w:rFonts w:ascii="Times New Roman" w:eastAsia="Arial" w:hAnsi="Times New Roman" w:cs="Times New Roman"/>
          <w:bCs/>
          <w:sz w:val="24"/>
          <w:szCs w:val="24"/>
        </w:rPr>
        <w:t>The International Framework for Court Excellence has provided a means for court accountability through self-assessment and self-improvement without compromising judicial independence.</w:t>
      </w:r>
    </w:p>
    <w:p w14:paraId="1244B833" w14:textId="77777777" w:rsidR="004576BA" w:rsidRPr="00DC0273" w:rsidRDefault="004576BA" w:rsidP="00905BC2">
      <w:pPr>
        <w:spacing w:after="0" w:line="276" w:lineRule="auto"/>
        <w:ind w:firstLine="720"/>
        <w:jc w:val="both"/>
        <w:rPr>
          <w:rFonts w:ascii="Times New Roman" w:eastAsia="Arial" w:hAnsi="Times New Roman" w:cs="Times New Roman"/>
          <w:bCs/>
          <w:sz w:val="24"/>
          <w:szCs w:val="24"/>
        </w:rPr>
      </w:pPr>
    </w:p>
    <w:p w14:paraId="3AB733AB" w14:textId="77777777" w:rsidR="004576BA" w:rsidRPr="00DC0273" w:rsidRDefault="004576BA" w:rsidP="00905BC2">
      <w:pPr>
        <w:spacing w:after="0" w:line="276" w:lineRule="auto"/>
        <w:ind w:firstLine="720"/>
        <w:jc w:val="both"/>
        <w:rPr>
          <w:rFonts w:ascii="Times New Roman" w:eastAsia="Arial" w:hAnsi="Times New Roman" w:cs="Times New Roman"/>
          <w:sz w:val="24"/>
          <w:szCs w:val="24"/>
          <w:lang w:val="en-US"/>
        </w:rPr>
      </w:pPr>
    </w:p>
    <w:p w14:paraId="3C015781" w14:textId="77777777" w:rsidR="004576BA" w:rsidRPr="00DC0273" w:rsidRDefault="004576BA" w:rsidP="00905BC2">
      <w:pPr>
        <w:keepNext/>
        <w:keepLines/>
        <w:numPr>
          <w:ilvl w:val="1"/>
          <w:numId w:val="0"/>
        </w:numPr>
        <w:tabs>
          <w:tab w:val="left" w:pos="680"/>
        </w:tabs>
        <w:spacing w:after="0" w:line="276" w:lineRule="auto"/>
        <w:ind w:left="576" w:hanging="576"/>
        <w:jc w:val="both"/>
        <w:outlineLvl w:val="1"/>
        <w:rPr>
          <w:rFonts w:ascii="Times New Roman" w:eastAsia="Arial" w:hAnsi="Times New Roman" w:cs="Times New Roman"/>
          <w:b/>
          <w:bCs/>
          <w:sz w:val="24"/>
          <w:szCs w:val="24"/>
          <w:lang w:eastAsia="en-AU"/>
        </w:rPr>
      </w:pPr>
      <w:r w:rsidRPr="00DC0273">
        <w:rPr>
          <w:rFonts w:ascii="Times New Roman" w:eastAsia="Arial" w:hAnsi="Times New Roman" w:cs="Times New Roman"/>
          <w:b/>
          <w:bCs/>
          <w:sz w:val="24"/>
          <w:szCs w:val="24"/>
          <w:lang w:eastAsia="en-AU"/>
        </w:rPr>
        <w:lastRenderedPageBreak/>
        <w:t>The Framework</w:t>
      </w:r>
    </w:p>
    <w:p w14:paraId="04DD9562" w14:textId="77777777" w:rsidR="005C3C18" w:rsidRPr="00DC0273" w:rsidRDefault="005C3C18" w:rsidP="00905BC2">
      <w:pPr>
        <w:keepNext/>
        <w:keepLines/>
        <w:numPr>
          <w:ilvl w:val="1"/>
          <w:numId w:val="0"/>
        </w:numPr>
        <w:tabs>
          <w:tab w:val="left" w:pos="680"/>
        </w:tabs>
        <w:spacing w:after="0" w:line="276" w:lineRule="auto"/>
        <w:ind w:left="576" w:hanging="576"/>
        <w:jc w:val="both"/>
        <w:outlineLvl w:val="1"/>
        <w:rPr>
          <w:rFonts w:ascii="Times New Roman" w:eastAsia="Arial" w:hAnsi="Times New Roman" w:cs="Times New Roman"/>
          <w:b/>
          <w:bCs/>
          <w:sz w:val="24"/>
          <w:szCs w:val="24"/>
          <w:lang w:eastAsia="en-AU"/>
        </w:rPr>
      </w:pPr>
    </w:p>
    <w:p w14:paraId="53B37195" w14:textId="77777777" w:rsidR="000A1598" w:rsidRPr="00DC0273" w:rsidRDefault="004576BA" w:rsidP="00905BC2">
      <w:pPr>
        <w:tabs>
          <w:tab w:val="left" w:pos="720"/>
        </w:tabs>
        <w:autoSpaceDE w:val="0"/>
        <w:autoSpaceDN w:val="0"/>
        <w:adjustRightInd w:val="0"/>
        <w:spacing w:after="0" w:line="276" w:lineRule="auto"/>
        <w:jc w:val="both"/>
        <w:textAlignment w:val="center"/>
        <w:rPr>
          <w:rFonts w:ascii="Times New Roman" w:eastAsia="Arial" w:hAnsi="Times New Roman" w:cs="Times New Roman"/>
          <w:sz w:val="24"/>
          <w:szCs w:val="24"/>
          <w:lang w:val="en-US"/>
        </w:rPr>
      </w:pPr>
      <w:r w:rsidRPr="00DC0273">
        <w:rPr>
          <w:rFonts w:ascii="Times New Roman" w:eastAsia="Arial" w:hAnsi="Times New Roman" w:cs="Times New Roman"/>
          <w:sz w:val="24"/>
          <w:szCs w:val="24"/>
          <w:lang w:val="en-US"/>
        </w:rPr>
        <w:tab/>
        <w:t>The foundation of the Framework is the clear statement of the fundamental values to which courts must adhere if they are to achieve excellence.  The Framework then presents seven detailed Areas for Court Excellence aligned with those values, by reference to which courts worldwide can voluntarily manage, assess and improve the quality of justice and court administration.</w:t>
      </w:r>
    </w:p>
    <w:p w14:paraId="30349690" w14:textId="77777777" w:rsidR="000A1598" w:rsidRPr="00DC0273" w:rsidRDefault="000A1598" w:rsidP="00905BC2">
      <w:pPr>
        <w:tabs>
          <w:tab w:val="left" w:pos="720"/>
        </w:tabs>
        <w:autoSpaceDE w:val="0"/>
        <w:autoSpaceDN w:val="0"/>
        <w:adjustRightInd w:val="0"/>
        <w:spacing w:after="0" w:line="276" w:lineRule="auto"/>
        <w:jc w:val="both"/>
        <w:textAlignment w:val="center"/>
        <w:rPr>
          <w:rFonts w:ascii="Times New Roman" w:eastAsia="Arial" w:hAnsi="Times New Roman" w:cs="Times New Roman"/>
          <w:sz w:val="24"/>
          <w:szCs w:val="24"/>
          <w:lang w:val="en-US"/>
        </w:rPr>
      </w:pPr>
    </w:p>
    <w:p w14:paraId="77FB82A5" w14:textId="5361481B" w:rsidR="004576BA" w:rsidRPr="00DC0273" w:rsidRDefault="000A1598" w:rsidP="00905BC2">
      <w:pPr>
        <w:tabs>
          <w:tab w:val="left" w:pos="720"/>
        </w:tabs>
        <w:autoSpaceDE w:val="0"/>
        <w:autoSpaceDN w:val="0"/>
        <w:adjustRightInd w:val="0"/>
        <w:spacing w:after="0" w:line="276" w:lineRule="auto"/>
        <w:jc w:val="both"/>
        <w:textAlignment w:val="center"/>
        <w:rPr>
          <w:rFonts w:ascii="Times New Roman" w:eastAsia="Arial" w:hAnsi="Times New Roman" w:cs="Times New Roman"/>
          <w:sz w:val="24"/>
          <w:szCs w:val="24"/>
          <w:lang w:val="en-US"/>
        </w:rPr>
      </w:pPr>
      <w:r w:rsidRPr="00DC0273">
        <w:rPr>
          <w:rFonts w:ascii="Times New Roman" w:eastAsia="Arial" w:hAnsi="Times New Roman" w:cs="Times New Roman"/>
          <w:sz w:val="24"/>
          <w:szCs w:val="24"/>
          <w:lang w:val="en-US"/>
        </w:rPr>
        <w:tab/>
      </w:r>
      <w:r w:rsidR="004576BA" w:rsidRPr="00DC0273">
        <w:rPr>
          <w:rFonts w:ascii="Times New Roman" w:eastAsia="Arial" w:hAnsi="Times New Roman" w:cs="Times New Roman"/>
          <w:sz w:val="24"/>
          <w:szCs w:val="24"/>
          <w:lang w:val="en-US"/>
        </w:rPr>
        <w:t>The Framework splits a court’s processes, practices, roles and functions into seven Areas for Court Excellence.  Each area represents an important focus for a court in its pursuit of excellence.  The significance of each of the seven areas is further clarified by their grouping into three categories.  The Framework clearly articulates that leadership and management is the “driver” of a court’s performance.  It then clusters three of the areas under the heading of “systems and enablers” and, finally, the three remaining areas under “results”.</w:t>
      </w:r>
    </w:p>
    <w:p w14:paraId="712114D8" w14:textId="77777777" w:rsidR="004576BA" w:rsidRPr="00DC0273" w:rsidRDefault="004576BA" w:rsidP="00905BC2">
      <w:pPr>
        <w:autoSpaceDE w:val="0"/>
        <w:autoSpaceDN w:val="0"/>
        <w:adjustRightInd w:val="0"/>
        <w:spacing w:after="0" w:line="276" w:lineRule="auto"/>
        <w:jc w:val="both"/>
        <w:textAlignment w:val="center"/>
        <w:rPr>
          <w:rFonts w:ascii="Times New Roman" w:eastAsia="Arial" w:hAnsi="Times New Roman" w:cs="Times New Roman"/>
          <w:sz w:val="24"/>
          <w:szCs w:val="24"/>
          <w:lang w:val="en-US"/>
        </w:rPr>
      </w:pPr>
    </w:p>
    <w:p w14:paraId="5B51A4FF" w14:textId="06CFE8C2" w:rsidR="004576BA" w:rsidRPr="00DC0273" w:rsidRDefault="004576BA" w:rsidP="00905BC2">
      <w:pPr>
        <w:autoSpaceDE w:val="0"/>
        <w:autoSpaceDN w:val="0"/>
        <w:adjustRightInd w:val="0"/>
        <w:spacing w:after="0" w:line="276" w:lineRule="auto"/>
        <w:ind w:firstLine="576"/>
        <w:jc w:val="both"/>
        <w:textAlignment w:val="center"/>
        <w:rPr>
          <w:rFonts w:ascii="Times New Roman" w:eastAsia="Arial" w:hAnsi="Times New Roman" w:cs="Times New Roman"/>
          <w:sz w:val="24"/>
          <w:szCs w:val="24"/>
          <w:lang w:val="en-US"/>
        </w:rPr>
      </w:pPr>
      <w:r w:rsidRPr="00DC0273">
        <w:rPr>
          <w:rFonts w:ascii="Times New Roman" w:eastAsia="Arial" w:hAnsi="Times New Roman" w:cs="Times New Roman"/>
          <w:sz w:val="24"/>
          <w:szCs w:val="24"/>
          <w:lang w:val="en-US"/>
        </w:rPr>
        <w:t xml:space="preserve">The Framework also promotes the concept of </w:t>
      </w:r>
      <w:proofErr w:type="spellStart"/>
      <w:r w:rsidRPr="00DC0273">
        <w:rPr>
          <w:rFonts w:ascii="Times New Roman" w:eastAsia="Arial" w:hAnsi="Times New Roman" w:cs="Times New Roman"/>
          <w:sz w:val="24"/>
          <w:szCs w:val="24"/>
          <w:lang w:val="en-US"/>
        </w:rPr>
        <w:t>organisational</w:t>
      </w:r>
      <w:proofErr w:type="spellEnd"/>
      <w:r w:rsidRPr="00DC0273">
        <w:rPr>
          <w:rFonts w:ascii="Times New Roman" w:eastAsia="Arial" w:hAnsi="Times New Roman" w:cs="Times New Roman"/>
          <w:sz w:val="24"/>
          <w:szCs w:val="24"/>
          <w:lang w:val="en-US"/>
        </w:rPr>
        <w:t xml:space="preserve"> self- assessment.  It declares that “the first step on the journey towards court excellence involves an assessment of how the court is currently performing … measured against the Seven Areas for Court Excellence”.  The Framework anticipates that engaging in this self-assessment process will allow a court “to identify those areas where attention may be required” and “to set a benchmark against which the court itself can measure its subsequent progress”.</w:t>
      </w:r>
    </w:p>
    <w:p w14:paraId="31C4FA11" w14:textId="77777777" w:rsidR="004576BA" w:rsidRPr="00DC0273" w:rsidRDefault="004576BA" w:rsidP="00905BC2">
      <w:pPr>
        <w:autoSpaceDE w:val="0"/>
        <w:autoSpaceDN w:val="0"/>
        <w:adjustRightInd w:val="0"/>
        <w:spacing w:after="0" w:line="276" w:lineRule="auto"/>
        <w:ind w:firstLine="720"/>
        <w:jc w:val="both"/>
        <w:textAlignment w:val="center"/>
        <w:rPr>
          <w:rFonts w:ascii="Times New Roman" w:eastAsia="Arial" w:hAnsi="Times New Roman" w:cs="Times New Roman"/>
          <w:sz w:val="24"/>
          <w:szCs w:val="24"/>
          <w:lang w:val="en-US"/>
        </w:rPr>
      </w:pPr>
    </w:p>
    <w:p w14:paraId="301D1C11" w14:textId="77777777" w:rsidR="004576BA" w:rsidRPr="00DC0273" w:rsidRDefault="004576BA" w:rsidP="00905BC2">
      <w:pPr>
        <w:autoSpaceDE w:val="0"/>
        <w:autoSpaceDN w:val="0"/>
        <w:adjustRightInd w:val="0"/>
        <w:spacing w:after="0" w:line="276" w:lineRule="auto"/>
        <w:ind w:firstLine="720"/>
        <w:jc w:val="both"/>
        <w:textAlignment w:val="center"/>
        <w:rPr>
          <w:rFonts w:ascii="Times New Roman" w:eastAsia="Arial" w:hAnsi="Times New Roman" w:cs="Times New Roman"/>
          <w:sz w:val="24"/>
          <w:szCs w:val="24"/>
          <w:lang w:val="en-US"/>
        </w:rPr>
      </w:pPr>
      <w:r w:rsidRPr="00DC0273">
        <w:rPr>
          <w:rFonts w:ascii="Times New Roman" w:eastAsia="Arial" w:hAnsi="Times New Roman" w:cs="Times New Roman"/>
          <w:sz w:val="24"/>
          <w:szCs w:val="24"/>
          <w:lang w:val="en-US"/>
        </w:rPr>
        <w:t>The Supreme Court of Victoria goes to great lengths to make it clear that it is not a commercial enterprise.  It does not manufacture “widgets” and it cannot be monitored by inputs and outputs that simply count how busy the Court might be.  However, as the Framework suggests, the Court does deliver justice and court administration.  The challenge has been to determine how the Court should define what it delivers so that its performance might be more readily assessed and improved.</w:t>
      </w:r>
    </w:p>
    <w:p w14:paraId="5F64EB3D" w14:textId="77777777" w:rsidR="004576BA" w:rsidRPr="00DC0273" w:rsidRDefault="004576BA" w:rsidP="00905BC2">
      <w:pPr>
        <w:autoSpaceDE w:val="0"/>
        <w:autoSpaceDN w:val="0"/>
        <w:adjustRightInd w:val="0"/>
        <w:spacing w:after="0" w:line="276" w:lineRule="auto"/>
        <w:ind w:firstLine="720"/>
        <w:jc w:val="both"/>
        <w:textAlignment w:val="center"/>
        <w:rPr>
          <w:rFonts w:ascii="Times New Roman" w:eastAsia="Arial" w:hAnsi="Times New Roman" w:cs="Times New Roman"/>
          <w:sz w:val="24"/>
          <w:szCs w:val="24"/>
          <w:lang w:val="en-US"/>
        </w:rPr>
      </w:pPr>
    </w:p>
    <w:p w14:paraId="77BD4B5F" w14:textId="77777777" w:rsidR="005C3C18" w:rsidRPr="00DC0273" w:rsidRDefault="004576BA" w:rsidP="00905BC2">
      <w:pPr>
        <w:autoSpaceDE w:val="0"/>
        <w:autoSpaceDN w:val="0"/>
        <w:adjustRightInd w:val="0"/>
        <w:spacing w:after="0" w:line="276" w:lineRule="auto"/>
        <w:ind w:firstLine="720"/>
        <w:jc w:val="both"/>
        <w:textAlignment w:val="center"/>
        <w:rPr>
          <w:rFonts w:ascii="Times New Roman" w:eastAsia="Arial" w:hAnsi="Times New Roman" w:cs="Times New Roman"/>
          <w:sz w:val="24"/>
          <w:szCs w:val="24"/>
          <w:lang w:val="en-US"/>
        </w:rPr>
      </w:pPr>
      <w:r w:rsidRPr="00DC0273">
        <w:rPr>
          <w:rFonts w:ascii="Times New Roman" w:eastAsia="Arial" w:hAnsi="Times New Roman" w:cs="Times New Roman"/>
          <w:sz w:val="24"/>
          <w:szCs w:val="24"/>
          <w:lang w:val="en-US"/>
        </w:rPr>
        <w:t>To date, the Framework has proved very effective for the Victorian Supreme Court, both internally and externally.  More information is available on the court’s website (</w:t>
      </w:r>
      <w:hyperlink r:id="rId11" w:history="1">
        <w:r w:rsidRPr="00DC0273">
          <w:rPr>
            <w:rStyle w:val="Hyperlink"/>
            <w:rFonts w:ascii="Times New Roman" w:eastAsia="Arial" w:hAnsi="Times New Roman" w:cs="Times New Roman"/>
            <w:sz w:val="24"/>
            <w:szCs w:val="24"/>
            <w:lang w:val="en-US"/>
          </w:rPr>
          <w:t>http://www.supremecourt.vic.gov.au</w:t>
        </w:r>
      </w:hyperlink>
      <w:r w:rsidRPr="00DC0273">
        <w:rPr>
          <w:rFonts w:ascii="Times New Roman" w:eastAsia="Arial" w:hAnsi="Times New Roman" w:cs="Times New Roman"/>
          <w:sz w:val="24"/>
          <w:szCs w:val="24"/>
          <w:lang w:val="en-US"/>
        </w:rPr>
        <w:t>)</w:t>
      </w:r>
      <w:r w:rsidR="005C3C18" w:rsidRPr="00DC0273">
        <w:rPr>
          <w:rFonts w:ascii="Times New Roman" w:eastAsia="Arial" w:hAnsi="Times New Roman" w:cs="Times New Roman"/>
          <w:sz w:val="24"/>
          <w:szCs w:val="24"/>
          <w:lang w:val="en-US"/>
        </w:rPr>
        <w:t>.</w:t>
      </w:r>
    </w:p>
    <w:p w14:paraId="34FCC2AE" w14:textId="340176B2" w:rsidR="006E4562" w:rsidRPr="00DC0273" w:rsidRDefault="004576BA" w:rsidP="00905BC2">
      <w:pPr>
        <w:autoSpaceDE w:val="0"/>
        <w:autoSpaceDN w:val="0"/>
        <w:adjustRightInd w:val="0"/>
        <w:spacing w:after="0" w:line="276" w:lineRule="auto"/>
        <w:ind w:firstLine="720"/>
        <w:jc w:val="both"/>
        <w:textAlignment w:val="center"/>
        <w:rPr>
          <w:rFonts w:ascii="Times New Roman" w:eastAsia="Arial" w:hAnsi="Times New Roman" w:cs="Times New Roman"/>
          <w:sz w:val="24"/>
          <w:szCs w:val="24"/>
          <w:lang w:val="en-US"/>
        </w:rPr>
      </w:pPr>
      <w:r w:rsidRPr="00DC0273">
        <w:rPr>
          <w:rFonts w:ascii="Times New Roman" w:eastAsia="Arial" w:hAnsi="Times New Roman" w:cs="Times New Roman"/>
          <w:sz w:val="24"/>
          <w:szCs w:val="24"/>
          <w:lang w:val="en-US"/>
        </w:rPr>
        <w:t xml:space="preserve"> </w:t>
      </w:r>
    </w:p>
    <w:p w14:paraId="28DBC374" w14:textId="682D091F" w:rsidR="00BF6ADA" w:rsidRPr="00DC0273" w:rsidRDefault="00C84BBB"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For those</w:t>
      </w:r>
      <w:r w:rsidR="00BF6ADA" w:rsidRPr="00DC0273">
        <w:rPr>
          <w:rFonts w:ascii="Times New Roman" w:hAnsi="Times New Roman" w:cs="Times New Roman"/>
          <w:sz w:val="24"/>
          <w:szCs w:val="24"/>
        </w:rPr>
        <w:t xml:space="preserve"> who are researching civil l</w:t>
      </w:r>
      <w:r w:rsidR="007C1469" w:rsidRPr="00DC0273">
        <w:rPr>
          <w:rFonts w:ascii="Times New Roman" w:hAnsi="Times New Roman" w:cs="Times New Roman"/>
          <w:sz w:val="24"/>
          <w:szCs w:val="24"/>
        </w:rPr>
        <w:t>itigation, do not overlook the F</w:t>
      </w:r>
      <w:r w:rsidR="00BF6ADA" w:rsidRPr="00DC0273">
        <w:rPr>
          <w:rFonts w:ascii="Times New Roman" w:hAnsi="Times New Roman" w:cs="Times New Roman"/>
          <w:sz w:val="24"/>
          <w:szCs w:val="24"/>
        </w:rPr>
        <w:t xml:space="preserve">ramework.  In the next five years, maybe longer, but </w:t>
      </w:r>
      <w:r w:rsidRPr="00DC0273">
        <w:rPr>
          <w:rFonts w:ascii="Times New Roman" w:hAnsi="Times New Roman" w:cs="Times New Roman"/>
          <w:sz w:val="24"/>
          <w:szCs w:val="24"/>
        </w:rPr>
        <w:t xml:space="preserve">I expect </w:t>
      </w:r>
      <w:r w:rsidR="00BF6ADA" w:rsidRPr="00DC0273">
        <w:rPr>
          <w:rFonts w:ascii="Times New Roman" w:hAnsi="Times New Roman" w:cs="Times New Roman"/>
          <w:sz w:val="24"/>
          <w:szCs w:val="24"/>
        </w:rPr>
        <w:t>in the next five years, it will transform courts’ assessment</w:t>
      </w:r>
      <w:r w:rsidR="0068793C" w:rsidRPr="00DC0273">
        <w:rPr>
          <w:rFonts w:ascii="Times New Roman" w:hAnsi="Times New Roman" w:cs="Times New Roman"/>
          <w:sz w:val="24"/>
          <w:szCs w:val="24"/>
        </w:rPr>
        <w:t xml:space="preserve">.  </w:t>
      </w:r>
    </w:p>
    <w:p w14:paraId="3A937FCB" w14:textId="531CD3EA" w:rsidR="00E52375" w:rsidRPr="00DC0273" w:rsidRDefault="00E52375" w:rsidP="00905BC2">
      <w:pPr>
        <w:spacing w:after="0" w:line="276" w:lineRule="auto"/>
        <w:jc w:val="both"/>
        <w:rPr>
          <w:rFonts w:ascii="Times New Roman" w:hAnsi="Times New Roman" w:cs="Times New Roman"/>
          <w:sz w:val="24"/>
          <w:szCs w:val="24"/>
        </w:rPr>
      </w:pPr>
    </w:p>
    <w:p w14:paraId="23B43332" w14:textId="3E5E685B" w:rsidR="00E52375" w:rsidRPr="00DC0273" w:rsidRDefault="00E52375"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Judicial Training and Education</w:t>
      </w:r>
    </w:p>
    <w:p w14:paraId="37336434" w14:textId="77777777" w:rsidR="005C3C18" w:rsidRPr="00DC0273" w:rsidRDefault="005C3C18" w:rsidP="00905BC2">
      <w:pPr>
        <w:spacing w:after="0" w:line="276" w:lineRule="auto"/>
        <w:jc w:val="both"/>
        <w:rPr>
          <w:rFonts w:ascii="Times New Roman" w:hAnsi="Times New Roman" w:cs="Times New Roman"/>
          <w:sz w:val="24"/>
          <w:szCs w:val="24"/>
        </w:rPr>
      </w:pPr>
    </w:p>
    <w:p w14:paraId="3F09202C" w14:textId="353326B8" w:rsidR="0068793C" w:rsidRPr="00DC0273" w:rsidRDefault="0068793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Mentioning Singapore is </w:t>
      </w:r>
      <w:proofErr w:type="gramStart"/>
      <w:r w:rsidRPr="00DC0273">
        <w:rPr>
          <w:rFonts w:ascii="Times New Roman" w:hAnsi="Times New Roman" w:cs="Times New Roman"/>
          <w:sz w:val="24"/>
          <w:szCs w:val="24"/>
        </w:rPr>
        <w:t>a segue</w:t>
      </w:r>
      <w:proofErr w:type="gramEnd"/>
      <w:r w:rsidRPr="00DC0273">
        <w:rPr>
          <w:rFonts w:ascii="Times New Roman" w:hAnsi="Times New Roman" w:cs="Times New Roman"/>
          <w:sz w:val="24"/>
          <w:szCs w:val="24"/>
        </w:rPr>
        <w:t xml:space="preserve"> into Asia.  I spoke earlier about commercial litigation.  If we think about what has be</w:t>
      </w:r>
      <w:r w:rsidR="007C1469" w:rsidRPr="00DC0273">
        <w:rPr>
          <w:rFonts w:ascii="Times New Roman" w:hAnsi="Times New Roman" w:cs="Times New Roman"/>
          <w:sz w:val="24"/>
          <w:szCs w:val="24"/>
        </w:rPr>
        <w:t>en happening at the f</w:t>
      </w:r>
      <w:r w:rsidRPr="00DC0273">
        <w:rPr>
          <w:rFonts w:ascii="Times New Roman" w:hAnsi="Times New Roman" w:cs="Times New Roman"/>
          <w:sz w:val="24"/>
          <w:szCs w:val="24"/>
        </w:rPr>
        <w:t xml:space="preserve">ederal level, we have the Trans-Pacific Partnership and other </w:t>
      </w:r>
      <w:r w:rsidR="00E52375" w:rsidRPr="00DC0273">
        <w:rPr>
          <w:rFonts w:ascii="Times New Roman" w:hAnsi="Times New Roman" w:cs="Times New Roman"/>
          <w:sz w:val="24"/>
          <w:szCs w:val="24"/>
        </w:rPr>
        <w:t xml:space="preserve">significant trade </w:t>
      </w:r>
      <w:r w:rsidRPr="00DC0273">
        <w:rPr>
          <w:rFonts w:ascii="Times New Roman" w:hAnsi="Times New Roman" w:cs="Times New Roman"/>
          <w:sz w:val="24"/>
          <w:szCs w:val="24"/>
        </w:rPr>
        <w:t>a</w:t>
      </w:r>
      <w:r w:rsidR="00E52375" w:rsidRPr="00DC0273">
        <w:rPr>
          <w:rFonts w:ascii="Times New Roman" w:hAnsi="Times New Roman" w:cs="Times New Roman"/>
          <w:sz w:val="24"/>
          <w:szCs w:val="24"/>
        </w:rPr>
        <w:t xml:space="preserve">rrangements with </w:t>
      </w:r>
      <w:r w:rsidR="00C84BBB" w:rsidRPr="00DC0273">
        <w:rPr>
          <w:rFonts w:ascii="Times New Roman" w:hAnsi="Times New Roman" w:cs="Times New Roman"/>
          <w:sz w:val="24"/>
          <w:szCs w:val="24"/>
        </w:rPr>
        <w:t>important</w:t>
      </w:r>
      <w:r w:rsidR="00E52375" w:rsidRPr="00DC0273">
        <w:rPr>
          <w:rFonts w:ascii="Times New Roman" w:hAnsi="Times New Roman" w:cs="Times New Roman"/>
          <w:sz w:val="24"/>
          <w:szCs w:val="24"/>
        </w:rPr>
        <w:t xml:space="preserve"> parts of Asia</w:t>
      </w:r>
      <w:r w:rsidRPr="00DC0273">
        <w:rPr>
          <w:rFonts w:ascii="Times New Roman" w:hAnsi="Times New Roman" w:cs="Times New Roman"/>
          <w:sz w:val="24"/>
          <w:szCs w:val="24"/>
        </w:rPr>
        <w:t xml:space="preserve">.  </w:t>
      </w:r>
      <w:r w:rsidR="00E52375" w:rsidRPr="00DC0273">
        <w:rPr>
          <w:rFonts w:ascii="Times New Roman" w:hAnsi="Times New Roman" w:cs="Times New Roman"/>
          <w:sz w:val="24"/>
          <w:szCs w:val="24"/>
        </w:rPr>
        <w:t xml:space="preserve">Then there is </w:t>
      </w:r>
      <w:r w:rsidR="00C84BBB" w:rsidRPr="00DC0273">
        <w:rPr>
          <w:rFonts w:ascii="Times New Roman" w:hAnsi="Times New Roman" w:cs="Times New Roman"/>
          <w:sz w:val="24"/>
          <w:szCs w:val="24"/>
        </w:rPr>
        <w:t>the</w:t>
      </w:r>
      <w:r w:rsidRPr="00DC0273">
        <w:rPr>
          <w:rFonts w:ascii="Times New Roman" w:hAnsi="Times New Roman" w:cs="Times New Roman"/>
          <w:sz w:val="24"/>
          <w:szCs w:val="24"/>
        </w:rPr>
        <w:t xml:space="preserve"> change in the migration </w:t>
      </w:r>
      <w:r w:rsidR="00E52375" w:rsidRPr="00DC0273">
        <w:rPr>
          <w:rFonts w:ascii="Times New Roman" w:hAnsi="Times New Roman" w:cs="Times New Roman"/>
          <w:sz w:val="24"/>
          <w:szCs w:val="24"/>
        </w:rPr>
        <w:t xml:space="preserve">patterns </w:t>
      </w:r>
      <w:r w:rsidRPr="00DC0273">
        <w:rPr>
          <w:rFonts w:ascii="Times New Roman" w:hAnsi="Times New Roman" w:cs="Times New Roman"/>
          <w:sz w:val="24"/>
          <w:szCs w:val="24"/>
        </w:rPr>
        <w:t xml:space="preserve">coming into </w:t>
      </w:r>
      <w:r w:rsidR="00E52375" w:rsidRPr="00DC0273">
        <w:rPr>
          <w:rFonts w:ascii="Times New Roman" w:hAnsi="Times New Roman" w:cs="Times New Roman"/>
          <w:sz w:val="24"/>
          <w:szCs w:val="24"/>
        </w:rPr>
        <w:t>Victoria</w:t>
      </w:r>
      <w:r w:rsidRPr="00DC0273">
        <w:rPr>
          <w:rFonts w:ascii="Times New Roman" w:hAnsi="Times New Roman" w:cs="Times New Roman"/>
          <w:sz w:val="24"/>
          <w:szCs w:val="24"/>
        </w:rPr>
        <w:t xml:space="preserve">.  There is a very large </w:t>
      </w:r>
      <w:r w:rsidR="007C1469" w:rsidRPr="00DC0273">
        <w:rPr>
          <w:rFonts w:ascii="Times New Roman" w:hAnsi="Times New Roman" w:cs="Times New Roman"/>
          <w:sz w:val="24"/>
          <w:szCs w:val="24"/>
        </w:rPr>
        <w:t>number</w:t>
      </w:r>
      <w:r w:rsidRPr="00DC0273">
        <w:rPr>
          <w:rFonts w:ascii="Times New Roman" w:hAnsi="Times New Roman" w:cs="Times New Roman"/>
          <w:sz w:val="24"/>
          <w:szCs w:val="24"/>
        </w:rPr>
        <w:t xml:space="preserve"> of peopl</w:t>
      </w:r>
      <w:r w:rsidR="00C84BBB" w:rsidRPr="00DC0273">
        <w:rPr>
          <w:rFonts w:ascii="Times New Roman" w:hAnsi="Times New Roman" w:cs="Times New Roman"/>
          <w:sz w:val="24"/>
          <w:szCs w:val="24"/>
        </w:rPr>
        <w:t>e from Asia, particularly China</w:t>
      </w:r>
      <w:r w:rsidR="00211543" w:rsidRPr="00DC0273">
        <w:rPr>
          <w:rFonts w:ascii="Times New Roman" w:hAnsi="Times New Roman" w:cs="Times New Roman"/>
          <w:sz w:val="24"/>
          <w:szCs w:val="24"/>
        </w:rPr>
        <w:t>,</w:t>
      </w:r>
      <w:r w:rsidR="00C84BBB" w:rsidRPr="00DC0273">
        <w:rPr>
          <w:rFonts w:ascii="Times New Roman" w:hAnsi="Times New Roman" w:cs="Times New Roman"/>
          <w:sz w:val="24"/>
          <w:szCs w:val="24"/>
        </w:rPr>
        <w:t xml:space="preserve"> who </w:t>
      </w:r>
      <w:r w:rsidRPr="00DC0273">
        <w:rPr>
          <w:rFonts w:ascii="Times New Roman" w:hAnsi="Times New Roman" w:cs="Times New Roman"/>
          <w:sz w:val="24"/>
          <w:szCs w:val="24"/>
        </w:rPr>
        <w:t xml:space="preserve">are </w:t>
      </w:r>
      <w:r w:rsidR="00E52375" w:rsidRPr="00DC0273">
        <w:rPr>
          <w:rFonts w:ascii="Times New Roman" w:hAnsi="Times New Roman" w:cs="Times New Roman"/>
          <w:sz w:val="24"/>
          <w:szCs w:val="24"/>
        </w:rPr>
        <w:t xml:space="preserve">dual </w:t>
      </w:r>
      <w:r w:rsidRPr="00DC0273">
        <w:rPr>
          <w:rFonts w:ascii="Times New Roman" w:hAnsi="Times New Roman" w:cs="Times New Roman"/>
          <w:sz w:val="24"/>
          <w:szCs w:val="24"/>
        </w:rPr>
        <w:t xml:space="preserve">citizens </w:t>
      </w:r>
      <w:r w:rsidR="00C84BBB" w:rsidRPr="00DC0273">
        <w:rPr>
          <w:rFonts w:ascii="Times New Roman" w:hAnsi="Times New Roman" w:cs="Times New Roman"/>
          <w:sz w:val="24"/>
          <w:szCs w:val="24"/>
        </w:rPr>
        <w:t xml:space="preserve">and </w:t>
      </w:r>
      <w:r w:rsidRPr="00DC0273">
        <w:rPr>
          <w:rFonts w:ascii="Times New Roman" w:hAnsi="Times New Roman" w:cs="Times New Roman"/>
          <w:sz w:val="24"/>
          <w:szCs w:val="24"/>
        </w:rPr>
        <w:t>who reside both in China and in Australia.</w:t>
      </w:r>
    </w:p>
    <w:p w14:paraId="5C24042F"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6CC174DC" w14:textId="176B1006" w:rsidR="0068793C" w:rsidRPr="00DC0273" w:rsidRDefault="0068793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What we are starting to see in the Commercial Court are numbers of cases being issued each week where parties are </w:t>
      </w:r>
      <w:r w:rsidR="00E52375" w:rsidRPr="00DC0273">
        <w:rPr>
          <w:rFonts w:ascii="Times New Roman" w:hAnsi="Times New Roman" w:cs="Times New Roman"/>
          <w:sz w:val="24"/>
          <w:szCs w:val="24"/>
        </w:rPr>
        <w:t>contesting</w:t>
      </w:r>
      <w:r w:rsidRPr="00DC0273">
        <w:rPr>
          <w:rFonts w:ascii="Times New Roman" w:hAnsi="Times New Roman" w:cs="Times New Roman"/>
          <w:sz w:val="24"/>
          <w:szCs w:val="24"/>
        </w:rPr>
        <w:t xml:space="preserve"> large amounts of money</w:t>
      </w:r>
      <w:r w:rsidR="00E52375" w:rsidRPr="00DC0273">
        <w:rPr>
          <w:rFonts w:ascii="Times New Roman" w:hAnsi="Times New Roman" w:cs="Times New Roman"/>
          <w:sz w:val="24"/>
          <w:szCs w:val="24"/>
        </w:rPr>
        <w:t xml:space="preserve"> (often</w:t>
      </w:r>
      <w:r w:rsidRPr="00DC0273">
        <w:rPr>
          <w:rFonts w:ascii="Times New Roman" w:hAnsi="Times New Roman" w:cs="Times New Roman"/>
          <w:sz w:val="24"/>
          <w:szCs w:val="24"/>
        </w:rPr>
        <w:t xml:space="preserve"> tens of millions of dollars</w:t>
      </w:r>
      <w:r w:rsidR="00E52375" w:rsidRPr="00DC0273">
        <w:rPr>
          <w:rFonts w:ascii="Times New Roman" w:hAnsi="Times New Roman" w:cs="Times New Roman"/>
          <w:sz w:val="24"/>
          <w:szCs w:val="24"/>
        </w:rPr>
        <w:t>).  T</w:t>
      </w:r>
      <w:r w:rsidRPr="00DC0273">
        <w:rPr>
          <w:rFonts w:ascii="Times New Roman" w:hAnsi="Times New Roman" w:cs="Times New Roman"/>
          <w:sz w:val="24"/>
          <w:szCs w:val="24"/>
        </w:rPr>
        <w:t xml:space="preserve">he parties do not speak English, the </w:t>
      </w:r>
      <w:r w:rsidR="00E52375" w:rsidRPr="00DC0273">
        <w:rPr>
          <w:rFonts w:ascii="Times New Roman" w:hAnsi="Times New Roman" w:cs="Times New Roman"/>
          <w:sz w:val="24"/>
          <w:szCs w:val="24"/>
        </w:rPr>
        <w:t xml:space="preserve">relevant </w:t>
      </w:r>
      <w:r w:rsidRPr="00DC0273">
        <w:rPr>
          <w:rFonts w:ascii="Times New Roman" w:hAnsi="Times New Roman" w:cs="Times New Roman"/>
          <w:sz w:val="24"/>
          <w:szCs w:val="24"/>
        </w:rPr>
        <w:t>agreement was reached orally</w:t>
      </w:r>
      <w:r w:rsidR="00E52375" w:rsidRPr="00DC0273">
        <w:rPr>
          <w:rFonts w:ascii="Times New Roman" w:hAnsi="Times New Roman" w:cs="Times New Roman"/>
          <w:sz w:val="24"/>
          <w:szCs w:val="24"/>
        </w:rPr>
        <w:t xml:space="preserve"> and </w:t>
      </w:r>
      <w:r w:rsidRPr="00DC0273">
        <w:rPr>
          <w:rFonts w:ascii="Times New Roman" w:hAnsi="Times New Roman" w:cs="Times New Roman"/>
          <w:sz w:val="24"/>
          <w:szCs w:val="24"/>
        </w:rPr>
        <w:t>off-shore in</w:t>
      </w:r>
      <w:r w:rsidR="00211543" w:rsidRPr="00DC0273">
        <w:rPr>
          <w:rFonts w:ascii="Times New Roman" w:hAnsi="Times New Roman" w:cs="Times New Roman"/>
          <w:sz w:val="24"/>
          <w:szCs w:val="24"/>
        </w:rPr>
        <w:t xml:space="preserve"> Asia, often</w:t>
      </w:r>
      <w:r w:rsidRPr="00DC0273">
        <w:rPr>
          <w:rFonts w:ascii="Times New Roman" w:hAnsi="Times New Roman" w:cs="Times New Roman"/>
          <w:sz w:val="24"/>
          <w:szCs w:val="24"/>
        </w:rPr>
        <w:t xml:space="preserve"> China.  The </w:t>
      </w:r>
      <w:r w:rsidR="00E52375" w:rsidRPr="00DC0273">
        <w:rPr>
          <w:rFonts w:ascii="Times New Roman" w:hAnsi="Times New Roman" w:cs="Times New Roman"/>
          <w:sz w:val="24"/>
          <w:szCs w:val="24"/>
        </w:rPr>
        <w:t xml:space="preserve">commercial </w:t>
      </w:r>
      <w:r w:rsidRPr="00DC0273">
        <w:rPr>
          <w:rFonts w:ascii="Times New Roman" w:hAnsi="Times New Roman" w:cs="Times New Roman"/>
          <w:sz w:val="24"/>
          <w:szCs w:val="24"/>
        </w:rPr>
        <w:t>judge</w:t>
      </w:r>
      <w:r w:rsidR="00E52375" w:rsidRPr="00DC0273">
        <w:rPr>
          <w:rFonts w:ascii="Times New Roman" w:hAnsi="Times New Roman" w:cs="Times New Roman"/>
          <w:sz w:val="24"/>
          <w:szCs w:val="24"/>
        </w:rPr>
        <w:t>s</w:t>
      </w:r>
      <w:r w:rsidRPr="00DC0273">
        <w:rPr>
          <w:rFonts w:ascii="Times New Roman" w:hAnsi="Times New Roman" w:cs="Times New Roman"/>
          <w:sz w:val="24"/>
          <w:szCs w:val="24"/>
        </w:rPr>
        <w:t xml:space="preserve"> ha</w:t>
      </w:r>
      <w:r w:rsidR="00E52375" w:rsidRPr="00DC0273">
        <w:rPr>
          <w:rFonts w:ascii="Times New Roman" w:hAnsi="Times New Roman" w:cs="Times New Roman"/>
          <w:sz w:val="24"/>
          <w:szCs w:val="24"/>
        </w:rPr>
        <w:t>ve</w:t>
      </w:r>
      <w:r w:rsidRPr="00DC0273">
        <w:rPr>
          <w:rFonts w:ascii="Times New Roman" w:hAnsi="Times New Roman" w:cs="Times New Roman"/>
          <w:sz w:val="24"/>
          <w:szCs w:val="24"/>
        </w:rPr>
        <w:t xml:space="preserve"> to manage th</w:t>
      </w:r>
      <w:r w:rsidR="00E52375" w:rsidRPr="00DC0273">
        <w:rPr>
          <w:rFonts w:ascii="Times New Roman" w:hAnsi="Times New Roman" w:cs="Times New Roman"/>
          <w:sz w:val="24"/>
          <w:szCs w:val="24"/>
        </w:rPr>
        <w:t>ese</w:t>
      </w:r>
      <w:r w:rsidRPr="00DC0273">
        <w:rPr>
          <w:rFonts w:ascii="Times New Roman" w:hAnsi="Times New Roman" w:cs="Times New Roman"/>
          <w:sz w:val="24"/>
          <w:szCs w:val="24"/>
        </w:rPr>
        <w:t xml:space="preserve"> case</w:t>
      </w:r>
      <w:r w:rsidR="00E52375" w:rsidRPr="00DC0273">
        <w:rPr>
          <w:rFonts w:ascii="Times New Roman" w:hAnsi="Times New Roman" w:cs="Times New Roman"/>
          <w:sz w:val="24"/>
          <w:szCs w:val="24"/>
        </w:rPr>
        <w:t>s</w:t>
      </w:r>
      <w:r w:rsidRPr="00DC0273">
        <w:rPr>
          <w:rFonts w:ascii="Times New Roman" w:hAnsi="Times New Roman" w:cs="Times New Roman"/>
          <w:sz w:val="24"/>
          <w:szCs w:val="24"/>
        </w:rPr>
        <w:t>, dealing through interpreters with cultures that come from an entirely different culture to our common law Anglo-Saxon model.</w:t>
      </w:r>
    </w:p>
    <w:p w14:paraId="54AD0A71"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4B6DE655" w14:textId="60968EF8" w:rsidR="00E52375" w:rsidRPr="00DC0273" w:rsidRDefault="0068793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In an endeavour to address this</w:t>
      </w:r>
      <w:r w:rsidR="00E52375" w:rsidRPr="00DC0273">
        <w:rPr>
          <w:rFonts w:ascii="Times New Roman" w:hAnsi="Times New Roman" w:cs="Times New Roman"/>
          <w:sz w:val="24"/>
          <w:szCs w:val="24"/>
        </w:rPr>
        <w:t xml:space="preserve"> phenomenon</w:t>
      </w:r>
      <w:r w:rsidR="007C1469" w:rsidRPr="00DC0273">
        <w:rPr>
          <w:rFonts w:ascii="Times New Roman" w:hAnsi="Times New Roman" w:cs="Times New Roman"/>
          <w:sz w:val="24"/>
          <w:szCs w:val="24"/>
        </w:rPr>
        <w:t>,</w:t>
      </w:r>
      <w:r w:rsidRPr="00DC0273">
        <w:rPr>
          <w:rFonts w:ascii="Times New Roman" w:hAnsi="Times New Roman" w:cs="Times New Roman"/>
          <w:sz w:val="24"/>
          <w:szCs w:val="24"/>
        </w:rPr>
        <w:t xml:space="preserve"> </w:t>
      </w:r>
      <w:r w:rsidR="007C1469" w:rsidRPr="00DC0273">
        <w:rPr>
          <w:rFonts w:ascii="Times New Roman" w:hAnsi="Times New Roman" w:cs="Times New Roman"/>
          <w:sz w:val="24"/>
          <w:szCs w:val="24"/>
        </w:rPr>
        <w:t>the judges of the Supreme Court</w:t>
      </w:r>
      <w:r w:rsidRPr="00DC0273">
        <w:rPr>
          <w:rFonts w:ascii="Times New Roman" w:hAnsi="Times New Roman" w:cs="Times New Roman"/>
          <w:sz w:val="24"/>
          <w:szCs w:val="24"/>
        </w:rPr>
        <w:t xml:space="preserve"> </w:t>
      </w:r>
      <w:r w:rsidR="007C1469" w:rsidRPr="00DC0273">
        <w:rPr>
          <w:rFonts w:ascii="Times New Roman" w:hAnsi="Times New Roman" w:cs="Times New Roman"/>
          <w:sz w:val="24"/>
          <w:szCs w:val="24"/>
        </w:rPr>
        <w:t>together with some other</w:t>
      </w:r>
      <w:r w:rsidR="00E52375" w:rsidRPr="00DC0273">
        <w:rPr>
          <w:rFonts w:ascii="Times New Roman" w:hAnsi="Times New Roman" w:cs="Times New Roman"/>
          <w:sz w:val="24"/>
          <w:szCs w:val="24"/>
        </w:rPr>
        <w:t xml:space="preserve"> judicial officers</w:t>
      </w:r>
      <w:r w:rsidR="00211543" w:rsidRPr="00DC0273">
        <w:rPr>
          <w:rFonts w:ascii="Times New Roman" w:hAnsi="Times New Roman" w:cs="Times New Roman"/>
          <w:sz w:val="24"/>
          <w:szCs w:val="24"/>
        </w:rPr>
        <w:t xml:space="preserve"> recently</w:t>
      </w:r>
      <w:r w:rsidRPr="00DC0273">
        <w:rPr>
          <w:rFonts w:ascii="Times New Roman" w:hAnsi="Times New Roman" w:cs="Times New Roman"/>
          <w:sz w:val="24"/>
          <w:szCs w:val="24"/>
        </w:rPr>
        <w:t xml:space="preserve"> gathered at the Judicial College of Victoria </w:t>
      </w:r>
      <w:r w:rsidR="00E52375" w:rsidRPr="00DC0273">
        <w:rPr>
          <w:rFonts w:ascii="Times New Roman" w:hAnsi="Times New Roman" w:cs="Times New Roman"/>
          <w:sz w:val="24"/>
          <w:szCs w:val="24"/>
        </w:rPr>
        <w:t xml:space="preserve">for a </w:t>
      </w:r>
      <w:r w:rsidRPr="00DC0273">
        <w:rPr>
          <w:rFonts w:ascii="Times New Roman" w:hAnsi="Times New Roman" w:cs="Times New Roman"/>
          <w:sz w:val="24"/>
          <w:szCs w:val="24"/>
        </w:rPr>
        <w:t xml:space="preserve">seminar on Asian law and litigation by Asian parties.  This was done to ensure that judges are </w:t>
      </w:r>
      <w:r w:rsidR="00E52375" w:rsidRPr="00DC0273">
        <w:rPr>
          <w:rFonts w:ascii="Times New Roman" w:hAnsi="Times New Roman" w:cs="Times New Roman"/>
          <w:sz w:val="24"/>
          <w:szCs w:val="24"/>
        </w:rPr>
        <w:t xml:space="preserve">best equipped </w:t>
      </w:r>
      <w:r w:rsidRPr="00DC0273">
        <w:rPr>
          <w:rFonts w:ascii="Times New Roman" w:hAnsi="Times New Roman" w:cs="Times New Roman"/>
          <w:sz w:val="24"/>
          <w:szCs w:val="24"/>
        </w:rPr>
        <w:t xml:space="preserve">in how to grapple with these very </w:t>
      </w:r>
      <w:r w:rsidR="00E52375" w:rsidRPr="00DC0273">
        <w:rPr>
          <w:rFonts w:ascii="Times New Roman" w:hAnsi="Times New Roman" w:cs="Times New Roman"/>
          <w:sz w:val="24"/>
          <w:szCs w:val="24"/>
        </w:rPr>
        <w:t xml:space="preserve">different </w:t>
      </w:r>
      <w:r w:rsidRPr="00DC0273">
        <w:rPr>
          <w:rFonts w:ascii="Times New Roman" w:hAnsi="Times New Roman" w:cs="Times New Roman"/>
          <w:sz w:val="24"/>
          <w:szCs w:val="24"/>
        </w:rPr>
        <w:t xml:space="preserve">cases.  </w:t>
      </w:r>
    </w:p>
    <w:p w14:paraId="01059AF2" w14:textId="77777777" w:rsidR="000A1598" w:rsidRPr="00DC0273" w:rsidRDefault="000A1598" w:rsidP="00905BC2">
      <w:pPr>
        <w:spacing w:after="0" w:line="276" w:lineRule="auto"/>
        <w:ind w:firstLine="720"/>
        <w:jc w:val="both"/>
        <w:rPr>
          <w:rFonts w:ascii="Times New Roman" w:hAnsi="Times New Roman" w:cs="Times New Roman"/>
          <w:sz w:val="24"/>
          <w:szCs w:val="24"/>
        </w:rPr>
      </w:pPr>
    </w:p>
    <w:p w14:paraId="23B70EB2" w14:textId="77777777" w:rsidR="00E52375" w:rsidRPr="00DC0273" w:rsidRDefault="00E52375"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seminar was entitled </w:t>
      </w:r>
      <w:r w:rsidRPr="00DC0273">
        <w:rPr>
          <w:rFonts w:ascii="Times New Roman" w:hAnsi="Times New Roman" w:cs="Times New Roman"/>
          <w:i/>
          <w:sz w:val="24"/>
          <w:szCs w:val="24"/>
        </w:rPr>
        <w:t>Asian Cultural Awareness in the Courtroom</w:t>
      </w:r>
      <w:r w:rsidRPr="00DC0273">
        <w:rPr>
          <w:rFonts w:ascii="Times New Roman" w:hAnsi="Times New Roman" w:cs="Times New Roman"/>
          <w:sz w:val="24"/>
          <w:szCs w:val="24"/>
        </w:rPr>
        <w:t xml:space="preserve">.  </w:t>
      </w:r>
      <w:r w:rsidR="0068793C" w:rsidRPr="00DC0273">
        <w:rPr>
          <w:rFonts w:ascii="Times New Roman" w:hAnsi="Times New Roman" w:cs="Times New Roman"/>
          <w:sz w:val="24"/>
          <w:szCs w:val="24"/>
        </w:rPr>
        <w:t>I</w:t>
      </w:r>
      <w:r w:rsidRPr="00DC0273">
        <w:rPr>
          <w:rFonts w:ascii="Times New Roman" w:hAnsi="Times New Roman" w:cs="Times New Roman"/>
          <w:sz w:val="24"/>
          <w:szCs w:val="24"/>
        </w:rPr>
        <w:t>t had three aims:</w:t>
      </w:r>
    </w:p>
    <w:p w14:paraId="5038A77A" w14:textId="330BF481" w:rsidR="00E52375" w:rsidRPr="00DC0273" w:rsidRDefault="00DE46F4"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t>(a)</w:t>
      </w:r>
      <w:r w:rsidRPr="00DC0273">
        <w:rPr>
          <w:rFonts w:ascii="Times New Roman" w:hAnsi="Times New Roman" w:cs="Times New Roman"/>
          <w:sz w:val="24"/>
          <w:szCs w:val="24"/>
        </w:rPr>
        <w:tab/>
      </w:r>
      <w:proofErr w:type="gramStart"/>
      <w:r w:rsidRPr="00DC0273">
        <w:rPr>
          <w:rFonts w:ascii="Times New Roman" w:hAnsi="Times New Roman" w:cs="Times New Roman"/>
          <w:sz w:val="24"/>
          <w:szCs w:val="24"/>
        </w:rPr>
        <w:t>t</w:t>
      </w:r>
      <w:r w:rsidR="00E52375" w:rsidRPr="00DC0273">
        <w:rPr>
          <w:rFonts w:ascii="Times New Roman" w:hAnsi="Times New Roman" w:cs="Times New Roman"/>
          <w:sz w:val="24"/>
          <w:szCs w:val="24"/>
        </w:rPr>
        <w:t>o</w:t>
      </w:r>
      <w:proofErr w:type="gramEnd"/>
      <w:r w:rsidR="00E52375" w:rsidRPr="00DC0273">
        <w:rPr>
          <w:rFonts w:ascii="Times New Roman" w:hAnsi="Times New Roman" w:cs="Times New Roman"/>
          <w:sz w:val="24"/>
          <w:szCs w:val="24"/>
        </w:rPr>
        <w:t xml:space="preserve"> provide judges with in</w:t>
      </w:r>
      <w:r w:rsidR="00F758FD" w:rsidRPr="00DC0273">
        <w:rPr>
          <w:rFonts w:ascii="Times New Roman" w:hAnsi="Times New Roman" w:cs="Times New Roman"/>
          <w:sz w:val="24"/>
          <w:szCs w:val="24"/>
        </w:rPr>
        <w:t>sights and practical tools to</w:t>
      </w:r>
      <w:r w:rsidR="00E52375" w:rsidRPr="00DC0273">
        <w:rPr>
          <w:rFonts w:ascii="Times New Roman" w:hAnsi="Times New Roman" w:cs="Times New Roman"/>
          <w:sz w:val="24"/>
          <w:szCs w:val="24"/>
        </w:rPr>
        <w:t xml:space="preserve"> ensure effective communications and court management in proceedings involving parties from an Asian background;</w:t>
      </w:r>
    </w:p>
    <w:p w14:paraId="1F54086B" w14:textId="0A75713B" w:rsidR="00E52375" w:rsidRPr="00DC0273" w:rsidRDefault="00DE46F4"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t>(b)</w:t>
      </w:r>
      <w:r w:rsidRPr="00DC0273">
        <w:rPr>
          <w:rFonts w:ascii="Times New Roman" w:hAnsi="Times New Roman" w:cs="Times New Roman"/>
          <w:sz w:val="24"/>
          <w:szCs w:val="24"/>
        </w:rPr>
        <w:tab/>
      </w:r>
      <w:proofErr w:type="gramStart"/>
      <w:r w:rsidRPr="00DC0273">
        <w:rPr>
          <w:rFonts w:ascii="Times New Roman" w:hAnsi="Times New Roman" w:cs="Times New Roman"/>
          <w:sz w:val="24"/>
          <w:szCs w:val="24"/>
        </w:rPr>
        <w:t>t</w:t>
      </w:r>
      <w:r w:rsidR="00E52375" w:rsidRPr="00DC0273">
        <w:rPr>
          <w:rFonts w:ascii="Times New Roman" w:hAnsi="Times New Roman" w:cs="Times New Roman"/>
          <w:sz w:val="24"/>
          <w:szCs w:val="24"/>
        </w:rPr>
        <w:t>o</w:t>
      </w:r>
      <w:proofErr w:type="gramEnd"/>
      <w:r w:rsidR="00E52375" w:rsidRPr="00DC0273">
        <w:rPr>
          <w:rFonts w:ascii="Times New Roman" w:hAnsi="Times New Roman" w:cs="Times New Roman"/>
          <w:sz w:val="24"/>
          <w:szCs w:val="24"/>
        </w:rPr>
        <w:t xml:space="preserve"> give judges a better understanding o</w:t>
      </w:r>
      <w:r w:rsidRPr="00DC0273">
        <w:rPr>
          <w:rFonts w:ascii="Times New Roman" w:hAnsi="Times New Roman" w:cs="Times New Roman"/>
          <w:sz w:val="24"/>
          <w:szCs w:val="24"/>
        </w:rPr>
        <w:t>f</w:t>
      </w:r>
      <w:r w:rsidR="00E52375" w:rsidRPr="00DC0273">
        <w:rPr>
          <w:rFonts w:ascii="Times New Roman" w:hAnsi="Times New Roman" w:cs="Times New Roman"/>
          <w:sz w:val="24"/>
          <w:szCs w:val="24"/>
        </w:rPr>
        <w:t xml:space="preserve"> the culture and perspectives of parties from an Asian background so that they can more effectively assess evidence and behaviour; and </w:t>
      </w:r>
    </w:p>
    <w:p w14:paraId="79A2C431" w14:textId="51F98AD4" w:rsidR="00E52375" w:rsidRPr="00DC0273" w:rsidRDefault="00E52375"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t>(c)</w:t>
      </w:r>
      <w:r w:rsidR="00DE46F4" w:rsidRPr="00DC0273">
        <w:rPr>
          <w:rFonts w:ascii="Times New Roman" w:hAnsi="Times New Roman" w:cs="Times New Roman"/>
          <w:sz w:val="24"/>
          <w:szCs w:val="24"/>
        </w:rPr>
        <w:tab/>
      </w:r>
      <w:proofErr w:type="gramStart"/>
      <w:r w:rsidR="00DE46F4" w:rsidRPr="00DC0273">
        <w:rPr>
          <w:rFonts w:ascii="Times New Roman" w:hAnsi="Times New Roman" w:cs="Times New Roman"/>
          <w:sz w:val="24"/>
          <w:szCs w:val="24"/>
        </w:rPr>
        <w:t>to</w:t>
      </w:r>
      <w:proofErr w:type="gramEnd"/>
      <w:r w:rsidR="00DE46F4" w:rsidRPr="00DC0273">
        <w:rPr>
          <w:rFonts w:ascii="Times New Roman" w:hAnsi="Times New Roman" w:cs="Times New Roman"/>
          <w:sz w:val="24"/>
          <w:szCs w:val="24"/>
        </w:rPr>
        <w:t xml:space="preserve"> explore ways to increase the effectiveness of mediation within the context of commercial disputes.</w:t>
      </w:r>
    </w:p>
    <w:p w14:paraId="56858972" w14:textId="77777777" w:rsidR="00DE46F4" w:rsidRPr="00DC0273" w:rsidRDefault="00DE46F4" w:rsidP="00905BC2">
      <w:pPr>
        <w:spacing w:after="0" w:line="276" w:lineRule="auto"/>
        <w:ind w:firstLine="720"/>
        <w:jc w:val="both"/>
        <w:rPr>
          <w:rFonts w:ascii="Times New Roman" w:hAnsi="Times New Roman" w:cs="Times New Roman"/>
          <w:sz w:val="24"/>
          <w:szCs w:val="24"/>
        </w:rPr>
      </w:pPr>
    </w:p>
    <w:p w14:paraId="463DF555" w14:textId="503F9D8E" w:rsidR="00DE46F4" w:rsidRPr="00DC0273" w:rsidRDefault="00DE46F4"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program commenced with leading academics providing judges with an overview of the key elements of the legal systems in China, Vietnam and Indonesia.  Analysis was provided of each relevant country’s legal system and traditions, particularly as they relate to the commercial context.  The overview included analysis of the different legal systems and traditions that might affect attitudes to law, contract, courts, lawyers and commercial dispute resolution in Victoria.  Next, the seminar provided analysis on the cultural and linguistic challenges that arise when people from different cultures communicate in a legal context.  Then the seminar looked at the important topic of mediation.  A specialist academic in the field outlined the relevance of western and non-western mediation practices in the Victorian multi-cultural context and how tensions between cultures can be addressed through mediation.  </w:t>
      </w:r>
    </w:p>
    <w:p w14:paraId="5BF6D046" w14:textId="77777777" w:rsidR="00DE46F4" w:rsidRPr="00DC0273" w:rsidRDefault="00DE46F4" w:rsidP="00905BC2">
      <w:pPr>
        <w:spacing w:after="0" w:line="276" w:lineRule="auto"/>
        <w:ind w:firstLine="720"/>
        <w:jc w:val="both"/>
        <w:rPr>
          <w:rFonts w:ascii="Times New Roman" w:hAnsi="Times New Roman" w:cs="Times New Roman"/>
          <w:sz w:val="24"/>
          <w:szCs w:val="24"/>
        </w:rPr>
      </w:pPr>
    </w:p>
    <w:p w14:paraId="0D7667E5" w14:textId="0DAA3304" w:rsidR="0068793C" w:rsidRPr="00DC0273" w:rsidRDefault="00DE46F4"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seminar provided judges with a mixed panel of academics and legal practitioners to provide practical insights into how those individuals engage with their clients, focussing on how they manage cultural misunderstandings that arise in commercial matters involving Asian parties.  The program was an outstanding success.  We cannot </w:t>
      </w:r>
      <w:r w:rsidR="0068793C" w:rsidRPr="00DC0273">
        <w:rPr>
          <w:rFonts w:ascii="Times New Roman" w:hAnsi="Times New Roman" w:cs="Times New Roman"/>
          <w:sz w:val="24"/>
          <w:szCs w:val="24"/>
        </w:rPr>
        <w:t>underestimate the significance of judicial education in providing ongoing professional development for the judiciary.</w:t>
      </w:r>
    </w:p>
    <w:p w14:paraId="09F9C405" w14:textId="094EF1D6" w:rsidR="00DE46F4" w:rsidRPr="00DC0273" w:rsidRDefault="00DE46F4" w:rsidP="00905BC2">
      <w:pPr>
        <w:spacing w:after="0" w:line="276" w:lineRule="auto"/>
        <w:jc w:val="both"/>
        <w:rPr>
          <w:rFonts w:ascii="Times New Roman" w:hAnsi="Times New Roman" w:cs="Times New Roman"/>
          <w:sz w:val="24"/>
          <w:szCs w:val="24"/>
        </w:rPr>
      </w:pPr>
    </w:p>
    <w:p w14:paraId="56EAD089" w14:textId="576661A9" w:rsidR="00DE46F4" w:rsidRPr="00DC0273" w:rsidRDefault="00DE46F4"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Health and Wellbeing</w:t>
      </w:r>
      <w:r w:rsidRPr="00DC0273">
        <w:rPr>
          <w:rStyle w:val="FootnoteReference"/>
          <w:rFonts w:ascii="Times New Roman" w:hAnsi="Times New Roman" w:cs="Times New Roman"/>
          <w:b/>
          <w:sz w:val="24"/>
          <w:szCs w:val="24"/>
        </w:rPr>
        <w:footnoteReference w:id="26"/>
      </w:r>
    </w:p>
    <w:p w14:paraId="65D4B94E" w14:textId="77777777" w:rsidR="005C3C18" w:rsidRPr="00DC0273" w:rsidRDefault="005C3C18" w:rsidP="00905BC2">
      <w:pPr>
        <w:spacing w:after="0" w:line="276" w:lineRule="auto"/>
        <w:jc w:val="both"/>
        <w:rPr>
          <w:rFonts w:ascii="Times New Roman" w:hAnsi="Times New Roman" w:cs="Times New Roman"/>
          <w:sz w:val="24"/>
          <w:szCs w:val="24"/>
        </w:rPr>
      </w:pPr>
    </w:p>
    <w:p w14:paraId="4DD44243" w14:textId="1EADE411" w:rsidR="0068793C" w:rsidRPr="00DC0273" w:rsidRDefault="000A1598"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There is o</w:t>
      </w:r>
      <w:r w:rsidR="0068793C" w:rsidRPr="00DC0273">
        <w:rPr>
          <w:rFonts w:ascii="Times New Roman" w:hAnsi="Times New Roman" w:cs="Times New Roman"/>
          <w:sz w:val="24"/>
          <w:szCs w:val="24"/>
        </w:rPr>
        <w:t xml:space="preserve">ne </w:t>
      </w:r>
      <w:r w:rsidR="00F758FD" w:rsidRPr="00DC0273">
        <w:rPr>
          <w:rFonts w:ascii="Times New Roman" w:hAnsi="Times New Roman" w:cs="Times New Roman"/>
          <w:sz w:val="24"/>
          <w:szCs w:val="24"/>
        </w:rPr>
        <w:t xml:space="preserve">final </w:t>
      </w:r>
      <w:r w:rsidR="0068793C" w:rsidRPr="00DC0273">
        <w:rPr>
          <w:rFonts w:ascii="Times New Roman" w:hAnsi="Times New Roman" w:cs="Times New Roman"/>
          <w:sz w:val="24"/>
          <w:szCs w:val="24"/>
        </w:rPr>
        <w:t>topic I do want to touch upon, and it is very important</w:t>
      </w:r>
      <w:r w:rsidRPr="00DC0273">
        <w:rPr>
          <w:rFonts w:ascii="Times New Roman" w:hAnsi="Times New Roman" w:cs="Times New Roman"/>
          <w:sz w:val="24"/>
          <w:szCs w:val="24"/>
        </w:rPr>
        <w:t xml:space="preserve">.  </w:t>
      </w:r>
      <w:r w:rsidR="0068793C" w:rsidRPr="00DC0273">
        <w:rPr>
          <w:rFonts w:ascii="Times New Roman" w:hAnsi="Times New Roman" w:cs="Times New Roman"/>
          <w:sz w:val="24"/>
          <w:szCs w:val="24"/>
        </w:rPr>
        <w:t>Wellbeing is something that we need to be acutely aware of across the legal profession and the judiciary.  To state the obvious, if we want the courts of the State and the country to function effectively, we have to have judicial officers who are well and healthy in the roles that they perform.</w:t>
      </w:r>
    </w:p>
    <w:p w14:paraId="62FEE9F1"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6861A814" w14:textId="6A558736" w:rsidR="0068793C" w:rsidRPr="00DC0273" w:rsidRDefault="0068793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Similarly with the legal profession.  It has one of the highest depression levels of all professions.  It is very important that we be aware of wellbeing </w:t>
      </w:r>
      <w:r w:rsidR="00F758FD" w:rsidRPr="00DC0273">
        <w:rPr>
          <w:rFonts w:ascii="Times New Roman" w:hAnsi="Times New Roman" w:cs="Times New Roman"/>
          <w:sz w:val="24"/>
          <w:szCs w:val="24"/>
        </w:rPr>
        <w:t xml:space="preserve">issues </w:t>
      </w:r>
      <w:r w:rsidRPr="00DC0273">
        <w:rPr>
          <w:rFonts w:ascii="Times New Roman" w:hAnsi="Times New Roman" w:cs="Times New Roman"/>
          <w:sz w:val="24"/>
          <w:szCs w:val="24"/>
        </w:rPr>
        <w:t xml:space="preserve">and the impact that </w:t>
      </w:r>
      <w:r w:rsidR="00F758FD" w:rsidRPr="00DC0273">
        <w:rPr>
          <w:rFonts w:ascii="Times New Roman" w:hAnsi="Times New Roman" w:cs="Times New Roman"/>
          <w:sz w:val="24"/>
          <w:szCs w:val="24"/>
        </w:rPr>
        <w:t>they have</w:t>
      </w:r>
      <w:r w:rsidRPr="00DC0273">
        <w:rPr>
          <w:rFonts w:ascii="Times New Roman" w:hAnsi="Times New Roman" w:cs="Times New Roman"/>
          <w:sz w:val="24"/>
          <w:szCs w:val="24"/>
        </w:rPr>
        <w:t xml:space="preserve"> on the delivery of civil justice.</w:t>
      </w:r>
    </w:p>
    <w:p w14:paraId="0579E5D4"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3DC33F01" w14:textId="472F8284" w:rsidR="00DE46F4" w:rsidRPr="00DC0273" w:rsidRDefault="00F758FD"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lastRenderedPageBreak/>
        <w:t>Last year, my colleague</w:t>
      </w:r>
      <w:r w:rsidR="0068793C" w:rsidRPr="00DC0273">
        <w:rPr>
          <w:rFonts w:ascii="Times New Roman" w:hAnsi="Times New Roman" w:cs="Times New Roman"/>
          <w:sz w:val="24"/>
          <w:szCs w:val="24"/>
        </w:rPr>
        <w:t xml:space="preserve"> </w:t>
      </w:r>
      <w:r w:rsidR="00C84BBB" w:rsidRPr="00DC0273">
        <w:rPr>
          <w:rFonts w:ascii="Times New Roman" w:hAnsi="Times New Roman" w:cs="Times New Roman"/>
          <w:sz w:val="24"/>
          <w:szCs w:val="24"/>
        </w:rPr>
        <w:t xml:space="preserve">Associate Justice </w:t>
      </w:r>
      <w:proofErr w:type="spellStart"/>
      <w:r w:rsidR="0068793C" w:rsidRPr="00DC0273">
        <w:rPr>
          <w:rFonts w:ascii="Times New Roman" w:hAnsi="Times New Roman" w:cs="Times New Roman"/>
          <w:sz w:val="24"/>
          <w:szCs w:val="24"/>
        </w:rPr>
        <w:t>Ierodiaconou</w:t>
      </w:r>
      <w:proofErr w:type="spellEnd"/>
      <w:r w:rsidR="0068793C" w:rsidRPr="00DC0273">
        <w:rPr>
          <w:rFonts w:ascii="Times New Roman" w:hAnsi="Times New Roman" w:cs="Times New Roman"/>
          <w:sz w:val="24"/>
          <w:szCs w:val="24"/>
        </w:rPr>
        <w:t xml:space="preserve"> delivered the Jepson Memorial Lecture on wellbeing for the profession.</w:t>
      </w:r>
      <w:r w:rsidR="00DE46F4" w:rsidRPr="00DC0273">
        <w:rPr>
          <w:rStyle w:val="FootnoteReference"/>
          <w:rFonts w:ascii="Times New Roman" w:hAnsi="Times New Roman" w:cs="Times New Roman"/>
          <w:sz w:val="24"/>
          <w:szCs w:val="24"/>
        </w:rPr>
        <w:footnoteReference w:id="27"/>
      </w:r>
      <w:r w:rsidR="0068793C" w:rsidRPr="00DC0273">
        <w:rPr>
          <w:rFonts w:ascii="Times New Roman" w:hAnsi="Times New Roman" w:cs="Times New Roman"/>
          <w:sz w:val="24"/>
          <w:szCs w:val="24"/>
        </w:rPr>
        <w:t xml:space="preserve">  It is on our Court website, and I do urge you to read it.</w:t>
      </w:r>
    </w:p>
    <w:p w14:paraId="00AB9E6E" w14:textId="77777777" w:rsidR="00DE46F4" w:rsidRPr="00DC0273" w:rsidRDefault="00DE46F4" w:rsidP="00905BC2">
      <w:pPr>
        <w:spacing w:after="0" w:line="276" w:lineRule="auto"/>
        <w:ind w:firstLine="720"/>
        <w:jc w:val="both"/>
        <w:rPr>
          <w:rFonts w:ascii="Times New Roman" w:hAnsi="Times New Roman" w:cs="Times New Roman"/>
          <w:sz w:val="24"/>
          <w:szCs w:val="24"/>
        </w:rPr>
      </w:pPr>
    </w:p>
    <w:p w14:paraId="5188EA88" w14:textId="1CC00499" w:rsidR="00DE46F4" w:rsidRPr="00DC0273" w:rsidRDefault="00DE46F4"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Wellbeing issues have come to the fore in the legal profession — the recruiting ground for judges.  As long ago as in 1995, Justice Kirby, then President of the New South Wales Court of Appeal and later a justice of the High Court of Australia, delivered a paper to a judicial orientation program co-hosted by the AIJA.  It was entitled </w:t>
      </w:r>
      <w:r w:rsidRPr="00DC0273">
        <w:rPr>
          <w:rFonts w:ascii="Times New Roman" w:hAnsi="Times New Roman" w:cs="Times New Roman"/>
          <w:i/>
          <w:sz w:val="24"/>
          <w:szCs w:val="24"/>
        </w:rPr>
        <w:t>Judicial Stress: an unmentionable topic</w:t>
      </w:r>
      <w:r w:rsidRPr="00DC0273">
        <w:rPr>
          <w:rFonts w:ascii="Times New Roman" w:hAnsi="Times New Roman" w:cs="Times New Roman"/>
          <w:sz w:val="24"/>
          <w:szCs w:val="24"/>
        </w:rPr>
        <w:t>.  Twenty years later</w:t>
      </w:r>
      <w:r w:rsidR="00F758FD" w:rsidRPr="00DC0273">
        <w:rPr>
          <w:rFonts w:ascii="Times New Roman" w:hAnsi="Times New Roman" w:cs="Times New Roman"/>
          <w:sz w:val="24"/>
          <w:szCs w:val="24"/>
        </w:rPr>
        <w:t>,</w:t>
      </w:r>
      <w:r w:rsidRPr="00DC0273">
        <w:rPr>
          <w:rFonts w:ascii="Times New Roman" w:hAnsi="Times New Roman" w:cs="Times New Roman"/>
          <w:sz w:val="24"/>
          <w:szCs w:val="24"/>
        </w:rPr>
        <w:t xml:space="preserve"> many of his observations stand</w:t>
      </w:r>
      <w:r w:rsidR="00C84BBB" w:rsidRPr="00DC0273">
        <w:rPr>
          <w:rFonts w:ascii="Times New Roman" w:hAnsi="Times New Roman" w:cs="Times New Roman"/>
          <w:sz w:val="24"/>
          <w:szCs w:val="24"/>
        </w:rPr>
        <w:t>.</w:t>
      </w:r>
    </w:p>
    <w:p w14:paraId="0C9A4C02" w14:textId="77777777" w:rsidR="00DE46F4" w:rsidRPr="00DC0273" w:rsidRDefault="00DE46F4" w:rsidP="00905BC2">
      <w:pPr>
        <w:spacing w:after="0" w:line="276" w:lineRule="auto"/>
        <w:jc w:val="both"/>
        <w:rPr>
          <w:rFonts w:ascii="Times New Roman" w:hAnsi="Times New Roman" w:cs="Times New Roman"/>
          <w:sz w:val="24"/>
          <w:szCs w:val="24"/>
        </w:rPr>
      </w:pPr>
    </w:p>
    <w:p w14:paraId="1662B216" w14:textId="77777777" w:rsidR="00DE46F4" w:rsidRPr="00DC0273" w:rsidRDefault="00DE46F4"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In August 2015, the Judicial College of Victoria ran a two day seminar for judicial officers on the topic of judicial wellbeing and stress.  It was a significant event where judges, including the President of the Victorian Court of Appeal and myself, met with experts on sources of judicial stress; the links between lawyers, lawyering and stress; the factors and signs of stress; how to build wellbeing with positive psychology; resilience training and performance enhancement strategies (including mindfulness, vicarious trauma and burnout management strategies); and, relevantly, institutional responses to judicial wellbeing.  In the feedback on the seminar, one judicial officer said:</w:t>
      </w:r>
    </w:p>
    <w:p w14:paraId="6356A2CC" w14:textId="77777777" w:rsidR="00DE46F4" w:rsidRPr="00DC0273" w:rsidRDefault="00DE46F4" w:rsidP="00905BC2">
      <w:pPr>
        <w:spacing w:after="0" w:line="276" w:lineRule="auto"/>
        <w:jc w:val="both"/>
        <w:rPr>
          <w:rFonts w:ascii="Times New Roman" w:hAnsi="Times New Roman" w:cs="Times New Roman"/>
          <w:sz w:val="24"/>
          <w:szCs w:val="24"/>
        </w:rPr>
      </w:pPr>
    </w:p>
    <w:p w14:paraId="0DB05DC7" w14:textId="77777777" w:rsidR="00DE46F4" w:rsidRPr="00DC0273" w:rsidRDefault="00DE46F4" w:rsidP="00905BC2">
      <w:pPr>
        <w:spacing w:after="0" w:line="276" w:lineRule="auto"/>
        <w:ind w:left="720"/>
        <w:jc w:val="both"/>
        <w:rPr>
          <w:rFonts w:ascii="Times New Roman" w:hAnsi="Times New Roman" w:cs="Times New Roman"/>
          <w:sz w:val="24"/>
          <w:szCs w:val="24"/>
        </w:rPr>
      </w:pPr>
      <w:r w:rsidRPr="00DC0273">
        <w:rPr>
          <w:rFonts w:ascii="Times New Roman" w:hAnsi="Times New Roman" w:cs="Times New Roman"/>
          <w:sz w:val="24"/>
          <w:szCs w:val="24"/>
        </w:rPr>
        <w:t>Excellent stuff on a long-neglected area.  Heads of jurisdiction ought to take heed of the real concerns exposed in this valuable seminar.  There are real risks associated with not taking proper care of emotional well-being of the judges of this state.</w:t>
      </w:r>
    </w:p>
    <w:p w14:paraId="3B30492F"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46B71E08" w14:textId="5F0B3929" w:rsidR="00C84BBB" w:rsidRPr="00DC0273" w:rsidRDefault="00C84BBB"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Judicial College of Victoria, the Victorian Bar and the Law Institute of Victoria now have a very strong focus on judges and lawyers</w:t>
      </w:r>
      <w:r w:rsidR="00F758FD" w:rsidRPr="00DC0273">
        <w:rPr>
          <w:rFonts w:ascii="Times New Roman" w:hAnsi="Times New Roman" w:cs="Times New Roman"/>
          <w:sz w:val="24"/>
          <w:szCs w:val="24"/>
        </w:rPr>
        <w:t>’</w:t>
      </w:r>
      <w:r w:rsidRPr="00DC0273">
        <w:rPr>
          <w:rFonts w:ascii="Times New Roman" w:hAnsi="Times New Roman" w:cs="Times New Roman"/>
          <w:sz w:val="24"/>
          <w:szCs w:val="24"/>
        </w:rPr>
        <w:t xml:space="preserve"> wellbeing. </w:t>
      </w:r>
    </w:p>
    <w:p w14:paraId="6365B83E" w14:textId="77777777" w:rsidR="00C84BBB" w:rsidRPr="00DC0273" w:rsidRDefault="00C84BBB" w:rsidP="00905BC2">
      <w:pPr>
        <w:spacing w:after="0" w:line="276" w:lineRule="auto"/>
        <w:ind w:firstLine="720"/>
        <w:jc w:val="both"/>
        <w:rPr>
          <w:rFonts w:ascii="Times New Roman" w:hAnsi="Times New Roman" w:cs="Times New Roman"/>
          <w:sz w:val="24"/>
          <w:szCs w:val="24"/>
        </w:rPr>
      </w:pPr>
    </w:p>
    <w:p w14:paraId="1D05A61C" w14:textId="27402C73" w:rsidR="007C1469" w:rsidRPr="00DC0273" w:rsidRDefault="00C84BBB" w:rsidP="00905BC2">
      <w:pPr>
        <w:spacing w:after="0" w:line="276" w:lineRule="auto"/>
        <w:jc w:val="both"/>
        <w:rPr>
          <w:rFonts w:ascii="Times New Roman" w:hAnsi="Times New Roman" w:cs="Times New Roman"/>
          <w:b/>
          <w:sz w:val="24"/>
          <w:szCs w:val="24"/>
        </w:rPr>
      </w:pPr>
      <w:r w:rsidRPr="00DC0273">
        <w:rPr>
          <w:rFonts w:ascii="Times New Roman" w:hAnsi="Times New Roman" w:cs="Times New Roman"/>
          <w:b/>
          <w:sz w:val="24"/>
          <w:szCs w:val="24"/>
        </w:rPr>
        <w:t>Conclusion</w:t>
      </w:r>
    </w:p>
    <w:p w14:paraId="6832A839" w14:textId="77777777" w:rsidR="005C3C18" w:rsidRPr="00DC0273" w:rsidRDefault="005C3C18" w:rsidP="00905BC2">
      <w:pPr>
        <w:spacing w:after="0" w:line="276" w:lineRule="auto"/>
        <w:jc w:val="both"/>
        <w:rPr>
          <w:rFonts w:ascii="Times New Roman" w:hAnsi="Times New Roman" w:cs="Times New Roman"/>
          <w:sz w:val="24"/>
          <w:szCs w:val="24"/>
        </w:rPr>
      </w:pPr>
    </w:p>
    <w:p w14:paraId="24D8ABB6" w14:textId="710C7BA6" w:rsidR="00C84BBB" w:rsidRPr="00DC0273" w:rsidRDefault="00C84BBB"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Based on my wide-ranging overview I suggest there are three themes to highlight.</w:t>
      </w:r>
    </w:p>
    <w:p w14:paraId="7CC23DAF"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42C567A6" w14:textId="0A0E4954" w:rsidR="0068793C" w:rsidRPr="00DC0273" w:rsidRDefault="0068793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First, on the question of costs, proportionality is starting to develop in the courts and, in time, </w:t>
      </w:r>
      <w:r w:rsidR="00F758FD" w:rsidRPr="00DC0273">
        <w:rPr>
          <w:rFonts w:ascii="Times New Roman" w:hAnsi="Times New Roman" w:cs="Times New Roman"/>
          <w:sz w:val="24"/>
          <w:szCs w:val="24"/>
        </w:rPr>
        <w:t xml:space="preserve">it </w:t>
      </w:r>
      <w:r w:rsidRPr="00DC0273">
        <w:rPr>
          <w:rFonts w:ascii="Times New Roman" w:hAnsi="Times New Roman" w:cs="Times New Roman"/>
          <w:sz w:val="24"/>
          <w:szCs w:val="24"/>
        </w:rPr>
        <w:t>will become a very significant aspect of civil litigation.  It may or may not obviate the need for capping of costs; that remains to be seen.</w:t>
      </w:r>
    </w:p>
    <w:p w14:paraId="2A26158F"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1215E904" w14:textId="318904E2" w:rsidR="0068793C" w:rsidRPr="00DC0273" w:rsidRDefault="0068793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The second th</w:t>
      </w:r>
      <w:r w:rsidR="004576BA" w:rsidRPr="00DC0273">
        <w:rPr>
          <w:rFonts w:ascii="Times New Roman" w:hAnsi="Times New Roman" w:cs="Times New Roman"/>
          <w:sz w:val="24"/>
          <w:szCs w:val="24"/>
        </w:rPr>
        <w:t xml:space="preserve">eme </w:t>
      </w:r>
      <w:r w:rsidRPr="00DC0273">
        <w:rPr>
          <w:rFonts w:ascii="Times New Roman" w:hAnsi="Times New Roman" w:cs="Times New Roman"/>
          <w:sz w:val="24"/>
          <w:szCs w:val="24"/>
        </w:rPr>
        <w:t>is the extent of innovation and creativity across the Australian courts, in particular, the Victorian courts.  There is an evident responsiveness by jurisdictions to meet problems.  In other words, courts are taking the initiative themselves, rather than awaiting reforms driven by the profession or introduced by government.</w:t>
      </w:r>
      <w:r w:rsidR="004576BA" w:rsidRPr="00DC0273">
        <w:rPr>
          <w:rFonts w:ascii="Times New Roman" w:hAnsi="Times New Roman" w:cs="Times New Roman"/>
          <w:sz w:val="24"/>
          <w:szCs w:val="24"/>
        </w:rPr>
        <w:t xml:space="preserve">  They are also finding opportunities to work collaboratively with government departments to effect important and innovative reform.</w:t>
      </w:r>
    </w:p>
    <w:p w14:paraId="6D98FEAA" w14:textId="77777777" w:rsidR="007C1469" w:rsidRPr="00DC0273" w:rsidRDefault="007C1469" w:rsidP="00905BC2">
      <w:pPr>
        <w:spacing w:after="0" w:line="276" w:lineRule="auto"/>
        <w:ind w:firstLine="720"/>
        <w:jc w:val="both"/>
        <w:rPr>
          <w:rFonts w:ascii="Times New Roman" w:hAnsi="Times New Roman" w:cs="Times New Roman"/>
          <w:sz w:val="24"/>
          <w:szCs w:val="24"/>
        </w:rPr>
      </w:pPr>
    </w:p>
    <w:p w14:paraId="216EB326" w14:textId="64101ACB" w:rsidR="0068793C" w:rsidRPr="00DC0273" w:rsidRDefault="0068793C"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 xml:space="preserve">The third theme I note is the responsiveness of the courts on an incremental basis, as distinct from a global or ‘big bang’ approach.  There is much to be said for </w:t>
      </w:r>
      <w:r w:rsidR="00C84BBB" w:rsidRPr="00DC0273">
        <w:rPr>
          <w:rFonts w:ascii="Times New Roman" w:hAnsi="Times New Roman" w:cs="Times New Roman"/>
          <w:sz w:val="24"/>
          <w:szCs w:val="24"/>
        </w:rPr>
        <w:t>that</w:t>
      </w:r>
      <w:r w:rsidRPr="00DC0273">
        <w:rPr>
          <w:rFonts w:ascii="Times New Roman" w:hAnsi="Times New Roman" w:cs="Times New Roman"/>
          <w:sz w:val="24"/>
          <w:szCs w:val="24"/>
        </w:rPr>
        <w:t xml:space="preserve"> approach </w:t>
      </w:r>
      <w:r w:rsidR="00C84BBB" w:rsidRPr="00DC0273">
        <w:rPr>
          <w:rFonts w:ascii="Times New Roman" w:hAnsi="Times New Roman" w:cs="Times New Roman"/>
          <w:sz w:val="24"/>
          <w:szCs w:val="24"/>
        </w:rPr>
        <w:t>as</w:t>
      </w:r>
      <w:r w:rsidRPr="00DC0273">
        <w:rPr>
          <w:rFonts w:ascii="Times New Roman" w:hAnsi="Times New Roman" w:cs="Times New Roman"/>
          <w:sz w:val="24"/>
          <w:szCs w:val="24"/>
        </w:rPr>
        <w:t xml:space="preserve"> it </w:t>
      </w:r>
      <w:proofErr w:type="gramStart"/>
      <w:r w:rsidRPr="00DC0273">
        <w:rPr>
          <w:rFonts w:ascii="Times New Roman" w:hAnsi="Times New Roman" w:cs="Times New Roman"/>
          <w:sz w:val="24"/>
          <w:szCs w:val="24"/>
        </w:rPr>
        <w:t xml:space="preserve">facilitates </w:t>
      </w:r>
      <w:r w:rsidR="00F758FD" w:rsidRPr="00DC0273">
        <w:rPr>
          <w:rFonts w:ascii="Times New Roman" w:hAnsi="Times New Roman" w:cs="Times New Roman"/>
          <w:sz w:val="24"/>
          <w:szCs w:val="24"/>
        </w:rPr>
        <w:t xml:space="preserve"> the</w:t>
      </w:r>
      <w:proofErr w:type="gramEnd"/>
      <w:r w:rsidR="00F758FD" w:rsidRPr="00DC0273">
        <w:rPr>
          <w:rFonts w:ascii="Times New Roman" w:hAnsi="Times New Roman" w:cs="Times New Roman"/>
          <w:sz w:val="24"/>
          <w:szCs w:val="24"/>
        </w:rPr>
        <w:t xml:space="preserve"> ongoing </w:t>
      </w:r>
      <w:r w:rsidRPr="00DC0273">
        <w:rPr>
          <w:rFonts w:ascii="Times New Roman" w:hAnsi="Times New Roman" w:cs="Times New Roman"/>
          <w:sz w:val="24"/>
          <w:szCs w:val="24"/>
        </w:rPr>
        <w:t>commitment and involvement of all those who participate in the administration of civil justice</w:t>
      </w:r>
      <w:r w:rsidR="004576BA" w:rsidRPr="00DC0273">
        <w:rPr>
          <w:rFonts w:ascii="Times New Roman" w:hAnsi="Times New Roman" w:cs="Times New Roman"/>
          <w:sz w:val="24"/>
          <w:szCs w:val="24"/>
        </w:rPr>
        <w:t>.  A</w:t>
      </w:r>
      <w:r w:rsidRPr="00DC0273">
        <w:rPr>
          <w:rFonts w:ascii="Times New Roman" w:hAnsi="Times New Roman" w:cs="Times New Roman"/>
          <w:sz w:val="24"/>
          <w:szCs w:val="24"/>
        </w:rPr>
        <w:t xml:space="preserve">gain I cite the example of the </w:t>
      </w:r>
      <w:r w:rsidRPr="00DC0273">
        <w:rPr>
          <w:rFonts w:ascii="Times New Roman" w:hAnsi="Times New Roman" w:cs="Times New Roman"/>
          <w:i/>
          <w:sz w:val="24"/>
          <w:szCs w:val="24"/>
        </w:rPr>
        <w:t>Civil Procedure Act</w:t>
      </w:r>
      <w:r w:rsidRPr="00DC0273">
        <w:rPr>
          <w:rFonts w:ascii="Times New Roman" w:hAnsi="Times New Roman" w:cs="Times New Roman"/>
          <w:sz w:val="24"/>
          <w:szCs w:val="24"/>
        </w:rPr>
        <w:t>.</w:t>
      </w:r>
      <w:r w:rsidR="00F758FD" w:rsidRPr="00DC0273">
        <w:rPr>
          <w:rFonts w:ascii="Times New Roman" w:hAnsi="Times New Roman" w:cs="Times New Roman"/>
          <w:sz w:val="24"/>
          <w:szCs w:val="24"/>
        </w:rPr>
        <w:t xml:space="preserve">  The Victorian courts would reject any suggestion of “inertia”. </w:t>
      </w:r>
    </w:p>
    <w:p w14:paraId="370327B8" w14:textId="77777777" w:rsidR="00273E21" w:rsidRPr="00DC0273" w:rsidRDefault="00273E21" w:rsidP="00905BC2">
      <w:pPr>
        <w:spacing w:after="0" w:line="276" w:lineRule="auto"/>
        <w:jc w:val="both"/>
        <w:rPr>
          <w:rFonts w:ascii="Times New Roman" w:hAnsi="Times New Roman" w:cs="Times New Roman"/>
          <w:sz w:val="24"/>
          <w:szCs w:val="24"/>
        </w:rPr>
      </w:pPr>
    </w:p>
    <w:p w14:paraId="0F1798BC" w14:textId="46ED54BA" w:rsidR="0068793C" w:rsidRPr="00DC0273" w:rsidRDefault="004576BA" w:rsidP="00905BC2">
      <w:pPr>
        <w:spacing w:after="0" w:line="276" w:lineRule="auto"/>
        <w:ind w:firstLine="720"/>
        <w:jc w:val="both"/>
        <w:rPr>
          <w:rFonts w:ascii="Times New Roman" w:hAnsi="Times New Roman" w:cs="Times New Roman"/>
          <w:sz w:val="24"/>
          <w:szCs w:val="24"/>
        </w:rPr>
      </w:pPr>
      <w:r w:rsidRPr="00DC0273">
        <w:rPr>
          <w:rFonts w:ascii="Times New Roman" w:hAnsi="Times New Roman" w:cs="Times New Roman"/>
          <w:sz w:val="24"/>
          <w:szCs w:val="24"/>
        </w:rPr>
        <w:t>In closing I suggest s</w:t>
      </w:r>
      <w:r w:rsidR="0068793C" w:rsidRPr="00DC0273">
        <w:rPr>
          <w:rFonts w:ascii="Times New Roman" w:hAnsi="Times New Roman" w:cs="Times New Roman"/>
          <w:sz w:val="24"/>
          <w:szCs w:val="24"/>
        </w:rPr>
        <w:t>ome forecasts for the future, or topics to be aware of:</w:t>
      </w:r>
    </w:p>
    <w:p w14:paraId="174B2470" w14:textId="77777777" w:rsidR="0068793C" w:rsidRPr="00DC0273" w:rsidRDefault="0068793C"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lastRenderedPageBreak/>
        <w:t>(1)</w:t>
      </w:r>
      <w:r w:rsidRPr="00DC0273">
        <w:rPr>
          <w:rFonts w:ascii="Times New Roman" w:hAnsi="Times New Roman" w:cs="Times New Roman"/>
          <w:sz w:val="24"/>
          <w:szCs w:val="24"/>
        </w:rPr>
        <w:tab/>
        <w:t>Tribunal jurisdictions will expand.</w:t>
      </w:r>
    </w:p>
    <w:p w14:paraId="38C1A2BF" w14:textId="77777777" w:rsidR="0068793C" w:rsidRPr="00DC0273" w:rsidRDefault="0068793C"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t>(2)</w:t>
      </w:r>
      <w:r w:rsidRPr="00DC0273">
        <w:rPr>
          <w:rFonts w:ascii="Times New Roman" w:hAnsi="Times New Roman" w:cs="Times New Roman"/>
          <w:sz w:val="24"/>
          <w:szCs w:val="24"/>
        </w:rPr>
        <w:tab/>
        <w:t>There will be more class actions.</w:t>
      </w:r>
    </w:p>
    <w:p w14:paraId="778D4CDB" w14:textId="77777777" w:rsidR="0068793C" w:rsidRPr="00DC0273" w:rsidRDefault="0068793C"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t>(3)</w:t>
      </w:r>
      <w:r w:rsidRPr="00DC0273">
        <w:rPr>
          <w:rFonts w:ascii="Times New Roman" w:hAnsi="Times New Roman" w:cs="Times New Roman"/>
          <w:sz w:val="24"/>
          <w:szCs w:val="24"/>
        </w:rPr>
        <w:tab/>
        <w:t>ADR will continue to expand.</w:t>
      </w:r>
    </w:p>
    <w:p w14:paraId="02CA54BD" w14:textId="19D83818" w:rsidR="0068793C" w:rsidRPr="00DC0273" w:rsidRDefault="0068793C"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t>(4)</w:t>
      </w:r>
      <w:r w:rsidRPr="00DC0273">
        <w:rPr>
          <w:rFonts w:ascii="Times New Roman" w:hAnsi="Times New Roman" w:cs="Times New Roman"/>
          <w:sz w:val="24"/>
          <w:szCs w:val="24"/>
        </w:rPr>
        <w:tab/>
        <w:t>Judicial control will increase indeed, it is now an expectation.</w:t>
      </w:r>
    </w:p>
    <w:p w14:paraId="27218EC9" w14:textId="30CFDBD7" w:rsidR="0068793C" w:rsidRPr="00DC0273" w:rsidRDefault="0068793C" w:rsidP="00905BC2">
      <w:pPr>
        <w:spacing w:after="0" w:line="276" w:lineRule="auto"/>
        <w:ind w:left="1440" w:hanging="720"/>
        <w:jc w:val="both"/>
        <w:rPr>
          <w:rFonts w:ascii="Times New Roman" w:hAnsi="Times New Roman" w:cs="Times New Roman"/>
          <w:sz w:val="24"/>
          <w:szCs w:val="24"/>
        </w:rPr>
      </w:pPr>
      <w:r w:rsidRPr="00DC0273">
        <w:rPr>
          <w:rFonts w:ascii="Times New Roman" w:hAnsi="Times New Roman" w:cs="Times New Roman"/>
          <w:sz w:val="24"/>
          <w:szCs w:val="24"/>
        </w:rPr>
        <w:t>(5)</w:t>
      </w:r>
      <w:r w:rsidRPr="00DC0273">
        <w:rPr>
          <w:rFonts w:ascii="Times New Roman" w:hAnsi="Times New Roman" w:cs="Times New Roman"/>
          <w:sz w:val="24"/>
          <w:szCs w:val="24"/>
        </w:rPr>
        <w:tab/>
        <w:t>Technology</w:t>
      </w:r>
      <w:r w:rsidR="004576BA" w:rsidRPr="00DC0273">
        <w:rPr>
          <w:rFonts w:ascii="Times New Roman" w:hAnsi="Times New Roman" w:cs="Times New Roman"/>
          <w:sz w:val="24"/>
          <w:szCs w:val="24"/>
        </w:rPr>
        <w:t xml:space="preserve"> </w:t>
      </w:r>
      <w:r w:rsidRPr="00DC0273">
        <w:rPr>
          <w:rFonts w:ascii="Times New Roman" w:hAnsi="Times New Roman" w:cs="Times New Roman"/>
          <w:sz w:val="24"/>
          <w:szCs w:val="24"/>
        </w:rPr>
        <w:t>will transform the courts.</w:t>
      </w:r>
    </w:p>
    <w:p w14:paraId="4D6F6A5F" w14:textId="1AA7E16E" w:rsidR="00F758FD" w:rsidRPr="00DC0273" w:rsidRDefault="00F758FD" w:rsidP="00905BC2">
      <w:pPr>
        <w:spacing w:line="276" w:lineRule="auto"/>
        <w:rPr>
          <w:rFonts w:ascii="Times New Roman" w:hAnsi="Times New Roman" w:cs="Times New Roman"/>
          <w:sz w:val="24"/>
          <w:szCs w:val="24"/>
        </w:rPr>
      </w:pPr>
      <w:r w:rsidRPr="00DC0273">
        <w:rPr>
          <w:rFonts w:ascii="Times New Roman" w:hAnsi="Times New Roman" w:cs="Times New Roman"/>
          <w:sz w:val="24"/>
          <w:szCs w:val="24"/>
        </w:rPr>
        <w:br w:type="page"/>
      </w:r>
    </w:p>
    <w:sdt>
      <w:sdtPr>
        <w:rPr>
          <w:rFonts w:ascii="Times New Roman" w:hAnsi="Times New Roman" w:cs="Times New Roman"/>
          <w:sz w:val="24"/>
          <w:szCs w:val="24"/>
        </w:rPr>
        <w:id w:val="1372576291"/>
        <w:docPartObj>
          <w:docPartGallery w:val="Cover Pages"/>
          <w:docPartUnique/>
        </w:docPartObj>
      </w:sdtPr>
      <w:sdtEndPr>
        <w:rPr>
          <w:b/>
        </w:rPr>
      </w:sdtEndPr>
      <w:sdtContent>
        <w:tbl>
          <w:tblPr>
            <w:tblpPr w:leftFromText="180" w:rightFromText="180" w:horzAnchor="margin" w:tblpY="870"/>
            <w:tblW w:w="9286" w:type="dxa"/>
            <w:tblCellMar>
              <w:top w:w="113" w:type="dxa"/>
              <w:left w:w="284" w:type="dxa"/>
              <w:bottom w:w="113" w:type="dxa"/>
              <w:right w:w="284" w:type="dxa"/>
            </w:tblCellMar>
            <w:tblLook w:val="00A0" w:firstRow="1" w:lastRow="0" w:firstColumn="1" w:lastColumn="0" w:noHBand="0" w:noVBand="0"/>
          </w:tblPr>
          <w:tblGrid>
            <w:gridCol w:w="1843"/>
            <w:gridCol w:w="7443"/>
          </w:tblGrid>
          <w:tr w:rsidR="00F758FD" w:rsidRPr="00DC0273" w14:paraId="3DB0D956" w14:textId="77777777" w:rsidTr="00F758FD">
            <w:trPr>
              <w:trHeight w:val="342"/>
            </w:trPr>
            <w:tc>
              <w:tcPr>
                <w:tcW w:w="1843" w:type="dxa"/>
                <w:tcBorders>
                  <w:right w:val="single" w:sz="4" w:space="0" w:color="BFBFBF"/>
                </w:tcBorders>
              </w:tcPr>
              <w:p w14:paraId="6318AE2E" w14:textId="12817461" w:rsidR="00F758FD" w:rsidRPr="00DC0273" w:rsidRDefault="00F758FD" w:rsidP="00905BC2">
                <w:pPr>
                  <w:spacing w:before="120" w:after="120" w:line="276" w:lineRule="auto"/>
                  <w:rPr>
                    <w:rFonts w:ascii="Times New Roman" w:hAnsi="Times New Roman" w:cs="Times New Roman"/>
                    <w:sz w:val="24"/>
                    <w:szCs w:val="24"/>
                  </w:rPr>
                </w:pPr>
                <w:r w:rsidRPr="00DC0273">
                  <w:rPr>
                    <w:rFonts w:ascii="Times New Roman" w:hAnsi="Times New Roman" w:cs="Times New Roman"/>
                    <w:b/>
                    <w:sz w:val="24"/>
                    <w:szCs w:val="24"/>
                  </w:rPr>
                  <w:t>Notes</w:t>
                </w:r>
              </w:p>
            </w:tc>
            <w:tc>
              <w:tcPr>
                <w:tcW w:w="7443" w:type="dxa"/>
                <w:tcBorders>
                  <w:left w:val="single" w:sz="4" w:space="0" w:color="BFBFBF"/>
                </w:tcBorders>
              </w:tcPr>
              <w:p w14:paraId="44DF1837" w14:textId="77777777" w:rsidR="00F758FD" w:rsidRPr="00DC0273" w:rsidRDefault="00F758FD" w:rsidP="00905BC2">
                <w:pPr>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 xml:space="preserve">All reference to the ‘Act’ and the ‘Rules’ in this summary are references to the </w:t>
                </w:r>
                <w:r w:rsidRPr="00DC0273">
                  <w:rPr>
                    <w:rFonts w:ascii="Times New Roman" w:hAnsi="Times New Roman" w:cs="Times New Roman"/>
                    <w:i/>
                    <w:sz w:val="24"/>
                    <w:szCs w:val="24"/>
                  </w:rPr>
                  <w:t xml:space="preserve">Civil Procedure Act 2010 </w:t>
                </w:r>
                <w:r w:rsidRPr="00DC0273">
                  <w:rPr>
                    <w:rFonts w:ascii="Times New Roman" w:hAnsi="Times New Roman" w:cs="Times New Roman"/>
                    <w:sz w:val="24"/>
                    <w:szCs w:val="24"/>
                  </w:rPr>
                  <w:t xml:space="preserve">(Vic) and the </w:t>
                </w:r>
                <w:r w:rsidRPr="00DC0273">
                  <w:rPr>
                    <w:rFonts w:ascii="Times New Roman" w:hAnsi="Times New Roman" w:cs="Times New Roman"/>
                    <w:i/>
                    <w:sz w:val="24"/>
                    <w:szCs w:val="24"/>
                  </w:rPr>
                  <w:t xml:space="preserve">Supreme Court (General Civil Procedure Rules) 2005 </w:t>
                </w:r>
                <w:r w:rsidRPr="00DC0273">
                  <w:rPr>
                    <w:rFonts w:ascii="Times New Roman" w:hAnsi="Times New Roman" w:cs="Times New Roman"/>
                    <w:sz w:val="24"/>
                    <w:szCs w:val="24"/>
                  </w:rPr>
                  <w:t xml:space="preserve">(Vic) respectively. </w:t>
                </w:r>
              </w:p>
            </w:tc>
          </w:tr>
        </w:tbl>
        <w:p w14:paraId="448E8C89" w14:textId="7D87D40E" w:rsidR="00F758FD" w:rsidRPr="00DC0273" w:rsidRDefault="00F758FD" w:rsidP="00905BC2">
          <w:pPr>
            <w:spacing w:line="276" w:lineRule="auto"/>
            <w:jc w:val="center"/>
            <w:rPr>
              <w:rFonts w:ascii="Times New Roman" w:hAnsi="Times New Roman" w:cs="Times New Roman"/>
              <w:b/>
              <w:sz w:val="24"/>
              <w:szCs w:val="24"/>
            </w:rPr>
          </w:pPr>
          <w:r w:rsidRPr="00DC0273">
            <w:rPr>
              <w:rFonts w:ascii="Times New Roman" w:hAnsi="Times New Roman" w:cs="Times New Roman"/>
              <w:b/>
              <w:sz w:val="24"/>
              <w:szCs w:val="24"/>
            </w:rPr>
            <w:t>Appendix</w:t>
          </w:r>
        </w:p>
      </w:sdtContent>
    </w:sdt>
    <w:tbl>
      <w:tblPr>
        <w:tblStyle w:val="TableGrid"/>
        <w:tblW w:w="9630" w:type="dxa"/>
        <w:tblInd w:w="-5" w:type="dxa"/>
        <w:tblLayout w:type="fixed"/>
        <w:tblLook w:val="04A0" w:firstRow="1" w:lastRow="0" w:firstColumn="1" w:lastColumn="0" w:noHBand="0" w:noVBand="1"/>
      </w:tblPr>
      <w:tblGrid>
        <w:gridCol w:w="3119"/>
        <w:gridCol w:w="6511"/>
      </w:tblGrid>
      <w:tr w:rsidR="00F758FD" w:rsidRPr="00DC0273" w14:paraId="7E564F01" w14:textId="77777777" w:rsidTr="00555811">
        <w:trPr>
          <w:tblHeader/>
        </w:trPr>
        <w:tc>
          <w:tcPr>
            <w:tcW w:w="3119" w:type="dxa"/>
            <w:shd w:val="clear" w:color="auto" w:fill="C00000"/>
          </w:tcPr>
          <w:p w14:paraId="2BB24ADF" w14:textId="77777777" w:rsidR="00F758FD" w:rsidRPr="00DC0273" w:rsidRDefault="00F758FD" w:rsidP="00905BC2">
            <w:pPr>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Case</w:t>
            </w:r>
          </w:p>
        </w:tc>
        <w:tc>
          <w:tcPr>
            <w:tcW w:w="6511" w:type="dxa"/>
            <w:shd w:val="clear" w:color="auto" w:fill="C00000"/>
          </w:tcPr>
          <w:p w14:paraId="71EF2473" w14:textId="77777777" w:rsidR="00F758FD" w:rsidRPr="00DC0273" w:rsidRDefault="00F758FD" w:rsidP="00905BC2">
            <w:pPr>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Outcome</w:t>
            </w:r>
          </w:p>
        </w:tc>
      </w:tr>
      <w:tr w:rsidR="00F758FD" w:rsidRPr="00DC0273" w14:paraId="228DB21E" w14:textId="77777777" w:rsidTr="00555811">
        <w:tc>
          <w:tcPr>
            <w:tcW w:w="3119" w:type="dxa"/>
            <w:shd w:val="clear" w:color="auto" w:fill="auto"/>
          </w:tcPr>
          <w:p w14:paraId="5021C3B0" w14:textId="77777777" w:rsidR="00F758FD" w:rsidRPr="00DC0273" w:rsidRDefault="00F758FD" w:rsidP="00905BC2">
            <w:pPr>
              <w:spacing w:before="120" w:after="120" w:line="276" w:lineRule="auto"/>
              <w:rPr>
                <w:rFonts w:ascii="Times New Roman" w:hAnsi="Times New Roman" w:cs="Times New Roman"/>
                <w:sz w:val="24"/>
                <w:szCs w:val="24"/>
              </w:rPr>
            </w:pPr>
            <w:proofErr w:type="spellStart"/>
            <w:r w:rsidRPr="00DC0273">
              <w:rPr>
                <w:rFonts w:ascii="Times New Roman" w:hAnsi="Times New Roman" w:cs="Times New Roman"/>
                <w:i/>
                <w:iCs/>
                <w:sz w:val="24"/>
                <w:szCs w:val="24"/>
              </w:rPr>
              <w:t>Actrol</w:t>
            </w:r>
            <w:proofErr w:type="spellEnd"/>
            <w:r w:rsidRPr="00DC0273">
              <w:rPr>
                <w:rFonts w:ascii="Times New Roman" w:hAnsi="Times New Roman" w:cs="Times New Roman"/>
                <w:i/>
                <w:iCs/>
                <w:sz w:val="24"/>
                <w:szCs w:val="24"/>
              </w:rPr>
              <w:t xml:space="preserve"> Parts Pty Ltd v </w:t>
            </w:r>
            <w:proofErr w:type="spellStart"/>
            <w:r w:rsidRPr="00DC0273">
              <w:rPr>
                <w:rFonts w:ascii="Times New Roman" w:hAnsi="Times New Roman" w:cs="Times New Roman"/>
                <w:i/>
                <w:iCs/>
                <w:sz w:val="24"/>
                <w:szCs w:val="24"/>
              </w:rPr>
              <w:t>Coppi</w:t>
            </w:r>
            <w:proofErr w:type="spellEnd"/>
            <w:r w:rsidRPr="00DC0273">
              <w:rPr>
                <w:rFonts w:ascii="Times New Roman" w:hAnsi="Times New Roman" w:cs="Times New Roman"/>
                <w:i/>
                <w:iCs/>
                <w:sz w:val="24"/>
                <w:szCs w:val="24"/>
              </w:rPr>
              <w:t xml:space="preserve"> (No 3) </w:t>
            </w:r>
            <w:r w:rsidRPr="00DC0273">
              <w:rPr>
                <w:rFonts w:ascii="Times New Roman" w:hAnsi="Times New Roman" w:cs="Times New Roman"/>
                <w:sz w:val="24"/>
                <w:szCs w:val="24"/>
              </w:rPr>
              <w:t>[2015] VSC 758</w:t>
            </w:r>
          </w:p>
        </w:tc>
        <w:tc>
          <w:tcPr>
            <w:tcW w:w="6511" w:type="dxa"/>
          </w:tcPr>
          <w:p w14:paraId="3A5D0730" w14:textId="31F99B08" w:rsidR="00F758FD" w:rsidRPr="00DC0273" w:rsidRDefault="00F758FD" w:rsidP="00905BC2">
            <w:pPr>
              <w:autoSpaceDE w:val="0"/>
              <w:autoSpaceDN w:val="0"/>
              <w:adjustRightInd w:val="0"/>
              <w:spacing w:before="120" w:after="120" w:line="276" w:lineRule="auto"/>
              <w:ind w:right="-108"/>
              <w:rPr>
                <w:rFonts w:ascii="Times New Roman" w:hAnsi="Times New Roman" w:cs="Times New Roman"/>
                <w:sz w:val="24"/>
                <w:szCs w:val="24"/>
              </w:rPr>
            </w:pPr>
            <w:r w:rsidRPr="00DC0273">
              <w:rPr>
                <w:rFonts w:ascii="Times New Roman" w:hAnsi="Times New Roman" w:cs="Times New Roman"/>
                <w:sz w:val="24"/>
                <w:szCs w:val="24"/>
              </w:rPr>
              <w:t xml:space="preserve">The conduct of a </w:t>
            </w:r>
            <w:r w:rsidR="00B4286B" w:rsidRPr="00DC0273">
              <w:rPr>
                <w:rFonts w:ascii="Times New Roman" w:hAnsi="Times New Roman" w:cs="Times New Roman"/>
                <w:sz w:val="24"/>
                <w:szCs w:val="24"/>
              </w:rPr>
              <w:t>p</w:t>
            </w:r>
            <w:r w:rsidRPr="00DC0273">
              <w:rPr>
                <w:rFonts w:ascii="Times New Roman" w:hAnsi="Times New Roman" w:cs="Times New Roman"/>
                <w:sz w:val="24"/>
                <w:szCs w:val="24"/>
              </w:rPr>
              <w:t>arty may be such as to warrant dismissal of proceedings rather than an award of nominal damages.</w:t>
            </w:r>
          </w:p>
          <w:p w14:paraId="1DE98485"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 xml:space="preserve">There is ‘no warrant’ for giving a restricted meaning to the terms ‘any power’ or ‘any order’ under section 28 and 29 of the Act. </w:t>
            </w:r>
          </w:p>
        </w:tc>
      </w:tr>
      <w:tr w:rsidR="00F758FD" w:rsidRPr="00DC0273" w14:paraId="78F72D35" w14:textId="77777777" w:rsidTr="00555811">
        <w:tc>
          <w:tcPr>
            <w:tcW w:w="3119" w:type="dxa"/>
          </w:tcPr>
          <w:p w14:paraId="30F6ED89" w14:textId="77777777" w:rsidR="00F758FD" w:rsidRPr="00DC0273" w:rsidRDefault="00F758FD" w:rsidP="00905BC2">
            <w:pPr>
              <w:spacing w:before="120" w:after="120" w:line="276" w:lineRule="auto"/>
              <w:rPr>
                <w:rFonts w:ascii="Times New Roman" w:hAnsi="Times New Roman" w:cs="Times New Roman"/>
                <w:sz w:val="24"/>
                <w:szCs w:val="24"/>
              </w:rPr>
            </w:pPr>
            <w:proofErr w:type="spellStart"/>
            <w:r w:rsidRPr="00DC0273">
              <w:rPr>
                <w:rFonts w:ascii="Times New Roman" w:hAnsi="Times New Roman" w:cs="Times New Roman"/>
                <w:i/>
                <w:sz w:val="24"/>
                <w:szCs w:val="24"/>
              </w:rPr>
              <w:t>Hudspeth</w:t>
            </w:r>
            <w:proofErr w:type="spellEnd"/>
            <w:r w:rsidRPr="00DC0273">
              <w:rPr>
                <w:rFonts w:ascii="Times New Roman" w:hAnsi="Times New Roman" w:cs="Times New Roman"/>
                <w:i/>
                <w:sz w:val="24"/>
                <w:szCs w:val="24"/>
              </w:rPr>
              <w:t xml:space="preserve"> v Scholastic Cleaning and Consultancy Services Pty Ltd (No 9) </w:t>
            </w:r>
            <w:r w:rsidRPr="00DC0273">
              <w:rPr>
                <w:rFonts w:ascii="Times New Roman" w:hAnsi="Times New Roman" w:cs="Times New Roman"/>
                <w:sz w:val="24"/>
                <w:szCs w:val="24"/>
              </w:rPr>
              <w:t>[2014] VSC 622</w:t>
            </w:r>
          </w:p>
        </w:tc>
        <w:tc>
          <w:tcPr>
            <w:tcW w:w="6511" w:type="dxa"/>
          </w:tcPr>
          <w:p w14:paraId="0C0362EF" w14:textId="77777777" w:rsidR="00F758FD" w:rsidRPr="00DC0273" w:rsidRDefault="00F758FD" w:rsidP="00905BC2">
            <w:pPr>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 xml:space="preserve">Costs may be awarded against an expert personally where the Act and/or Code of Conduct have been contravened. </w:t>
            </w:r>
          </w:p>
        </w:tc>
      </w:tr>
      <w:tr w:rsidR="00F758FD" w:rsidRPr="00DC0273" w14:paraId="68793353" w14:textId="77777777" w:rsidTr="00555811">
        <w:tc>
          <w:tcPr>
            <w:tcW w:w="3119" w:type="dxa"/>
          </w:tcPr>
          <w:p w14:paraId="3D8E47E9" w14:textId="77777777" w:rsidR="00F758FD" w:rsidRPr="00DC0273" w:rsidRDefault="00F758FD" w:rsidP="00905BC2">
            <w:pPr>
              <w:spacing w:before="120" w:after="120" w:line="276" w:lineRule="auto"/>
              <w:rPr>
                <w:rFonts w:ascii="Times New Roman" w:hAnsi="Times New Roman" w:cs="Times New Roman"/>
                <w:sz w:val="24"/>
                <w:szCs w:val="24"/>
              </w:rPr>
            </w:pPr>
            <w:r w:rsidRPr="00DC0273">
              <w:rPr>
                <w:rFonts w:ascii="Times New Roman" w:hAnsi="Times New Roman" w:cs="Times New Roman"/>
                <w:i/>
                <w:sz w:val="24"/>
                <w:szCs w:val="24"/>
              </w:rPr>
              <w:t xml:space="preserve">Kenny v </w:t>
            </w:r>
            <w:proofErr w:type="spellStart"/>
            <w:r w:rsidRPr="00DC0273">
              <w:rPr>
                <w:rFonts w:ascii="Times New Roman" w:hAnsi="Times New Roman" w:cs="Times New Roman"/>
                <w:i/>
                <w:sz w:val="24"/>
                <w:szCs w:val="24"/>
              </w:rPr>
              <w:t>Gippsreal</w:t>
            </w:r>
            <w:proofErr w:type="spellEnd"/>
            <w:r w:rsidRPr="00DC0273">
              <w:rPr>
                <w:rFonts w:ascii="Times New Roman" w:hAnsi="Times New Roman" w:cs="Times New Roman"/>
                <w:i/>
                <w:sz w:val="24"/>
                <w:szCs w:val="24"/>
              </w:rPr>
              <w:t xml:space="preserve"> Ltd</w:t>
            </w:r>
            <w:r w:rsidRPr="00DC0273">
              <w:rPr>
                <w:rFonts w:ascii="Times New Roman" w:hAnsi="Times New Roman" w:cs="Times New Roman"/>
                <w:sz w:val="24"/>
                <w:szCs w:val="24"/>
              </w:rPr>
              <w:t xml:space="preserve"> [2015] VSC 284</w:t>
            </w:r>
          </w:p>
        </w:tc>
        <w:tc>
          <w:tcPr>
            <w:tcW w:w="6511" w:type="dxa"/>
          </w:tcPr>
          <w:p w14:paraId="166980A7"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 xml:space="preserve">‘Finalisation’ within the meaning of section 30(2) of the Act must be given its ordinary and natural meaning’, and assessed in a practical, and not technical sense.  </w:t>
            </w:r>
          </w:p>
        </w:tc>
      </w:tr>
      <w:tr w:rsidR="00F758FD" w:rsidRPr="00DC0273" w14:paraId="1256C3E0" w14:textId="77777777" w:rsidTr="00555811">
        <w:tc>
          <w:tcPr>
            <w:tcW w:w="3119" w:type="dxa"/>
          </w:tcPr>
          <w:p w14:paraId="0CB2DAE3"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i/>
                <w:iCs/>
                <w:sz w:val="24"/>
                <w:szCs w:val="24"/>
              </w:rPr>
            </w:pPr>
            <w:proofErr w:type="spellStart"/>
            <w:r w:rsidRPr="00DC0273">
              <w:rPr>
                <w:rFonts w:ascii="Times New Roman" w:hAnsi="Times New Roman" w:cs="Times New Roman"/>
                <w:i/>
                <w:iCs/>
                <w:sz w:val="24"/>
                <w:szCs w:val="24"/>
              </w:rPr>
              <w:t>Refaat</w:t>
            </w:r>
            <w:proofErr w:type="spellEnd"/>
            <w:r w:rsidRPr="00DC0273">
              <w:rPr>
                <w:rFonts w:ascii="Times New Roman" w:hAnsi="Times New Roman" w:cs="Times New Roman"/>
                <w:i/>
                <w:iCs/>
                <w:sz w:val="24"/>
                <w:szCs w:val="24"/>
              </w:rPr>
              <w:t xml:space="preserve"> v Barry (No 2) </w:t>
            </w:r>
            <w:r w:rsidRPr="00DC0273">
              <w:rPr>
                <w:rFonts w:ascii="Times New Roman" w:hAnsi="Times New Roman" w:cs="Times New Roman"/>
                <w:iCs/>
                <w:sz w:val="24"/>
                <w:szCs w:val="24"/>
              </w:rPr>
              <w:t>[</w:t>
            </w:r>
            <w:r w:rsidRPr="00DC0273">
              <w:rPr>
                <w:rFonts w:ascii="Times New Roman" w:hAnsi="Times New Roman" w:cs="Times New Roman"/>
                <w:sz w:val="24"/>
                <w:szCs w:val="24"/>
              </w:rPr>
              <w:t>2015] VSCA 268</w:t>
            </w:r>
          </w:p>
        </w:tc>
        <w:tc>
          <w:tcPr>
            <w:tcW w:w="6511" w:type="dxa"/>
          </w:tcPr>
          <w:p w14:paraId="4483E0E0"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 xml:space="preserve">Whilst a lack of representation does not excuse a party from liability for costs or their obligations under the Act, it is nonetheless relevant to the consideration of the manner in which that party conducted their case. </w:t>
            </w:r>
          </w:p>
        </w:tc>
      </w:tr>
      <w:tr w:rsidR="00F758FD" w:rsidRPr="00DC0273" w14:paraId="25C0E571" w14:textId="77777777" w:rsidTr="00555811">
        <w:tc>
          <w:tcPr>
            <w:tcW w:w="3119" w:type="dxa"/>
          </w:tcPr>
          <w:p w14:paraId="25A51B54"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i/>
                <w:iCs/>
                <w:sz w:val="24"/>
                <w:szCs w:val="24"/>
              </w:rPr>
              <w:t xml:space="preserve">Chan v Chen &amp; </w:t>
            </w:r>
            <w:proofErr w:type="spellStart"/>
            <w:r w:rsidRPr="00DC0273">
              <w:rPr>
                <w:rFonts w:ascii="Times New Roman" w:hAnsi="Times New Roman" w:cs="Times New Roman"/>
                <w:i/>
                <w:iCs/>
                <w:sz w:val="24"/>
                <w:szCs w:val="24"/>
              </w:rPr>
              <w:t>Ors</w:t>
            </w:r>
            <w:proofErr w:type="spellEnd"/>
            <w:r w:rsidRPr="00DC0273">
              <w:rPr>
                <w:rFonts w:ascii="Times New Roman" w:hAnsi="Times New Roman" w:cs="Times New Roman"/>
                <w:i/>
                <w:iCs/>
                <w:sz w:val="24"/>
                <w:szCs w:val="24"/>
              </w:rPr>
              <w:t xml:space="preserve"> </w:t>
            </w:r>
            <w:r w:rsidRPr="00DC0273">
              <w:rPr>
                <w:rFonts w:ascii="Times New Roman" w:hAnsi="Times New Roman" w:cs="Times New Roman"/>
                <w:sz w:val="24"/>
                <w:szCs w:val="24"/>
              </w:rPr>
              <w:t>[2013] VSC 538</w:t>
            </w:r>
          </w:p>
          <w:p w14:paraId="4A162CC6"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i/>
                <w:iCs/>
                <w:sz w:val="24"/>
                <w:szCs w:val="24"/>
              </w:rPr>
            </w:pPr>
          </w:p>
        </w:tc>
        <w:tc>
          <w:tcPr>
            <w:tcW w:w="6511" w:type="dxa"/>
          </w:tcPr>
          <w:p w14:paraId="4FC077CD"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 xml:space="preserve">A plaintiffs’ proceeding may be struck out pursuant to </w:t>
            </w:r>
            <w:proofErr w:type="spellStart"/>
            <w:r w:rsidRPr="00DC0273">
              <w:rPr>
                <w:rFonts w:ascii="Times New Roman" w:hAnsi="Times New Roman" w:cs="Times New Roman"/>
                <w:sz w:val="24"/>
                <w:szCs w:val="24"/>
              </w:rPr>
              <w:t>ss</w:t>
            </w:r>
            <w:proofErr w:type="spellEnd"/>
            <w:r w:rsidRPr="00DC0273">
              <w:rPr>
                <w:rFonts w:ascii="Times New Roman" w:hAnsi="Times New Roman" w:cs="Times New Roman"/>
                <w:sz w:val="24"/>
                <w:szCs w:val="24"/>
              </w:rPr>
              <w:t xml:space="preserve"> 29(1) and 29(1</w:t>
            </w:r>
            <w:proofErr w:type="gramStart"/>
            <w:r w:rsidRPr="00DC0273">
              <w:rPr>
                <w:rFonts w:ascii="Times New Roman" w:hAnsi="Times New Roman" w:cs="Times New Roman"/>
                <w:sz w:val="24"/>
                <w:szCs w:val="24"/>
              </w:rPr>
              <w:t>)(</w:t>
            </w:r>
            <w:proofErr w:type="gramEnd"/>
            <w:r w:rsidRPr="00DC0273">
              <w:rPr>
                <w:rFonts w:ascii="Times New Roman" w:hAnsi="Times New Roman" w:cs="Times New Roman"/>
                <w:sz w:val="24"/>
                <w:szCs w:val="24"/>
              </w:rPr>
              <w:t>f) of the Act as a result of the plaintiffs’ contraventions of the overarching obligations, particularly the obligation to minimise delay (s 25).</w:t>
            </w:r>
          </w:p>
        </w:tc>
      </w:tr>
      <w:tr w:rsidR="00F758FD" w:rsidRPr="00DC0273" w14:paraId="52449F87" w14:textId="77777777" w:rsidTr="00555811">
        <w:tc>
          <w:tcPr>
            <w:tcW w:w="3119" w:type="dxa"/>
          </w:tcPr>
          <w:p w14:paraId="742EDE17"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i/>
                <w:iCs/>
                <w:sz w:val="24"/>
                <w:szCs w:val="24"/>
              </w:rPr>
            </w:pPr>
            <w:r w:rsidRPr="00DC0273">
              <w:rPr>
                <w:rFonts w:ascii="Times New Roman" w:hAnsi="Times New Roman" w:cs="Times New Roman"/>
                <w:i/>
                <w:iCs/>
                <w:sz w:val="24"/>
                <w:szCs w:val="24"/>
              </w:rPr>
              <w:t xml:space="preserve">Matthews v SPI Electricity Pty Ltd (Ruling No 31) </w:t>
            </w:r>
            <w:r w:rsidRPr="00DC0273">
              <w:rPr>
                <w:rFonts w:ascii="Times New Roman" w:hAnsi="Times New Roman" w:cs="Times New Roman"/>
                <w:sz w:val="24"/>
                <w:szCs w:val="24"/>
              </w:rPr>
              <w:t>[2013] VSC 575</w:t>
            </w:r>
          </w:p>
        </w:tc>
        <w:tc>
          <w:tcPr>
            <w:tcW w:w="6511" w:type="dxa"/>
          </w:tcPr>
          <w:p w14:paraId="450B017B"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 xml:space="preserve">The failure to make an application at an earlier, available, stage in proceedings may be taken into account in the exercise of a discretion as to whether to admit evidence. This is particularly the case where the failure was unacceptable and unreasonable in the circumstances. </w:t>
            </w:r>
          </w:p>
        </w:tc>
      </w:tr>
      <w:tr w:rsidR="00F758FD" w:rsidRPr="00DC0273" w14:paraId="5A750D93" w14:textId="77777777" w:rsidTr="00555811">
        <w:tc>
          <w:tcPr>
            <w:tcW w:w="3119" w:type="dxa"/>
          </w:tcPr>
          <w:p w14:paraId="2DA8E1B3"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i/>
                <w:iCs/>
                <w:sz w:val="24"/>
                <w:szCs w:val="24"/>
              </w:rPr>
              <w:t xml:space="preserve">Redline Towing &amp; Salvage Pty Ltd v The Convenor of Medical Panels (No 2) </w:t>
            </w:r>
            <w:r w:rsidRPr="00DC0273">
              <w:rPr>
                <w:rFonts w:ascii="Times New Roman" w:hAnsi="Times New Roman" w:cs="Times New Roman"/>
                <w:sz w:val="24"/>
                <w:szCs w:val="24"/>
              </w:rPr>
              <w:t>[2012] VSC 483</w:t>
            </w:r>
          </w:p>
        </w:tc>
        <w:tc>
          <w:tcPr>
            <w:tcW w:w="6511" w:type="dxa"/>
          </w:tcPr>
          <w:p w14:paraId="42E759D5"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A legal practitioner’s failure to meet the overarching obligations may justify the imposition of a costs order against that practitioner on a higher scale.</w:t>
            </w:r>
          </w:p>
          <w:p w14:paraId="406E16FF"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p>
        </w:tc>
      </w:tr>
      <w:tr w:rsidR="00F758FD" w:rsidRPr="00DC0273" w14:paraId="0CC0118E" w14:textId="77777777" w:rsidTr="00555811">
        <w:tc>
          <w:tcPr>
            <w:tcW w:w="3119" w:type="dxa"/>
          </w:tcPr>
          <w:p w14:paraId="5796B18B"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proofErr w:type="spellStart"/>
            <w:r w:rsidRPr="00DC0273">
              <w:rPr>
                <w:rFonts w:ascii="Times New Roman" w:hAnsi="Times New Roman" w:cs="Times New Roman"/>
                <w:i/>
                <w:iCs/>
                <w:sz w:val="24"/>
                <w:szCs w:val="24"/>
              </w:rPr>
              <w:t>Yara</w:t>
            </w:r>
            <w:proofErr w:type="spellEnd"/>
            <w:r w:rsidRPr="00DC0273">
              <w:rPr>
                <w:rFonts w:ascii="Times New Roman" w:hAnsi="Times New Roman" w:cs="Times New Roman"/>
                <w:i/>
                <w:iCs/>
                <w:sz w:val="24"/>
                <w:szCs w:val="24"/>
              </w:rPr>
              <w:t xml:space="preserve"> Australia Pty Ltd v </w:t>
            </w:r>
            <w:proofErr w:type="spellStart"/>
            <w:r w:rsidRPr="00DC0273">
              <w:rPr>
                <w:rFonts w:ascii="Times New Roman" w:hAnsi="Times New Roman" w:cs="Times New Roman"/>
                <w:i/>
                <w:iCs/>
                <w:sz w:val="24"/>
                <w:szCs w:val="24"/>
              </w:rPr>
              <w:t>Oswal</w:t>
            </w:r>
            <w:proofErr w:type="spellEnd"/>
            <w:r w:rsidRPr="00DC0273">
              <w:rPr>
                <w:rFonts w:ascii="Times New Roman" w:hAnsi="Times New Roman" w:cs="Times New Roman"/>
                <w:i/>
                <w:iCs/>
                <w:sz w:val="24"/>
                <w:szCs w:val="24"/>
              </w:rPr>
              <w:t xml:space="preserve"> </w:t>
            </w:r>
            <w:r w:rsidRPr="00DC0273">
              <w:rPr>
                <w:rFonts w:ascii="Times New Roman" w:hAnsi="Times New Roman" w:cs="Times New Roman"/>
                <w:sz w:val="24"/>
                <w:szCs w:val="24"/>
              </w:rPr>
              <w:t>[2013] VSCA 337</w:t>
            </w:r>
          </w:p>
        </w:tc>
        <w:tc>
          <w:tcPr>
            <w:tcW w:w="6511" w:type="dxa"/>
          </w:tcPr>
          <w:p w14:paraId="4B2605F9"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bCs/>
                <w:sz w:val="24"/>
                <w:szCs w:val="24"/>
              </w:rPr>
            </w:pPr>
            <w:r w:rsidRPr="00DC0273">
              <w:rPr>
                <w:rFonts w:ascii="Times New Roman" w:hAnsi="Times New Roman" w:cs="Times New Roman"/>
                <w:bCs/>
                <w:sz w:val="24"/>
                <w:szCs w:val="24"/>
              </w:rPr>
              <w:t xml:space="preserve">Judicial officers must play an active role in holding parties to civil proceedings to account with respect to their obligations under the Act. </w:t>
            </w:r>
          </w:p>
        </w:tc>
      </w:tr>
      <w:tr w:rsidR="00F758FD" w:rsidRPr="00DC0273" w14:paraId="2745E86A" w14:textId="77777777" w:rsidTr="00555811">
        <w:tc>
          <w:tcPr>
            <w:tcW w:w="3119" w:type="dxa"/>
          </w:tcPr>
          <w:p w14:paraId="3F6E1DDF"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i/>
                <w:iCs/>
                <w:sz w:val="24"/>
                <w:szCs w:val="24"/>
              </w:rPr>
            </w:pPr>
            <w:r w:rsidRPr="00DC0273">
              <w:rPr>
                <w:rFonts w:ascii="Times New Roman" w:hAnsi="Times New Roman" w:cs="Times New Roman"/>
                <w:i/>
                <w:iCs/>
                <w:sz w:val="24"/>
                <w:szCs w:val="24"/>
              </w:rPr>
              <w:lastRenderedPageBreak/>
              <w:t xml:space="preserve">Trevor Roller Shutter Service Pty Ltd v Crowe </w:t>
            </w:r>
            <w:r w:rsidRPr="00DC0273">
              <w:rPr>
                <w:rFonts w:ascii="Times New Roman" w:hAnsi="Times New Roman" w:cs="Times New Roman"/>
                <w:sz w:val="24"/>
                <w:szCs w:val="24"/>
              </w:rPr>
              <w:t>(2011) 31 VR 249</w:t>
            </w:r>
            <w:r w:rsidRPr="00DC0273">
              <w:rPr>
                <w:rFonts w:ascii="Times New Roman" w:hAnsi="Times New Roman" w:cs="Times New Roman"/>
                <w:i/>
                <w:iCs/>
                <w:sz w:val="24"/>
                <w:szCs w:val="24"/>
              </w:rPr>
              <w:t xml:space="preserve"> </w:t>
            </w:r>
          </w:p>
        </w:tc>
        <w:tc>
          <w:tcPr>
            <w:tcW w:w="6511" w:type="dxa"/>
          </w:tcPr>
          <w:p w14:paraId="7E7CD112"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r w:rsidRPr="00DC0273">
              <w:rPr>
                <w:rFonts w:ascii="Times New Roman" w:hAnsi="Times New Roman" w:cs="Times New Roman"/>
                <w:sz w:val="24"/>
                <w:szCs w:val="24"/>
              </w:rPr>
              <w:t>The overarching purpose does not affect a party’s prima facie right to a trial by jury.</w:t>
            </w:r>
          </w:p>
          <w:p w14:paraId="156D904F"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i/>
                <w:iCs/>
                <w:sz w:val="24"/>
                <w:szCs w:val="24"/>
              </w:rPr>
            </w:pPr>
          </w:p>
        </w:tc>
      </w:tr>
      <w:tr w:rsidR="00F758FD" w:rsidRPr="00DC0273" w14:paraId="78BBA4E3" w14:textId="77777777" w:rsidTr="00555811">
        <w:tc>
          <w:tcPr>
            <w:tcW w:w="3119" w:type="dxa"/>
          </w:tcPr>
          <w:p w14:paraId="3FF1E973"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iCs/>
                <w:sz w:val="24"/>
                <w:szCs w:val="24"/>
              </w:rPr>
            </w:pPr>
            <w:r w:rsidRPr="00DC0273">
              <w:rPr>
                <w:rFonts w:ascii="Times New Roman" w:hAnsi="Times New Roman" w:cs="Times New Roman"/>
                <w:iCs/>
                <w:sz w:val="24"/>
                <w:szCs w:val="24"/>
              </w:rPr>
              <w:t>Kilmore-East-Kinglake Class Action</w:t>
            </w:r>
          </w:p>
        </w:tc>
        <w:tc>
          <w:tcPr>
            <w:tcW w:w="6511" w:type="dxa"/>
          </w:tcPr>
          <w:p w14:paraId="3E95AA6F" w14:textId="77777777" w:rsidR="00F758FD" w:rsidRPr="00DC0273" w:rsidRDefault="00F758FD" w:rsidP="00905BC2">
            <w:pPr>
              <w:autoSpaceDE w:val="0"/>
              <w:autoSpaceDN w:val="0"/>
              <w:adjustRightInd w:val="0"/>
              <w:spacing w:before="120" w:after="120" w:line="276" w:lineRule="auto"/>
              <w:rPr>
                <w:rFonts w:ascii="Times New Roman" w:eastAsia="MS PGothic" w:hAnsi="Times New Roman" w:cs="Times New Roman"/>
                <w:color w:val="000000" w:themeColor="text1"/>
                <w:kern w:val="24"/>
                <w:sz w:val="24"/>
                <w:szCs w:val="24"/>
              </w:rPr>
            </w:pPr>
            <w:r w:rsidRPr="00DC0273">
              <w:rPr>
                <w:rFonts w:ascii="Times New Roman" w:eastAsia="MS PGothic" w:hAnsi="Times New Roman" w:cs="Times New Roman"/>
                <w:color w:val="000000" w:themeColor="text1"/>
                <w:kern w:val="24"/>
                <w:sz w:val="24"/>
                <w:szCs w:val="24"/>
              </w:rPr>
              <w:t xml:space="preserve">The Kilmore-East-Kinglake Class Action involved extensive and unprecedented pre-trial case management, and over 60 rulings were made, many of which involved considerations under the Act. Practitioners are encouraged to </w:t>
            </w:r>
            <w:bookmarkStart w:id="1" w:name="_GoBack"/>
            <w:bookmarkEnd w:id="1"/>
            <w:r w:rsidRPr="00DC0273">
              <w:rPr>
                <w:rFonts w:ascii="Times New Roman" w:eastAsia="MS PGothic" w:hAnsi="Times New Roman" w:cs="Times New Roman"/>
                <w:color w:val="000000" w:themeColor="text1"/>
                <w:kern w:val="24"/>
                <w:sz w:val="24"/>
                <w:szCs w:val="24"/>
              </w:rPr>
              <w:t xml:space="preserve">review the index of rulings made, available through the following link:   </w:t>
            </w:r>
          </w:p>
          <w:p w14:paraId="0EB82D02" w14:textId="77777777" w:rsidR="00F758FD" w:rsidRPr="00DC0273" w:rsidRDefault="00144838" w:rsidP="00905BC2">
            <w:pPr>
              <w:autoSpaceDE w:val="0"/>
              <w:autoSpaceDN w:val="0"/>
              <w:adjustRightInd w:val="0"/>
              <w:spacing w:before="120" w:after="120" w:line="276" w:lineRule="auto"/>
              <w:rPr>
                <w:rFonts w:ascii="Times New Roman" w:eastAsia="MS PGothic" w:hAnsi="Times New Roman" w:cs="Times New Roman"/>
                <w:color w:val="000000" w:themeColor="text1"/>
                <w:kern w:val="24"/>
                <w:sz w:val="24"/>
                <w:szCs w:val="24"/>
              </w:rPr>
            </w:pPr>
            <w:hyperlink r:id="rId12" w:history="1">
              <w:r w:rsidR="00F758FD" w:rsidRPr="00DC0273">
                <w:rPr>
                  <w:rFonts w:ascii="Times New Roman" w:eastAsia="MS PGothic" w:hAnsi="Times New Roman" w:cs="Times New Roman"/>
                  <w:color w:val="0563C1" w:themeColor="hyperlink"/>
                  <w:kern w:val="24"/>
                  <w:sz w:val="24"/>
                  <w:szCs w:val="24"/>
                  <w:u w:val="single"/>
                </w:rPr>
                <w:t>http://www.judicialcollege.vic.edu.au/sites/default/files/Index_to_the_Rulings_from_the_Kilmore_East_Kinglake_Bushfire_Class_Action_FINAL2015_0.pdf</w:t>
              </w:r>
            </w:hyperlink>
            <w:r w:rsidR="00F758FD" w:rsidRPr="00DC0273">
              <w:rPr>
                <w:rFonts w:ascii="Times New Roman" w:eastAsia="MS PGothic" w:hAnsi="Times New Roman" w:cs="Times New Roman"/>
                <w:color w:val="000000" w:themeColor="text1"/>
                <w:kern w:val="24"/>
                <w:sz w:val="24"/>
                <w:szCs w:val="24"/>
              </w:rPr>
              <w:t xml:space="preserve"> </w:t>
            </w:r>
          </w:p>
          <w:p w14:paraId="4AA3608C" w14:textId="77777777" w:rsidR="00F758FD" w:rsidRPr="00DC0273" w:rsidRDefault="00F758FD" w:rsidP="00905BC2">
            <w:pPr>
              <w:autoSpaceDE w:val="0"/>
              <w:autoSpaceDN w:val="0"/>
              <w:adjustRightInd w:val="0"/>
              <w:spacing w:before="120" w:after="120" w:line="276" w:lineRule="auto"/>
              <w:rPr>
                <w:rFonts w:ascii="Times New Roman" w:hAnsi="Times New Roman" w:cs="Times New Roman"/>
                <w:sz w:val="24"/>
                <w:szCs w:val="24"/>
              </w:rPr>
            </w:pPr>
          </w:p>
        </w:tc>
      </w:tr>
    </w:tbl>
    <w:p w14:paraId="51B183FC" w14:textId="77777777" w:rsidR="00F758FD" w:rsidRPr="00DC0273" w:rsidRDefault="00F758FD" w:rsidP="00905BC2">
      <w:pPr>
        <w:spacing w:before="120" w:after="120" w:line="276" w:lineRule="auto"/>
        <w:rPr>
          <w:rFonts w:ascii="Times New Roman" w:hAnsi="Times New Roman" w:cs="Times New Roman"/>
          <w:sz w:val="24"/>
          <w:szCs w:val="24"/>
        </w:rPr>
      </w:pPr>
    </w:p>
    <w:p w14:paraId="22214D90" w14:textId="77777777" w:rsidR="00F758FD" w:rsidRPr="00DC0273" w:rsidRDefault="00F758FD" w:rsidP="00905BC2">
      <w:pPr>
        <w:spacing w:line="276" w:lineRule="auto"/>
        <w:rPr>
          <w:rFonts w:ascii="Times New Roman" w:hAnsi="Times New Roman" w:cs="Times New Roman"/>
          <w:sz w:val="24"/>
          <w:szCs w:val="24"/>
        </w:rPr>
      </w:pPr>
    </w:p>
    <w:p w14:paraId="357FF128" w14:textId="77777777" w:rsidR="007C1469" w:rsidRPr="00DC0273" w:rsidRDefault="007C1469" w:rsidP="00905BC2">
      <w:pPr>
        <w:spacing w:after="0" w:line="276" w:lineRule="auto"/>
        <w:jc w:val="both"/>
        <w:rPr>
          <w:rFonts w:ascii="Times New Roman" w:hAnsi="Times New Roman" w:cs="Times New Roman"/>
          <w:sz w:val="24"/>
          <w:szCs w:val="24"/>
        </w:rPr>
      </w:pPr>
    </w:p>
    <w:sectPr w:rsidR="007C1469" w:rsidRPr="00DC0273" w:rsidSect="00905BC2">
      <w:footerReference w:type="default" r:id="rId13"/>
      <w:pgSz w:w="11906" w:h="16838"/>
      <w:pgMar w:top="540" w:right="1196" w:bottom="54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8E7F" w14:textId="77777777" w:rsidR="00211543" w:rsidRDefault="00211543" w:rsidP="0099208D">
      <w:pPr>
        <w:spacing w:after="0" w:line="240" w:lineRule="auto"/>
      </w:pPr>
      <w:r>
        <w:separator/>
      </w:r>
    </w:p>
  </w:endnote>
  <w:endnote w:type="continuationSeparator" w:id="0">
    <w:p w14:paraId="7D27ED73" w14:textId="77777777" w:rsidR="00211543" w:rsidRDefault="00211543" w:rsidP="0099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FC61" w14:textId="13B43314" w:rsidR="00211543" w:rsidRPr="00905BC2" w:rsidRDefault="00770238" w:rsidP="00770238">
    <w:pPr>
      <w:pStyle w:val="Footer"/>
      <w:spacing w:before="240"/>
      <w:jc w:val="right"/>
      <w:rPr>
        <w:rFonts w:ascii="Tahoma" w:hAnsi="Tahoma" w:cs="Tahoma"/>
        <w:sz w:val="18"/>
        <w:szCs w:val="18"/>
      </w:rPr>
    </w:pPr>
    <w:r w:rsidRPr="00376FD3">
      <w:rPr>
        <w:rFonts w:ascii="Times New Roman" w:hAnsi="Times New Roman" w:cs="Times New Roman"/>
        <w:sz w:val="20"/>
        <w:szCs w:val="20"/>
      </w:rPr>
      <w:t xml:space="preserve">Page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PAGE  \* Arabic  \* MERGEFORMAT </w:instrText>
    </w:r>
    <w:r w:rsidRPr="00376FD3">
      <w:rPr>
        <w:rFonts w:ascii="Times New Roman" w:hAnsi="Times New Roman" w:cs="Times New Roman"/>
        <w:bCs/>
        <w:sz w:val="20"/>
        <w:szCs w:val="20"/>
      </w:rPr>
      <w:fldChar w:fldCharType="separate"/>
    </w:r>
    <w:r w:rsidR="00144838">
      <w:rPr>
        <w:rFonts w:ascii="Times New Roman" w:hAnsi="Times New Roman" w:cs="Times New Roman"/>
        <w:bCs/>
        <w:noProof/>
        <w:sz w:val="20"/>
        <w:szCs w:val="20"/>
      </w:rPr>
      <w:t>19</w:t>
    </w:r>
    <w:r w:rsidRPr="00376FD3">
      <w:rPr>
        <w:rFonts w:ascii="Times New Roman" w:hAnsi="Times New Roman" w:cs="Times New Roman"/>
        <w:bCs/>
        <w:sz w:val="20"/>
        <w:szCs w:val="20"/>
      </w:rPr>
      <w:fldChar w:fldCharType="end"/>
    </w:r>
    <w:r w:rsidRPr="00376FD3">
      <w:rPr>
        <w:rFonts w:ascii="Times New Roman" w:hAnsi="Times New Roman" w:cs="Times New Roman"/>
        <w:sz w:val="20"/>
        <w:szCs w:val="20"/>
      </w:rPr>
      <w:t xml:space="preserve"> of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NUMPAGES  \* Arabic  \* MERGEFORMAT </w:instrText>
    </w:r>
    <w:r w:rsidRPr="00376FD3">
      <w:rPr>
        <w:rFonts w:ascii="Times New Roman" w:hAnsi="Times New Roman" w:cs="Times New Roman"/>
        <w:bCs/>
        <w:sz w:val="20"/>
        <w:szCs w:val="20"/>
      </w:rPr>
      <w:fldChar w:fldCharType="separate"/>
    </w:r>
    <w:r w:rsidR="00144838">
      <w:rPr>
        <w:rFonts w:ascii="Times New Roman" w:hAnsi="Times New Roman" w:cs="Times New Roman"/>
        <w:bCs/>
        <w:noProof/>
        <w:sz w:val="20"/>
        <w:szCs w:val="20"/>
      </w:rPr>
      <w:t>20</w:t>
    </w:r>
    <w:r w:rsidRPr="00376FD3">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6ABD4" w14:textId="77777777" w:rsidR="00211543" w:rsidRDefault="00211543" w:rsidP="0099208D">
      <w:pPr>
        <w:spacing w:after="0" w:line="240" w:lineRule="auto"/>
      </w:pPr>
      <w:r>
        <w:separator/>
      </w:r>
    </w:p>
  </w:footnote>
  <w:footnote w:type="continuationSeparator" w:id="0">
    <w:p w14:paraId="6FD98742" w14:textId="77777777" w:rsidR="00211543" w:rsidRDefault="00211543" w:rsidP="0099208D">
      <w:pPr>
        <w:spacing w:after="0" w:line="240" w:lineRule="auto"/>
      </w:pPr>
      <w:r>
        <w:continuationSeparator/>
      </w:r>
    </w:p>
  </w:footnote>
  <w:footnote w:id="1">
    <w:p w14:paraId="435866CF" w14:textId="36BFFB76"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Lord Justice Briggs, Civil Courts Structure Review: Interim Report, December 2015.</w:t>
      </w:r>
    </w:p>
  </w:footnote>
  <w:footnote w:id="2">
    <w:p w14:paraId="04186E21" w14:textId="7523CD44"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Lord Woolf, Access to Justice:  Interim Report to the Lord Chancellor on the Civil Justice system in England and Wales, June 1995.</w:t>
      </w:r>
    </w:p>
  </w:footnote>
  <w:footnote w:id="3">
    <w:p w14:paraId="1DA6FEE9" w14:textId="2F2FE888"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Lord Justice Jackson, Review of Civil Litigation costs:  Final Report, December 2009.</w:t>
      </w:r>
    </w:p>
  </w:footnote>
  <w:footnote w:id="4">
    <w:p w14:paraId="6BF3071B" w14:textId="08F00079"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r>
      <w:r w:rsidRPr="004B2C70">
        <w:rPr>
          <w:rFonts w:ascii="Times New Roman" w:hAnsi="Times New Roman" w:cs="Times New Roman"/>
          <w:i/>
        </w:rPr>
        <w:t>Managing of Documents: Discovery of Documents in Federal Courts</w:t>
      </w:r>
      <w:r w:rsidRPr="004B2C70">
        <w:rPr>
          <w:rFonts w:ascii="Times New Roman" w:hAnsi="Times New Roman" w:cs="Times New Roman"/>
        </w:rPr>
        <w:t>, Australian Law Reform Commission, Report No 115, 25 May 2011.</w:t>
      </w:r>
    </w:p>
  </w:footnote>
  <w:footnote w:id="5">
    <w:p w14:paraId="07A78A1B" w14:textId="47865ECF"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r>
      <w:r w:rsidRPr="004B2C70">
        <w:rPr>
          <w:rFonts w:ascii="Times New Roman" w:hAnsi="Times New Roman" w:cs="Times New Roman"/>
          <w:i/>
        </w:rPr>
        <w:t>Civil Justice Review</w:t>
      </w:r>
      <w:r w:rsidRPr="004B2C70">
        <w:rPr>
          <w:rFonts w:ascii="Times New Roman" w:hAnsi="Times New Roman" w:cs="Times New Roman"/>
        </w:rPr>
        <w:t>, Report No 14, Victorian Law Reform Commission, 1 January 2008.</w:t>
      </w:r>
    </w:p>
  </w:footnote>
  <w:footnote w:id="6">
    <w:p w14:paraId="71584721" w14:textId="602C2220" w:rsidR="00211543" w:rsidRPr="004B2C70" w:rsidRDefault="00211543" w:rsidP="00C84BBB">
      <w:pPr>
        <w:spacing w:after="0" w:line="240" w:lineRule="auto"/>
        <w:ind w:left="360" w:hanging="360"/>
        <w:contextualSpacing/>
        <w:jc w:val="both"/>
        <w:rPr>
          <w:rFonts w:ascii="Times New Roman" w:hAnsi="Times New Roman" w:cs="Times New Roman"/>
          <w:bCs/>
          <w:sz w:val="20"/>
          <w:szCs w:val="20"/>
        </w:rPr>
      </w:pPr>
      <w:r w:rsidRPr="004B2C70">
        <w:rPr>
          <w:rStyle w:val="FootnoteReference"/>
          <w:rFonts w:ascii="Times New Roman" w:hAnsi="Times New Roman" w:cs="Times New Roman"/>
          <w:sz w:val="20"/>
          <w:szCs w:val="20"/>
        </w:rPr>
        <w:footnoteRef/>
      </w:r>
      <w:r w:rsidRPr="004B2C70">
        <w:rPr>
          <w:rFonts w:ascii="Times New Roman" w:hAnsi="Times New Roman" w:cs="Times New Roman"/>
          <w:sz w:val="20"/>
          <w:szCs w:val="20"/>
        </w:rPr>
        <w:t xml:space="preserve"> </w:t>
      </w:r>
      <w:r w:rsidRPr="004B2C70">
        <w:rPr>
          <w:rFonts w:ascii="Times New Roman" w:hAnsi="Times New Roman" w:cs="Times New Roman"/>
          <w:sz w:val="20"/>
          <w:szCs w:val="20"/>
        </w:rPr>
        <w:tab/>
      </w:r>
      <w:r w:rsidRPr="004B2C70">
        <w:rPr>
          <w:rFonts w:ascii="Times New Roman" w:hAnsi="Times New Roman" w:cs="Times New Roman"/>
          <w:bCs/>
          <w:i/>
          <w:sz w:val="20"/>
          <w:szCs w:val="20"/>
        </w:rPr>
        <w:t>Interim Practice Note: NCF 1:  National Court Framework And Case Management</w:t>
      </w:r>
      <w:r w:rsidRPr="004B2C70">
        <w:rPr>
          <w:rFonts w:ascii="Times New Roman" w:hAnsi="Times New Roman" w:cs="Times New Roman"/>
          <w:bCs/>
          <w:sz w:val="20"/>
          <w:szCs w:val="20"/>
        </w:rPr>
        <w:t xml:space="preserve">, 16 February 2015. </w:t>
      </w:r>
    </w:p>
  </w:footnote>
  <w:footnote w:id="7">
    <w:p w14:paraId="4A2BA7EE" w14:textId="2186481F" w:rsidR="00211543" w:rsidRPr="004B2C70" w:rsidRDefault="00211543" w:rsidP="00C84BBB">
      <w:pPr>
        <w:pStyle w:val="Heading1"/>
        <w:numPr>
          <w:ilvl w:val="0"/>
          <w:numId w:val="0"/>
        </w:numPr>
        <w:spacing w:before="0" w:line="240" w:lineRule="auto"/>
        <w:ind w:left="360" w:hanging="360"/>
        <w:rPr>
          <w:rFonts w:ascii="Times New Roman" w:hAnsi="Times New Roman"/>
          <w:sz w:val="20"/>
        </w:rPr>
      </w:pPr>
      <w:r w:rsidRPr="004B2C70">
        <w:rPr>
          <w:rStyle w:val="FootnoteReference"/>
          <w:rFonts w:ascii="Times New Roman" w:hAnsi="Times New Roman"/>
          <w:sz w:val="20"/>
        </w:rPr>
        <w:footnoteRef/>
      </w:r>
      <w:r w:rsidRPr="004B2C70">
        <w:rPr>
          <w:rFonts w:ascii="Times New Roman" w:hAnsi="Times New Roman"/>
          <w:sz w:val="20"/>
        </w:rPr>
        <w:t xml:space="preserve"> </w:t>
      </w:r>
      <w:r w:rsidRPr="004B2C70">
        <w:rPr>
          <w:rFonts w:ascii="Times New Roman" w:hAnsi="Times New Roman"/>
          <w:sz w:val="20"/>
        </w:rPr>
        <w:tab/>
      </w:r>
      <w:r w:rsidRPr="004B2C70">
        <w:rPr>
          <w:rFonts w:ascii="Times New Roman" w:hAnsi="Times New Roman"/>
          <w:i/>
          <w:sz w:val="20"/>
          <w:lang w:val="en-US"/>
        </w:rPr>
        <w:t xml:space="preserve">National Administrative Notice: Nat 1: </w:t>
      </w:r>
      <w:r w:rsidRPr="004B2C70">
        <w:rPr>
          <w:rFonts w:ascii="Times New Roman" w:hAnsi="Times New Roman"/>
          <w:i/>
          <w:sz w:val="20"/>
        </w:rPr>
        <w:t>Commercial And Corporations National Practice Area</w:t>
      </w:r>
      <w:r w:rsidRPr="004B2C70">
        <w:rPr>
          <w:rFonts w:ascii="Times New Roman" w:hAnsi="Times New Roman"/>
          <w:sz w:val="20"/>
        </w:rPr>
        <w:t>, 16 February 2015.</w:t>
      </w:r>
    </w:p>
  </w:footnote>
  <w:footnote w:id="8">
    <w:p w14:paraId="4165507F" w14:textId="2582B01B"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The second reading speech on the introduction of the legislation provides the background:  Victoria, Parliamentary Debates, Legislative Assembly, 24 June 2010, 2607 (Attorney-General, Rob Hulls).</w:t>
      </w:r>
    </w:p>
  </w:footnote>
  <w:footnote w:id="9">
    <w:p w14:paraId="63DE22C0" w14:textId="0F2FE5A2"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[2014] VSC 567; [2014] VSC 622.</w:t>
      </w:r>
    </w:p>
  </w:footnote>
  <w:footnote w:id="10">
    <w:p w14:paraId="3A4CE3A6" w14:textId="7B54C0DC"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r>
      <w:proofErr w:type="spellStart"/>
      <w:r w:rsidRPr="004B2C70">
        <w:rPr>
          <w:rFonts w:ascii="Times New Roman" w:hAnsi="Times New Roman" w:cs="Times New Roman"/>
          <w:i/>
        </w:rPr>
        <w:t>Hudspeth</w:t>
      </w:r>
      <w:proofErr w:type="spellEnd"/>
      <w:r w:rsidRPr="004B2C70">
        <w:rPr>
          <w:rFonts w:ascii="Times New Roman" w:hAnsi="Times New Roman" w:cs="Times New Roman"/>
          <w:i/>
        </w:rPr>
        <w:t xml:space="preserve"> v Scholastic Cleaning and Consultancy Pty Ltd </w:t>
      </w:r>
      <w:r w:rsidRPr="004B2C70">
        <w:rPr>
          <w:rFonts w:ascii="Times New Roman" w:hAnsi="Times New Roman" w:cs="Times New Roman"/>
        </w:rPr>
        <w:t>[2014] VSCA 3.</w:t>
      </w:r>
    </w:p>
  </w:footnote>
  <w:footnote w:id="11">
    <w:p w14:paraId="6AFD644A" w14:textId="0A2E7E72"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Senior Counsel and the solicitors for the plaintiff were ordered to pay 80% of the costs awarded in favour of the successful appellant against the relevant respondent.  The Court further ordered that Senior Counsel and the solicitors were disallowed any costs and disbursements to which they would otherwise be entitled in relation to the appeal and that they were to pay equally any legal costs and disbursements incurred by the appellant in relation to the appeal which she did not otherwise recover under the Court’s order.  The Court further ordered that the respondent pay the appellant’s costs of the appeal but made the aforesaid orders effecting indemnity in its favour.</w:t>
      </w:r>
    </w:p>
  </w:footnote>
  <w:footnote w:id="12">
    <w:p w14:paraId="7E970B6F" w14:textId="68F3CF9E"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(2013) 41 VR 302.</w:t>
      </w:r>
    </w:p>
  </w:footnote>
  <w:footnote w:id="13">
    <w:p w14:paraId="4A082360" w14:textId="60690F7D"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Ibid [9]–[10] (citations omitted).</w:t>
      </w:r>
    </w:p>
  </w:footnote>
  <w:footnote w:id="14">
    <w:p w14:paraId="24B4B40C" w14:textId="3B519BA3"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Ibid [20] (citation omitted).</w:t>
      </w:r>
    </w:p>
  </w:footnote>
  <w:footnote w:id="15">
    <w:p w14:paraId="3499CD06" w14:textId="20F54D1D"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Ibid [26]–[27].</w:t>
      </w:r>
    </w:p>
  </w:footnote>
  <w:footnote w:id="16">
    <w:p w14:paraId="4211A4B9" w14:textId="77777777"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Ibid [12].</w:t>
      </w:r>
    </w:p>
  </w:footnote>
  <w:footnote w:id="17">
    <w:p w14:paraId="76B4CC99" w14:textId="41B05CB8"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Ibid [15].</w:t>
      </w:r>
    </w:p>
  </w:footnote>
  <w:footnote w:id="18">
    <w:p w14:paraId="37FBF359" w14:textId="7F4E003E" w:rsidR="007E648F" w:rsidRPr="004B2C70" w:rsidRDefault="007E648F" w:rsidP="007E648F">
      <w:pPr>
        <w:pStyle w:val="FootnoteText"/>
        <w:ind w:left="360" w:hanging="360"/>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 xml:space="preserve">A more detailed overview of the reforms of the Common Law Division are given in an article, Law Institute Journal, 2016 90 (03) LIJ @44, </w:t>
      </w:r>
      <w:r w:rsidRPr="004B2C70">
        <w:rPr>
          <w:rFonts w:ascii="Times New Roman" w:hAnsi="Times New Roman" w:cs="Times New Roman"/>
          <w:i/>
        </w:rPr>
        <w:t>CLIP bears fruit</w:t>
      </w:r>
      <w:r w:rsidRPr="004B2C70">
        <w:rPr>
          <w:rFonts w:ascii="Times New Roman" w:hAnsi="Times New Roman" w:cs="Times New Roman"/>
        </w:rPr>
        <w:t>, by the Hon Justice J Forrest.</w:t>
      </w:r>
    </w:p>
  </w:footnote>
  <w:footnote w:id="19">
    <w:p w14:paraId="3EA2DC66" w14:textId="0B2B7BCC"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The type of docketing applied depends upon the type and u</w:t>
      </w:r>
      <w:r w:rsidR="00182118" w:rsidRPr="004B2C70">
        <w:rPr>
          <w:rFonts w:ascii="Times New Roman" w:hAnsi="Times New Roman" w:cs="Times New Roman"/>
        </w:rPr>
        <w:t>rgency of the case.  There are 7</w:t>
      </w:r>
      <w:r w:rsidRPr="004B2C70">
        <w:rPr>
          <w:rFonts w:ascii="Times New Roman" w:hAnsi="Times New Roman" w:cs="Times New Roman"/>
        </w:rPr>
        <w:t>,700 civil proceedings initiated in the Court per annum.  Each case has some form of management</w:t>
      </w:r>
      <w:r w:rsidR="00182118" w:rsidRPr="004B2C70">
        <w:rPr>
          <w:rFonts w:ascii="Times New Roman" w:hAnsi="Times New Roman" w:cs="Times New Roman"/>
        </w:rPr>
        <w:t>,</w:t>
      </w:r>
      <w:r w:rsidRPr="004B2C70">
        <w:rPr>
          <w:rFonts w:ascii="Times New Roman" w:hAnsi="Times New Roman" w:cs="Times New Roman"/>
        </w:rPr>
        <w:t xml:space="preserve"> save debt recovery matters.</w:t>
      </w:r>
    </w:p>
  </w:footnote>
  <w:footnote w:id="20">
    <w:p w14:paraId="37DEAD54" w14:textId="1FA2F950"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r>
      <w:r w:rsidRPr="004B2C70">
        <w:rPr>
          <w:rFonts w:ascii="Times New Roman" w:hAnsi="Times New Roman" w:cs="Times New Roman"/>
          <w:i/>
        </w:rPr>
        <w:t xml:space="preserve">Clarke v Great Southern Finance Pty Ltd (in </w:t>
      </w:r>
      <w:proofErr w:type="spellStart"/>
      <w:r w:rsidRPr="004B2C70">
        <w:rPr>
          <w:rFonts w:ascii="Times New Roman" w:hAnsi="Times New Roman" w:cs="Times New Roman"/>
          <w:i/>
        </w:rPr>
        <w:t>liq</w:t>
      </w:r>
      <w:proofErr w:type="spellEnd"/>
      <w:r w:rsidRPr="004B2C70">
        <w:rPr>
          <w:rFonts w:ascii="Times New Roman" w:hAnsi="Times New Roman" w:cs="Times New Roman"/>
          <w:i/>
        </w:rPr>
        <w:t>)</w:t>
      </w:r>
      <w:r w:rsidRPr="004B2C70">
        <w:rPr>
          <w:rFonts w:ascii="Times New Roman" w:hAnsi="Times New Roman" w:cs="Times New Roman"/>
        </w:rPr>
        <w:t xml:space="preserve"> [2014] VSC 516.</w:t>
      </w:r>
    </w:p>
  </w:footnote>
  <w:footnote w:id="21">
    <w:p w14:paraId="009D5372" w14:textId="27F8D2DE"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A fuller discussion on the impact on courts from technology may b</w:t>
      </w:r>
      <w:r w:rsidR="006400E9" w:rsidRPr="004B2C70">
        <w:rPr>
          <w:rFonts w:ascii="Times New Roman" w:hAnsi="Times New Roman" w:cs="Times New Roman"/>
        </w:rPr>
        <w:t xml:space="preserve">e found in the author’s speech </w:t>
      </w:r>
      <w:r w:rsidRPr="004B2C70">
        <w:rPr>
          <w:rFonts w:ascii="Times New Roman" w:hAnsi="Times New Roman" w:cs="Times New Roman"/>
          <w:i/>
        </w:rPr>
        <w:t>Embracing Technology: the Way Forward for the Courts</w:t>
      </w:r>
      <w:r w:rsidRPr="004B2C70">
        <w:rPr>
          <w:rFonts w:ascii="Times New Roman" w:hAnsi="Times New Roman" w:cs="Times New Roman"/>
        </w:rPr>
        <w:t>, 19 April 2015.</w:t>
      </w:r>
    </w:p>
  </w:footnote>
  <w:footnote w:id="22">
    <w:p w14:paraId="4D1DACC8" w14:textId="57F2DE4F"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Ibid.</w:t>
      </w:r>
    </w:p>
  </w:footnote>
  <w:footnote w:id="23">
    <w:p w14:paraId="3761A45B" w14:textId="2E371C8E"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 xml:space="preserve">BAT Kauffman, Rule One Initiative, </w:t>
      </w:r>
      <w:r w:rsidRPr="004B2C70">
        <w:rPr>
          <w:rFonts w:ascii="Times New Roman" w:hAnsi="Times New Roman" w:cs="Times New Roman"/>
          <w:i/>
        </w:rPr>
        <w:t>Change the Culture, Change the System</w:t>
      </w:r>
      <w:r w:rsidRPr="004B2C70">
        <w:rPr>
          <w:rFonts w:ascii="Times New Roman" w:hAnsi="Times New Roman" w:cs="Times New Roman"/>
        </w:rPr>
        <w:t xml:space="preserve">, co-published by IAALS, the Institute for the Advancement of the American Legal System, University of Denver, </w:t>
      </w:r>
      <w:proofErr w:type="gramStart"/>
      <w:r w:rsidRPr="004B2C70">
        <w:rPr>
          <w:rFonts w:ascii="Times New Roman" w:hAnsi="Times New Roman" w:cs="Times New Roman"/>
        </w:rPr>
        <w:t>October</w:t>
      </w:r>
      <w:proofErr w:type="gramEnd"/>
      <w:r w:rsidRPr="004B2C70">
        <w:rPr>
          <w:rFonts w:ascii="Times New Roman" w:hAnsi="Times New Roman" w:cs="Times New Roman"/>
        </w:rPr>
        <w:t xml:space="preserve"> 2015.</w:t>
      </w:r>
    </w:p>
  </w:footnote>
  <w:footnote w:id="24">
    <w:p w14:paraId="23AF9C24" w14:textId="74FA5DF7"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Ibid 17.</w:t>
      </w:r>
    </w:p>
  </w:footnote>
  <w:footnote w:id="25">
    <w:p w14:paraId="6A530AE8" w14:textId="7855E867"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 xml:space="preserve">This section of the speech draws on a paper delivered by the author: </w:t>
      </w:r>
      <w:r w:rsidRPr="004B2C70">
        <w:rPr>
          <w:rFonts w:ascii="Times New Roman" w:hAnsi="Times New Roman" w:cs="Times New Roman"/>
          <w:i/>
        </w:rPr>
        <w:t>The Aspiration of Excellence</w:t>
      </w:r>
      <w:r w:rsidRPr="004B2C70">
        <w:rPr>
          <w:rFonts w:ascii="Times New Roman" w:hAnsi="Times New Roman" w:cs="Times New Roman"/>
        </w:rPr>
        <w:t xml:space="preserve">: </w:t>
      </w:r>
      <w:r w:rsidRPr="004B2C70">
        <w:rPr>
          <w:rFonts w:ascii="Times New Roman" w:hAnsi="Times New Roman" w:cs="Times New Roman"/>
          <w:i/>
        </w:rPr>
        <w:t>Judiciary of the Future</w:t>
      </w:r>
      <w:r w:rsidRPr="004B2C70">
        <w:rPr>
          <w:rFonts w:ascii="Times New Roman" w:hAnsi="Times New Roman" w:cs="Times New Roman"/>
        </w:rPr>
        <w:t>, delivered at the International Conference on Court Excellence, Singapore, 28-29 January 2016.</w:t>
      </w:r>
    </w:p>
  </w:footnote>
  <w:footnote w:id="26">
    <w:p w14:paraId="0DBD6A03" w14:textId="329B85B2"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Pr="004B2C70">
        <w:rPr>
          <w:rFonts w:ascii="Times New Roman" w:hAnsi="Times New Roman" w:cs="Times New Roman"/>
        </w:rPr>
        <w:tab/>
        <w:t xml:space="preserve">This section of the speech draws on a paper delivered by the author </w:t>
      </w:r>
      <w:r w:rsidRPr="004B2C70">
        <w:rPr>
          <w:rFonts w:ascii="Times New Roman" w:hAnsi="Times New Roman" w:cs="Times New Roman"/>
          <w:i/>
        </w:rPr>
        <w:t>The Aspiration of Excellence</w:t>
      </w:r>
      <w:r w:rsidRPr="004B2C70">
        <w:rPr>
          <w:rFonts w:ascii="Times New Roman" w:hAnsi="Times New Roman" w:cs="Times New Roman"/>
        </w:rPr>
        <w:t xml:space="preserve">, Judiciary of the Future, delivered at the International Conference on Court Excellence, Singapore, </w:t>
      </w:r>
      <w:proofErr w:type="gramStart"/>
      <w:r w:rsidRPr="004B2C70">
        <w:rPr>
          <w:rFonts w:ascii="Times New Roman" w:hAnsi="Times New Roman" w:cs="Times New Roman"/>
        </w:rPr>
        <w:t>28</w:t>
      </w:r>
      <w:proofErr w:type="gramEnd"/>
      <w:r w:rsidRPr="004B2C70">
        <w:rPr>
          <w:rFonts w:ascii="Times New Roman" w:hAnsi="Times New Roman" w:cs="Times New Roman"/>
        </w:rPr>
        <w:t>-29 January 2016.</w:t>
      </w:r>
    </w:p>
  </w:footnote>
  <w:footnote w:id="27">
    <w:p w14:paraId="7F53A792" w14:textId="4065D810" w:rsidR="00211543" w:rsidRPr="004B2C70" w:rsidRDefault="00211543" w:rsidP="00C84BBB">
      <w:pPr>
        <w:pStyle w:val="FootnoteText"/>
        <w:ind w:left="360" w:hanging="360"/>
        <w:jc w:val="both"/>
        <w:rPr>
          <w:rFonts w:ascii="Times New Roman" w:hAnsi="Times New Roman" w:cs="Times New Roman"/>
        </w:rPr>
      </w:pPr>
      <w:r w:rsidRPr="004B2C70">
        <w:rPr>
          <w:rStyle w:val="FootnoteReference"/>
          <w:rFonts w:ascii="Times New Roman" w:hAnsi="Times New Roman" w:cs="Times New Roman"/>
        </w:rPr>
        <w:footnoteRef/>
      </w:r>
      <w:r w:rsidRPr="004B2C70">
        <w:rPr>
          <w:rFonts w:ascii="Times New Roman" w:hAnsi="Times New Roman" w:cs="Times New Roman"/>
        </w:rPr>
        <w:t xml:space="preserve">   </w:t>
      </w:r>
      <w:r w:rsidR="00F758FD" w:rsidRPr="004B2C70">
        <w:rPr>
          <w:rFonts w:ascii="Times New Roman" w:hAnsi="Times New Roman" w:cs="Times New Roman"/>
        </w:rPr>
        <w:t xml:space="preserve">Associate Justice </w:t>
      </w:r>
      <w:proofErr w:type="spellStart"/>
      <w:r w:rsidR="00F758FD" w:rsidRPr="004B2C70">
        <w:rPr>
          <w:rFonts w:ascii="Times New Roman" w:hAnsi="Times New Roman" w:cs="Times New Roman"/>
        </w:rPr>
        <w:t>Ierodiaconou</w:t>
      </w:r>
      <w:proofErr w:type="spellEnd"/>
      <w:r w:rsidR="00F758FD" w:rsidRPr="004B2C70">
        <w:rPr>
          <w:rFonts w:ascii="Times New Roman" w:hAnsi="Times New Roman" w:cs="Times New Roman"/>
        </w:rPr>
        <w:t xml:space="preserve">: </w:t>
      </w:r>
      <w:r w:rsidR="00F758FD" w:rsidRPr="004B2C70">
        <w:rPr>
          <w:rFonts w:ascii="Times New Roman" w:hAnsi="Times New Roman" w:cs="Times New Roman"/>
          <w:i/>
        </w:rPr>
        <w:t>Inspiring Change: Creating a healthy workplace</w:t>
      </w:r>
      <w:r w:rsidR="00F758FD" w:rsidRPr="004B2C70">
        <w:rPr>
          <w:rFonts w:ascii="Times New Roman" w:hAnsi="Times New Roman" w:cs="Times New Roman"/>
        </w:rPr>
        <w:t>: Tristan Jepson Memorial Foundation Lecture, 6 October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F60B1"/>
    <w:multiLevelType w:val="singleLevel"/>
    <w:tmpl w:val="EB5A9FBA"/>
    <w:lvl w:ilvl="0">
      <w:start w:val="1"/>
      <w:numFmt w:val="decimal"/>
      <w:pStyle w:val="Footer-Web"/>
      <w:lvlText w:val="%1"/>
      <w:lvlJc w:val="left"/>
      <w:pPr>
        <w:tabs>
          <w:tab w:val="num" w:pos="360"/>
        </w:tabs>
        <w:ind w:left="0" w:firstLine="0"/>
      </w:pPr>
      <w:rPr>
        <w:i w:val="0"/>
        <w:sz w:val="20"/>
      </w:rPr>
    </w:lvl>
  </w:abstractNum>
  <w:abstractNum w:abstractNumId="1">
    <w:nsid w:val="687E7930"/>
    <w:multiLevelType w:val="multilevel"/>
    <w:tmpl w:val="D70C741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ED"/>
    <w:rsid w:val="00001758"/>
    <w:rsid w:val="00005C0F"/>
    <w:rsid w:val="00017186"/>
    <w:rsid w:val="00067A52"/>
    <w:rsid w:val="00086A6D"/>
    <w:rsid w:val="000A1598"/>
    <w:rsid w:val="000C75D2"/>
    <w:rsid w:val="000F30A7"/>
    <w:rsid w:val="000F3B03"/>
    <w:rsid w:val="00113983"/>
    <w:rsid w:val="001167D5"/>
    <w:rsid w:val="0012195C"/>
    <w:rsid w:val="001271DD"/>
    <w:rsid w:val="00144838"/>
    <w:rsid w:val="001608CA"/>
    <w:rsid w:val="0016316C"/>
    <w:rsid w:val="00182118"/>
    <w:rsid w:val="00211543"/>
    <w:rsid w:val="002149E6"/>
    <w:rsid w:val="002452DC"/>
    <w:rsid w:val="00254CED"/>
    <w:rsid w:val="0026799E"/>
    <w:rsid w:val="00273E21"/>
    <w:rsid w:val="002A056E"/>
    <w:rsid w:val="002B095E"/>
    <w:rsid w:val="002B7716"/>
    <w:rsid w:val="00313459"/>
    <w:rsid w:val="003F0069"/>
    <w:rsid w:val="003F6F26"/>
    <w:rsid w:val="00415B50"/>
    <w:rsid w:val="00433A1D"/>
    <w:rsid w:val="004576BA"/>
    <w:rsid w:val="004965B0"/>
    <w:rsid w:val="004A29F5"/>
    <w:rsid w:val="004B2C70"/>
    <w:rsid w:val="005163F0"/>
    <w:rsid w:val="00530465"/>
    <w:rsid w:val="005348B4"/>
    <w:rsid w:val="00592A71"/>
    <w:rsid w:val="0059571B"/>
    <w:rsid w:val="005A3D32"/>
    <w:rsid w:val="005C3C18"/>
    <w:rsid w:val="00604A63"/>
    <w:rsid w:val="006063B1"/>
    <w:rsid w:val="006400E9"/>
    <w:rsid w:val="00643DC8"/>
    <w:rsid w:val="00675C20"/>
    <w:rsid w:val="00686972"/>
    <w:rsid w:val="0068793C"/>
    <w:rsid w:val="006A5898"/>
    <w:rsid w:val="006E1BEC"/>
    <w:rsid w:val="006E4087"/>
    <w:rsid w:val="006E4562"/>
    <w:rsid w:val="0071575D"/>
    <w:rsid w:val="0072721C"/>
    <w:rsid w:val="00727BAE"/>
    <w:rsid w:val="00767D06"/>
    <w:rsid w:val="00770238"/>
    <w:rsid w:val="00771508"/>
    <w:rsid w:val="007A582A"/>
    <w:rsid w:val="007C1469"/>
    <w:rsid w:val="007C7DA2"/>
    <w:rsid w:val="007D4D3B"/>
    <w:rsid w:val="007D7EAB"/>
    <w:rsid w:val="007E648F"/>
    <w:rsid w:val="00871005"/>
    <w:rsid w:val="008E2C58"/>
    <w:rsid w:val="00905BC2"/>
    <w:rsid w:val="00955DFC"/>
    <w:rsid w:val="0099208D"/>
    <w:rsid w:val="009A0DEF"/>
    <w:rsid w:val="009A63F7"/>
    <w:rsid w:val="009D0355"/>
    <w:rsid w:val="00A202ED"/>
    <w:rsid w:val="00A50D15"/>
    <w:rsid w:val="00A61E99"/>
    <w:rsid w:val="00A85D61"/>
    <w:rsid w:val="00AC250F"/>
    <w:rsid w:val="00B3567F"/>
    <w:rsid w:val="00B4286B"/>
    <w:rsid w:val="00B70E55"/>
    <w:rsid w:val="00BC3B20"/>
    <w:rsid w:val="00BF6ADA"/>
    <w:rsid w:val="00C35BA1"/>
    <w:rsid w:val="00C37F84"/>
    <w:rsid w:val="00C84BBB"/>
    <w:rsid w:val="00C87EB2"/>
    <w:rsid w:val="00CA3B29"/>
    <w:rsid w:val="00CF2E54"/>
    <w:rsid w:val="00D248E4"/>
    <w:rsid w:val="00DB2A9D"/>
    <w:rsid w:val="00DC0273"/>
    <w:rsid w:val="00DD3427"/>
    <w:rsid w:val="00DD7C86"/>
    <w:rsid w:val="00DE46F4"/>
    <w:rsid w:val="00DE7EF8"/>
    <w:rsid w:val="00DF2231"/>
    <w:rsid w:val="00E02DF3"/>
    <w:rsid w:val="00E23755"/>
    <w:rsid w:val="00E3147E"/>
    <w:rsid w:val="00E52375"/>
    <w:rsid w:val="00E75741"/>
    <w:rsid w:val="00E91F58"/>
    <w:rsid w:val="00E928FA"/>
    <w:rsid w:val="00F519C8"/>
    <w:rsid w:val="00F75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70B0"/>
  <w15:chartTrackingRefBased/>
  <w15:docId w15:val="{1F336F58-38D6-4F47-9F56-A7120162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4965B0"/>
    <w:pPr>
      <w:widowControl w:val="0"/>
      <w:numPr>
        <w:numId w:val="2"/>
      </w:numPr>
      <w:tabs>
        <w:tab w:val="left" w:pos="1440"/>
      </w:tabs>
      <w:spacing w:before="240" w:after="0" w:line="480" w:lineRule="atLeast"/>
      <w:jc w:val="both"/>
      <w:outlineLvl w:val="0"/>
    </w:pPr>
    <w:rPr>
      <w:rFonts w:ascii="Book Antiqua" w:eastAsia="Times New Roman" w:hAnsi="Book Antiqua"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08D"/>
  </w:style>
  <w:style w:type="paragraph" w:styleId="Footer">
    <w:name w:val="footer"/>
    <w:basedOn w:val="Normal"/>
    <w:link w:val="FooterChar"/>
    <w:uiPriority w:val="99"/>
    <w:unhideWhenUsed/>
    <w:rsid w:val="00992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08D"/>
  </w:style>
  <w:style w:type="paragraph" w:styleId="BalloonText">
    <w:name w:val="Balloon Text"/>
    <w:basedOn w:val="Normal"/>
    <w:link w:val="BalloonTextChar"/>
    <w:uiPriority w:val="99"/>
    <w:semiHidden/>
    <w:unhideWhenUsed/>
    <w:rsid w:val="00E92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8FA"/>
    <w:rPr>
      <w:rFonts w:ascii="Segoe UI" w:hAnsi="Segoe UI" w:cs="Segoe UI"/>
      <w:sz w:val="18"/>
      <w:szCs w:val="18"/>
    </w:rPr>
  </w:style>
  <w:style w:type="paragraph" w:styleId="FootnoteText">
    <w:name w:val="footnote text"/>
    <w:basedOn w:val="Normal"/>
    <w:link w:val="FootnoteTextChar"/>
    <w:semiHidden/>
    <w:unhideWhenUsed/>
    <w:rsid w:val="0016316C"/>
    <w:pPr>
      <w:spacing w:after="0" w:line="240" w:lineRule="auto"/>
    </w:pPr>
    <w:rPr>
      <w:sz w:val="20"/>
      <w:szCs w:val="20"/>
    </w:rPr>
  </w:style>
  <w:style w:type="character" w:customStyle="1" w:styleId="FootnoteTextChar">
    <w:name w:val="Footnote Text Char"/>
    <w:basedOn w:val="DefaultParagraphFont"/>
    <w:link w:val="FootnoteText"/>
    <w:semiHidden/>
    <w:rsid w:val="0016316C"/>
    <w:rPr>
      <w:sz w:val="20"/>
      <w:szCs w:val="20"/>
    </w:rPr>
  </w:style>
  <w:style w:type="character" w:styleId="FootnoteReference">
    <w:name w:val="footnote reference"/>
    <w:basedOn w:val="DefaultParagraphFont"/>
    <w:semiHidden/>
    <w:unhideWhenUsed/>
    <w:rsid w:val="0016316C"/>
    <w:rPr>
      <w:vertAlign w:val="superscript"/>
    </w:rPr>
  </w:style>
  <w:style w:type="character" w:customStyle="1" w:styleId="Heading1Char">
    <w:name w:val="Heading 1 Char"/>
    <w:basedOn w:val="DefaultParagraphFont"/>
    <w:link w:val="Heading1"/>
    <w:rsid w:val="004965B0"/>
    <w:rPr>
      <w:rFonts w:ascii="Book Antiqua" w:eastAsia="Times New Roman" w:hAnsi="Book Antiqua" w:cs="Times New Roman"/>
      <w:kern w:val="28"/>
      <w:sz w:val="24"/>
      <w:szCs w:val="20"/>
    </w:rPr>
  </w:style>
  <w:style w:type="paragraph" w:customStyle="1" w:styleId="Footer-Web">
    <w:name w:val="Footer-Web"/>
    <w:basedOn w:val="Footer"/>
    <w:rsid w:val="004965B0"/>
    <w:pPr>
      <w:widowControl w:val="0"/>
      <w:numPr>
        <w:numId w:val="1"/>
      </w:numPr>
      <w:tabs>
        <w:tab w:val="clear" w:pos="4513"/>
        <w:tab w:val="clear" w:pos="9026"/>
        <w:tab w:val="center" w:pos="4896"/>
        <w:tab w:val="right" w:pos="9792"/>
      </w:tabs>
    </w:pPr>
    <w:rPr>
      <w:rFonts w:ascii="Book Antiqua" w:eastAsia="Times New Roman" w:hAnsi="Book Antiqua" w:cs="Times New Roman"/>
      <w:sz w:val="18"/>
      <w:szCs w:val="20"/>
    </w:rPr>
  </w:style>
  <w:style w:type="character" w:styleId="Hyperlink">
    <w:name w:val="Hyperlink"/>
    <w:uiPriority w:val="99"/>
    <w:unhideWhenUsed/>
    <w:rsid w:val="004576BA"/>
    <w:rPr>
      <w:color w:val="0000FF"/>
      <w:u w:val="single"/>
    </w:rPr>
  </w:style>
  <w:style w:type="table" w:styleId="TableGrid">
    <w:name w:val="Table Grid"/>
    <w:basedOn w:val="TableNormal"/>
    <w:uiPriority w:val="39"/>
    <w:rsid w:val="00F7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48364">
      <w:bodyDiv w:val="1"/>
      <w:marLeft w:val="0"/>
      <w:marRight w:val="0"/>
      <w:marTop w:val="0"/>
      <w:marBottom w:val="0"/>
      <w:divBdr>
        <w:top w:val="none" w:sz="0" w:space="0" w:color="auto"/>
        <w:left w:val="none" w:sz="0" w:space="0" w:color="auto"/>
        <w:bottom w:val="none" w:sz="0" w:space="0" w:color="auto"/>
        <w:right w:val="none" w:sz="0" w:space="0" w:color="auto"/>
      </w:divBdr>
    </w:div>
    <w:div w:id="19101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dicialcollege.vic.edu.au/sites/default/files/Index_to_the_Rulings_from_the_Kilmore_East_Kinglake_Bushfire_Class_Action_FINAL2015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preme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9ac97028dde544b343e0236c0d54656b">
  <xsd:schema xmlns:xsd="http://www.w3.org/2001/XMLSchema" xmlns:xs="http://www.w3.org/2001/XMLSchema" xmlns:p="http://schemas.microsoft.com/office/2006/metadata/properties" xmlns:ns2="3d35400e-913e-4289-a6bb-c9c808f4167f" targetNamespace="http://schemas.microsoft.com/office/2006/metadata/properties" ma:root="true" ma:fieldsID="01aeda179ac0cc6525c922d80427c1c9"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D9F7-8741-494B-BFC6-0C3286CE4869}">
  <ds:schemaRefs>
    <ds:schemaRef ds:uri="http://schemas.microsoft.com/sharepoint/v3/contenttype/forms"/>
  </ds:schemaRefs>
</ds:datastoreItem>
</file>

<file path=customXml/itemProps2.xml><?xml version="1.0" encoding="utf-8"?>
<ds:datastoreItem xmlns:ds="http://schemas.openxmlformats.org/officeDocument/2006/customXml" ds:itemID="{CAD4477E-5369-4792-8E70-25911C1CE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9B721-2D67-4DFD-A5DD-064F4BFE4567}">
  <ds:schemaRefs>
    <ds:schemaRef ds:uri="http://schemas.microsoft.com/office/2006/documentManagement/types"/>
    <ds:schemaRef ds:uri="http://schemas.microsoft.com/office/infopath/2007/PartnerControls"/>
    <ds:schemaRef ds:uri="http://purl.org/dc/elements/1.1/"/>
    <ds:schemaRef ds:uri="3d35400e-913e-4289-a6bb-c9c808f4167f"/>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B83C27-A81A-468F-9987-AEFEC599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8412</Words>
  <Characters>47952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Salviato</dc:creator>
  <cp:keywords/>
  <dc:description/>
  <cp:lastModifiedBy>Bronwyn Gardiner</cp:lastModifiedBy>
  <cp:revision>9</cp:revision>
  <cp:lastPrinted>2016-03-02T02:13:00Z</cp:lastPrinted>
  <dcterms:created xsi:type="dcterms:W3CDTF">2016-03-02T02:10:00Z</dcterms:created>
  <dcterms:modified xsi:type="dcterms:W3CDTF">2016-03-02T02:13:00Z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