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228F8" w14:textId="2241DDAA" w:rsidR="00782F0E" w:rsidRDefault="00782F0E" w:rsidP="00782F0E">
      <w:pPr>
        <w:spacing w:after="160" w:line="259" w:lineRule="auto"/>
        <w:jc w:val="center"/>
        <w:rPr>
          <w:rFonts w:ascii="Times New Roman" w:hAnsi="Times New Roman" w:cs="Times New Roman"/>
          <w:b/>
          <w:sz w:val="26"/>
          <w:szCs w:val="26"/>
        </w:rPr>
      </w:pPr>
      <w:r w:rsidRPr="00755CBB">
        <w:rPr>
          <w:noProof/>
          <w:lang w:eastAsia="en-AU"/>
        </w:rPr>
        <w:drawing>
          <wp:inline distT="0" distB="0" distL="0" distR="0" wp14:anchorId="2DD39B1D" wp14:editId="29F28546">
            <wp:extent cx="1127125" cy="112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14:paraId="1E3CC139" w14:textId="497007A5" w:rsidR="00C17FFA" w:rsidRDefault="00C17FFA" w:rsidP="00C17FFA">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EQUITY AND GOOD CONSCIENCE:  THE JUDGE AS MORAL ARBITER AND THE REGULATION OF MODERN COMMERCE</w:t>
      </w:r>
    </w:p>
    <w:p w14:paraId="09582BCC" w14:textId="051ED723" w:rsidR="00782F0E" w:rsidRDefault="00C17FFA" w:rsidP="00C17FFA">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Victoria Law Foundation Oration given by Justice Chris Maxwell, Presid</w:t>
      </w:r>
      <w:r w:rsidR="00782F0E">
        <w:rPr>
          <w:rFonts w:ascii="Times New Roman" w:hAnsi="Times New Roman" w:cs="Times New Roman"/>
          <w:b/>
          <w:sz w:val="26"/>
          <w:szCs w:val="26"/>
        </w:rPr>
        <w:t>ent, Victorian Court of Appeal</w:t>
      </w:r>
    </w:p>
    <w:p w14:paraId="1BCD5FD5" w14:textId="2FF5F22B" w:rsidR="00C17FFA" w:rsidRPr="00782F0E" w:rsidRDefault="00C17FFA" w:rsidP="00C17FFA">
      <w:pPr>
        <w:spacing w:after="160" w:line="259" w:lineRule="auto"/>
        <w:jc w:val="center"/>
        <w:rPr>
          <w:rFonts w:ascii="Times New Roman" w:hAnsi="Times New Roman" w:cs="Times New Roman"/>
          <w:sz w:val="26"/>
          <w:szCs w:val="26"/>
        </w:rPr>
      </w:pPr>
      <w:r w:rsidRPr="00782F0E">
        <w:rPr>
          <w:rFonts w:ascii="Times New Roman" w:hAnsi="Times New Roman" w:cs="Times New Roman"/>
          <w:sz w:val="26"/>
          <w:szCs w:val="26"/>
        </w:rPr>
        <w:t>14 August 2019</w:t>
      </w:r>
    </w:p>
    <w:p w14:paraId="30E223BB" w14:textId="77777777" w:rsidR="00C17FFA" w:rsidRDefault="00C17FFA" w:rsidP="00C17FFA">
      <w:pPr>
        <w:spacing w:after="160" w:line="259"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559C3BF0" w14:textId="793BFEE1" w:rsidR="00F73230" w:rsidRDefault="00F73230" w:rsidP="00C17FFA">
      <w:pPr>
        <w:spacing w:before="240" w:after="240"/>
        <w:jc w:val="both"/>
        <w:rPr>
          <w:rFonts w:ascii="Times New Roman" w:hAnsi="Times New Roman" w:cs="Times New Roman"/>
          <w:sz w:val="26"/>
          <w:szCs w:val="26"/>
        </w:rPr>
      </w:pPr>
      <w:r>
        <w:rPr>
          <w:rFonts w:ascii="Times New Roman" w:hAnsi="Times New Roman" w:cs="Times New Roman"/>
          <w:sz w:val="26"/>
          <w:szCs w:val="26"/>
        </w:rPr>
        <w:t xml:space="preserve">“Let your conscience be your guide.”  If you are familiar with that phrase, you probably </w:t>
      </w:r>
      <w:r w:rsidR="00EE5D88">
        <w:rPr>
          <w:rFonts w:ascii="Times New Roman" w:hAnsi="Times New Roman" w:cs="Times New Roman"/>
          <w:sz w:val="26"/>
          <w:szCs w:val="26"/>
        </w:rPr>
        <w:t>assume</w:t>
      </w:r>
      <w:r>
        <w:rPr>
          <w:rFonts w:ascii="Times New Roman" w:hAnsi="Times New Roman" w:cs="Times New Roman"/>
          <w:sz w:val="26"/>
          <w:szCs w:val="26"/>
        </w:rPr>
        <w:t xml:space="preserve"> — as I did — that it comes from the Bible or from a moral philosopher like Aristotle.  In fact, it was said by Jiminy Cricket to Pinocchio in the 1940 Disney film of the same name.  </w:t>
      </w:r>
    </w:p>
    <w:p w14:paraId="1D658939" w14:textId="581AE340" w:rsidR="00F73230" w:rsidRDefault="00F73230" w:rsidP="00C17FFA">
      <w:pPr>
        <w:spacing w:before="240" w:after="240"/>
        <w:jc w:val="both"/>
        <w:rPr>
          <w:rFonts w:ascii="Times New Roman" w:hAnsi="Times New Roman" w:cs="Times New Roman"/>
          <w:sz w:val="26"/>
          <w:szCs w:val="26"/>
        </w:rPr>
      </w:pPr>
      <w:r>
        <w:rPr>
          <w:rFonts w:ascii="Times New Roman" w:hAnsi="Times New Roman" w:cs="Times New Roman"/>
          <w:sz w:val="26"/>
          <w:szCs w:val="26"/>
        </w:rPr>
        <w:t xml:space="preserve">Nearly 80 years later, </w:t>
      </w:r>
      <w:r w:rsidR="00E96251">
        <w:rPr>
          <w:rFonts w:ascii="Times New Roman" w:hAnsi="Times New Roman" w:cs="Times New Roman"/>
          <w:sz w:val="26"/>
          <w:szCs w:val="26"/>
        </w:rPr>
        <w:t xml:space="preserve">it is unusual to hear </w:t>
      </w:r>
      <w:r>
        <w:rPr>
          <w:rFonts w:ascii="Times New Roman" w:hAnsi="Times New Roman" w:cs="Times New Roman"/>
          <w:sz w:val="26"/>
          <w:szCs w:val="26"/>
        </w:rPr>
        <w:t>references to conscience as a guide</w:t>
      </w:r>
      <w:r w:rsidR="00E96251">
        <w:rPr>
          <w:rFonts w:ascii="Times New Roman" w:hAnsi="Times New Roman" w:cs="Times New Roman"/>
          <w:sz w:val="26"/>
          <w:szCs w:val="26"/>
        </w:rPr>
        <w:t>,</w:t>
      </w:r>
      <w:r>
        <w:rPr>
          <w:rFonts w:ascii="Times New Roman" w:hAnsi="Times New Roman" w:cs="Times New Roman"/>
          <w:sz w:val="26"/>
          <w:szCs w:val="26"/>
        </w:rPr>
        <w:t xml:space="preserve"> though most of us have a working sense of what it means for a person to have “a guilty conscience”.</w:t>
      </w:r>
    </w:p>
    <w:p w14:paraId="6E817CFF" w14:textId="15F0DE58" w:rsidR="00C17FFA" w:rsidRPr="00C17FFA" w:rsidRDefault="00A32DBB" w:rsidP="00C17FFA">
      <w:pPr>
        <w:spacing w:before="240" w:after="240"/>
        <w:jc w:val="both"/>
        <w:rPr>
          <w:rFonts w:ascii="Times New Roman" w:hAnsi="Times New Roman" w:cs="Times New Roman"/>
          <w:sz w:val="26"/>
          <w:szCs w:val="26"/>
        </w:rPr>
      </w:pPr>
      <w:r>
        <w:rPr>
          <w:rFonts w:ascii="Times New Roman" w:hAnsi="Times New Roman" w:cs="Times New Roman"/>
          <w:sz w:val="26"/>
          <w:szCs w:val="26"/>
        </w:rPr>
        <w:t>It may seem surprising, therefore, that</w:t>
      </w:r>
      <w:r w:rsidR="00F73230">
        <w:rPr>
          <w:rFonts w:ascii="Times New Roman" w:hAnsi="Times New Roman" w:cs="Times New Roman"/>
          <w:sz w:val="26"/>
          <w:szCs w:val="26"/>
        </w:rPr>
        <w:t xml:space="preserve"> a rule</w:t>
      </w:r>
      <w:r w:rsidR="00EE5D88">
        <w:rPr>
          <w:rFonts w:ascii="Times New Roman" w:hAnsi="Times New Roman" w:cs="Times New Roman"/>
          <w:sz w:val="26"/>
          <w:szCs w:val="26"/>
        </w:rPr>
        <w:t xml:space="preserve"> expressly</w:t>
      </w:r>
      <w:r w:rsidR="00F73230">
        <w:rPr>
          <w:rFonts w:ascii="Times New Roman" w:hAnsi="Times New Roman" w:cs="Times New Roman"/>
          <w:sz w:val="26"/>
          <w:szCs w:val="26"/>
        </w:rPr>
        <w:t xml:space="preserve"> </w:t>
      </w:r>
      <w:r w:rsidR="00B33EFF">
        <w:rPr>
          <w:rFonts w:ascii="Times New Roman" w:hAnsi="Times New Roman" w:cs="Times New Roman"/>
          <w:sz w:val="26"/>
          <w:szCs w:val="26"/>
        </w:rPr>
        <w:t>founded</w:t>
      </w:r>
      <w:r w:rsidR="00F73230">
        <w:rPr>
          <w:rFonts w:ascii="Times New Roman" w:hAnsi="Times New Roman" w:cs="Times New Roman"/>
          <w:sz w:val="26"/>
          <w:szCs w:val="26"/>
        </w:rPr>
        <w:t xml:space="preserve"> on conscience is at the heart of Australian consumer protection law.</w:t>
      </w:r>
      <w:r w:rsidR="00B33EFF">
        <w:rPr>
          <w:rFonts w:ascii="Times New Roman" w:hAnsi="Times New Roman" w:cs="Times New Roman"/>
          <w:sz w:val="26"/>
          <w:szCs w:val="26"/>
        </w:rPr>
        <w:t xml:space="preserve">  </w:t>
      </w:r>
      <w:r w:rsidR="00F73230">
        <w:rPr>
          <w:rFonts w:ascii="Times New Roman" w:hAnsi="Times New Roman" w:cs="Times New Roman"/>
          <w:sz w:val="26"/>
          <w:szCs w:val="26"/>
        </w:rPr>
        <w:t xml:space="preserve">I am referring to the prohibition against unconscionable conduct, </w:t>
      </w:r>
      <w:r>
        <w:rPr>
          <w:rFonts w:ascii="Times New Roman" w:hAnsi="Times New Roman" w:cs="Times New Roman"/>
          <w:sz w:val="26"/>
          <w:szCs w:val="26"/>
        </w:rPr>
        <w:t xml:space="preserve">that is, </w:t>
      </w:r>
      <w:r w:rsidR="00F73230">
        <w:rPr>
          <w:rFonts w:ascii="Times New Roman" w:hAnsi="Times New Roman" w:cs="Times New Roman"/>
          <w:sz w:val="26"/>
          <w:szCs w:val="26"/>
        </w:rPr>
        <w:t xml:space="preserve">conduct which is against conscience.  </w:t>
      </w:r>
      <w:r w:rsidR="00B41E0F">
        <w:rPr>
          <w:rFonts w:ascii="Times New Roman" w:hAnsi="Times New Roman" w:cs="Times New Roman"/>
          <w:sz w:val="26"/>
          <w:szCs w:val="26"/>
        </w:rPr>
        <w:t xml:space="preserve">My purpose is to investigate </w:t>
      </w:r>
      <w:r w:rsidR="00B33EFF">
        <w:rPr>
          <w:rFonts w:ascii="Times New Roman" w:hAnsi="Times New Roman" w:cs="Times New Roman"/>
          <w:sz w:val="26"/>
          <w:szCs w:val="26"/>
        </w:rPr>
        <w:t xml:space="preserve">how </w:t>
      </w:r>
      <w:r w:rsidR="00B41E0F">
        <w:rPr>
          <w:rFonts w:ascii="Times New Roman" w:hAnsi="Times New Roman" w:cs="Times New Roman"/>
          <w:sz w:val="26"/>
          <w:szCs w:val="26"/>
        </w:rPr>
        <w:t>this</w:t>
      </w:r>
      <w:r w:rsidR="00B33EFF">
        <w:rPr>
          <w:rFonts w:ascii="Times New Roman" w:hAnsi="Times New Roman" w:cs="Times New Roman"/>
          <w:sz w:val="26"/>
          <w:szCs w:val="26"/>
        </w:rPr>
        <w:t xml:space="preserve"> </w:t>
      </w:r>
      <w:r w:rsidR="00B41E0F">
        <w:rPr>
          <w:rFonts w:ascii="Times New Roman" w:hAnsi="Times New Roman" w:cs="Times New Roman"/>
          <w:sz w:val="26"/>
          <w:szCs w:val="26"/>
        </w:rPr>
        <w:t xml:space="preserve">concept </w:t>
      </w:r>
      <w:r w:rsidR="00B33EFF">
        <w:rPr>
          <w:rFonts w:ascii="Times New Roman" w:hAnsi="Times New Roman" w:cs="Times New Roman"/>
          <w:sz w:val="26"/>
          <w:szCs w:val="26"/>
        </w:rPr>
        <w:t xml:space="preserve">is understood in law, and what its implications are </w:t>
      </w:r>
      <w:r w:rsidR="00B41E0F">
        <w:rPr>
          <w:rFonts w:ascii="Times New Roman" w:hAnsi="Times New Roman" w:cs="Times New Roman"/>
          <w:sz w:val="26"/>
          <w:szCs w:val="26"/>
        </w:rPr>
        <w:t>for judges, and lawyers, and those engaged in business.</w:t>
      </w:r>
      <w:r w:rsidR="00C17FFA" w:rsidRPr="00C17FFA">
        <w:rPr>
          <w:rFonts w:ascii="Times New Roman" w:hAnsi="Times New Roman" w:cs="Times New Roman"/>
          <w:sz w:val="26"/>
          <w:szCs w:val="26"/>
        </w:rPr>
        <w:t xml:space="preserve">  </w:t>
      </w:r>
    </w:p>
    <w:p w14:paraId="78A52816" w14:textId="023411FC" w:rsidR="00C17FFA" w:rsidRPr="00C17FFA" w:rsidRDefault="00EF3077" w:rsidP="00C17FFA">
      <w:pPr>
        <w:spacing w:before="240" w:after="240"/>
        <w:jc w:val="both"/>
        <w:rPr>
          <w:rFonts w:ascii="Times New Roman" w:hAnsi="Times New Roman" w:cs="Times New Roman"/>
          <w:sz w:val="26"/>
          <w:szCs w:val="26"/>
        </w:rPr>
      </w:pPr>
      <w:r>
        <w:rPr>
          <w:rFonts w:ascii="Times New Roman" w:hAnsi="Times New Roman" w:cs="Times New Roman"/>
          <w:sz w:val="26"/>
          <w:szCs w:val="26"/>
        </w:rPr>
        <w:t xml:space="preserve">Unconscionable conduct has a very long pedigree.  </w:t>
      </w:r>
      <w:r w:rsidR="00C17FFA" w:rsidRPr="00C17FFA">
        <w:rPr>
          <w:rFonts w:ascii="Times New Roman" w:hAnsi="Times New Roman" w:cs="Times New Roman"/>
          <w:sz w:val="26"/>
          <w:szCs w:val="26"/>
        </w:rPr>
        <w:t>For centuries, courts of equity have intervened to set aside contracts and other dealings because of</w:t>
      </w:r>
      <w:r w:rsidR="00524F5D" w:rsidRPr="00524F5D">
        <w:rPr>
          <w:rFonts w:ascii="Times New Roman" w:hAnsi="Times New Roman"/>
          <w:sz w:val="26"/>
          <w:szCs w:val="26"/>
        </w:rPr>
        <w:t xml:space="preserve"> </w:t>
      </w:r>
      <w:r w:rsidR="00524F5D" w:rsidRPr="00CC0A57">
        <w:rPr>
          <w:rFonts w:ascii="Times New Roman" w:hAnsi="Times New Roman"/>
          <w:sz w:val="26"/>
          <w:szCs w:val="26"/>
        </w:rPr>
        <w:t>unconscionable</w:t>
      </w:r>
      <w:r w:rsidR="00524F5D">
        <w:rPr>
          <w:rFonts w:ascii="Times New Roman" w:hAnsi="Times New Roman"/>
          <w:sz w:val="26"/>
          <w:szCs w:val="26"/>
        </w:rPr>
        <w:t xml:space="preserve"> conduct, that is—</w:t>
      </w:r>
    </w:p>
    <w:p w14:paraId="72FFD218" w14:textId="56415FC9" w:rsidR="00C17FFA" w:rsidRPr="00CC0A57" w:rsidRDefault="004E636F" w:rsidP="00C17FFA">
      <w:pPr>
        <w:pStyle w:val="Quote1"/>
        <w:ind w:left="720"/>
        <w:rPr>
          <w:rFonts w:ascii="Times New Roman" w:hAnsi="Times New Roman"/>
          <w:sz w:val="26"/>
          <w:szCs w:val="26"/>
        </w:rPr>
      </w:pPr>
      <w:r>
        <w:rPr>
          <w:rFonts w:ascii="Times New Roman" w:hAnsi="Times New Roman"/>
          <w:sz w:val="26"/>
          <w:szCs w:val="26"/>
        </w:rPr>
        <w:t>“</w:t>
      </w:r>
      <w:r w:rsidR="00C17FFA" w:rsidRPr="00CC0A57">
        <w:rPr>
          <w:rFonts w:ascii="Times New Roman" w:hAnsi="Times New Roman"/>
          <w:sz w:val="26"/>
          <w:szCs w:val="26"/>
        </w:rPr>
        <w:t>conduct on the part of a party who stands to receive a benefit under a transaction which, in the eye of equity, cannot be enforced because to do so would be inconsistent with equity and good conscience.</w:t>
      </w:r>
      <w:r>
        <w:rPr>
          <w:rFonts w:ascii="Times New Roman" w:hAnsi="Times New Roman"/>
          <w:sz w:val="26"/>
          <w:szCs w:val="26"/>
        </w:rPr>
        <w:t>”</w:t>
      </w:r>
      <w:r w:rsidR="00C17FFA" w:rsidRPr="00CC0A57">
        <w:rPr>
          <w:rStyle w:val="FootnoteReference"/>
          <w:rFonts w:ascii="Times New Roman" w:hAnsi="Times New Roman"/>
          <w:sz w:val="26"/>
          <w:szCs w:val="26"/>
        </w:rPr>
        <w:footnoteReference w:id="2"/>
      </w:r>
      <w:r w:rsidR="00C17FFA" w:rsidRPr="00CC0A57">
        <w:rPr>
          <w:rFonts w:ascii="Times New Roman" w:hAnsi="Times New Roman"/>
          <w:sz w:val="26"/>
          <w:szCs w:val="26"/>
        </w:rPr>
        <w:t xml:space="preserve">  </w:t>
      </w:r>
    </w:p>
    <w:p w14:paraId="3BA8C8F0" w14:textId="29477F5E" w:rsidR="00524F5D" w:rsidRDefault="00EF3077" w:rsidP="00745188">
      <w:pPr>
        <w:pStyle w:val="Normal-Indent"/>
        <w:tabs>
          <w:tab w:val="left" w:pos="720"/>
        </w:tabs>
        <w:spacing w:before="240" w:after="240" w:line="240" w:lineRule="auto"/>
        <w:ind w:left="0"/>
        <w:rPr>
          <w:rFonts w:ascii="Times New Roman" w:hAnsi="Times New Roman"/>
          <w:i/>
          <w:sz w:val="26"/>
          <w:szCs w:val="26"/>
        </w:rPr>
      </w:pPr>
      <w:r>
        <w:rPr>
          <w:rFonts w:ascii="Times New Roman" w:hAnsi="Times New Roman"/>
          <w:sz w:val="26"/>
          <w:szCs w:val="26"/>
        </w:rPr>
        <w:t>Conduct wa</w:t>
      </w:r>
      <w:r w:rsidR="00C17FFA" w:rsidRPr="00CC0A57">
        <w:rPr>
          <w:rFonts w:ascii="Times New Roman" w:hAnsi="Times New Roman"/>
          <w:sz w:val="26"/>
          <w:szCs w:val="26"/>
        </w:rPr>
        <w:t>s</w:t>
      </w:r>
      <w:r w:rsidR="00F73230">
        <w:rPr>
          <w:rFonts w:ascii="Times New Roman" w:hAnsi="Times New Roman"/>
          <w:sz w:val="26"/>
          <w:szCs w:val="26"/>
        </w:rPr>
        <w:t xml:space="preserve"> deemed</w:t>
      </w:r>
      <w:r w:rsidR="00C17FFA" w:rsidRPr="00CC0A57">
        <w:rPr>
          <w:rFonts w:ascii="Times New Roman" w:hAnsi="Times New Roman"/>
          <w:sz w:val="26"/>
          <w:szCs w:val="26"/>
        </w:rPr>
        <w:t xml:space="preserve"> unconscionable if it </w:t>
      </w:r>
      <w:r>
        <w:rPr>
          <w:rFonts w:ascii="Times New Roman" w:hAnsi="Times New Roman"/>
          <w:sz w:val="26"/>
          <w:szCs w:val="26"/>
        </w:rPr>
        <w:t>wa</w:t>
      </w:r>
      <w:r w:rsidR="00C17FFA" w:rsidRPr="00CC0A57">
        <w:rPr>
          <w:rFonts w:ascii="Times New Roman" w:hAnsi="Times New Roman"/>
          <w:sz w:val="26"/>
          <w:szCs w:val="26"/>
        </w:rPr>
        <w:t>s contrary to the dictates of good conscience.  As Justice Keane noted in his 2009 lecture</w:t>
      </w:r>
      <w:r w:rsidR="00F73230">
        <w:rPr>
          <w:rFonts w:ascii="Times New Roman" w:hAnsi="Times New Roman"/>
          <w:sz w:val="26"/>
          <w:szCs w:val="26"/>
        </w:rPr>
        <w:t xml:space="preserve"> on “</w:t>
      </w:r>
      <w:r w:rsidR="00EE5D88">
        <w:rPr>
          <w:rFonts w:ascii="Times New Roman" w:hAnsi="Times New Roman"/>
          <w:sz w:val="26"/>
          <w:szCs w:val="26"/>
        </w:rPr>
        <w:t>T</w:t>
      </w:r>
      <w:r w:rsidR="00F73230">
        <w:rPr>
          <w:rFonts w:ascii="Times New Roman" w:hAnsi="Times New Roman"/>
          <w:sz w:val="26"/>
          <w:szCs w:val="26"/>
        </w:rPr>
        <w:t>he conscience of equity”</w:t>
      </w:r>
      <w:r w:rsidR="00524F5D">
        <w:rPr>
          <w:rFonts w:ascii="Times New Roman" w:hAnsi="Times New Roman"/>
          <w:sz w:val="26"/>
          <w:szCs w:val="26"/>
        </w:rPr>
        <w:t>, by the 15</w:t>
      </w:r>
      <w:r w:rsidR="00524F5D" w:rsidRPr="00524F5D">
        <w:rPr>
          <w:rFonts w:ascii="Times New Roman" w:hAnsi="Times New Roman"/>
          <w:sz w:val="26"/>
          <w:szCs w:val="26"/>
          <w:vertAlign w:val="superscript"/>
        </w:rPr>
        <w:t>th</w:t>
      </w:r>
      <w:r w:rsidR="00524F5D">
        <w:rPr>
          <w:rFonts w:ascii="Times New Roman" w:hAnsi="Times New Roman"/>
          <w:sz w:val="26"/>
          <w:szCs w:val="26"/>
        </w:rPr>
        <w:t xml:space="preserve"> century the Chancellors were prepared “to satisfy the demands of conscience even though their action involved a dispensation with the rigid rules of law.”</w:t>
      </w:r>
      <w:r w:rsidR="00C17FFA" w:rsidRPr="00CC0A57">
        <w:rPr>
          <w:rStyle w:val="FootnoteReference"/>
          <w:rFonts w:ascii="Times New Roman" w:hAnsi="Times New Roman"/>
          <w:sz w:val="26"/>
          <w:szCs w:val="26"/>
        </w:rPr>
        <w:footnoteReference w:id="3"/>
      </w:r>
      <w:r w:rsidR="00C17FFA" w:rsidRPr="00CC0A57">
        <w:rPr>
          <w:rFonts w:ascii="Times New Roman" w:hAnsi="Times New Roman"/>
          <w:sz w:val="26"/>
          <w:szCs w:val="26"/>
        </w:rPr>
        <w:t xml:space="preserve"> </w:t>
      </w:r>
    </w:p>
    <w:p w14:paraId="3BF85D24" w14:textId="03812CDD" w:rsidR="00C17FFA" w:rsidRPr="00CC0A57" w:rsidRDefault="00C17FFA" w:rsidP="00745188">
      <w:pPr>
        <w:pStyle w:val="Normal-Indent"/>
        <w:tabs>
          <w:tab w:val="left" w:pos="720"/>
        </w:tabs>
        <w:spacing w:before="240" w:after="240" w:line="240" w:lineRule="auto"/>
        <w:ind w:left="0"/>
        <w:rPr>
          <w:rFonts w:ascii="Times New Roman" w:hAnsi="Times New Roman"/>
          <w:sz w:val="26"/>
          <w:szCs w:val="26"/>
        </w:rPr>
      </w:pPr>
      <w:r w:rsidRPr="00524F5D">
        <w:rPr>
          <w:rFonts w:ascii="Times New Roman" w:hAnsi="Times New Roman"/>
          <w:sz w:val="26"/>
          <w:szCs w:val="26"/>
        </w:rPr>
        <w:t>It</w:t>
      </w:r>
      <w:r w:rsidRPr="00CC0A57">
        <w:rPr>
          <w:rFonts w:ascii="Times New Roman" w:hAnsi="Times New Roman"/>
          <w:sz w:val="26"/>
          <w:szCs w:val="26"/>
        </w:rPr>
        <w:t xml:space="preserve"> was, of course, </w:t>
      </w:r>
      <w:r w:rsidR="00F73230">
        <w:rPr>
          <w:rFonts w:ascii="Times New Roman" w:hAnsi="Times New Roman"/>
          <w:sz w:val="26"/>
          <w:szCs w:val="26"/>
        </w:rPr>
        <w:t xml:space="preserve">equity’s </w:t>
      </w:r>
      <w:r w:rsidRPr="00CC0A57">
        <w:rPr>
          <w:rFonts w:ascii="Times New Roman" w:hAnsi="Times New Roman"/>
          <w:sz w:val="26"/>
          <w:szCs w:val="26"/>
        </w:rPr>
        <w:t>conception of unconscionability which gave Mr and Mrs Amadio their famous victory in the High Court against the Commercial Bank of Australia</w:t>
      </w:r>
      <w:r w:rsidR="00B41E0F">
        <w:rPr>
          <w:rFonts w:ascii="Times New Roman" w:hAnsi="Times New Roman"/>
          <w:sz w:val="26"/>
          <w:szCs w:val="26"/>
        </w:rPr>
        <w:t xml:space="preserve"> in 1983</w:t>
      </w:r>
      <w:r w:rsidRPr="00CC0A57">
        <w:rPr>
          <w:rFonts w:ascii="Times New Roman" w:hAnsi="Times New Roman"/>
          <w:sz w:val="26"/>
          <w:szCs w:val="26"/>
        </w:rPr>
        <w:t xml:space="preserve">.  What was said by Justices Mason and Deane in that case is still </w:t>
      </w:r>
      <w:r w:rsidRPr="00CC0A57">
        <w:rPr>
          <w:rFonts w:ascii="Times New Roman" w:hAnsi="Times New Roman"/>
          <w:sz w:val="26"/>
          <w:szCs w:val="26"/>
        </w:rPr>
        <w:lastRenderedPageBreak/>
        <w:t xml:space="preserve">regarded as the definitive statement of the criteria for equitable intervention.  </w:t>
      </w:r>
    </w:p>
    <w:p w14:paraId="26EC6906" w14:textId="6D657081" w:rsidR="00B41E0F"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Crucially for present purposes, </w:t>
      </w:r>
      <w:r w:rsidR="00EF3077">
        <w:rPr>
          <w:rFonts w:ascii="Times New Roman" w:hAnsi="Times New Roman"/>
          <w:sz w:val="26"/>
          <w:szCs w:val="26"/>
        </w:rPr>
        <w:t xml:space="preserve">that same equitable conception </w:t>
      </w:r>
      <w:r w:rsidRPr="00CC0A57">
        <w:rPr>
          <w:rFonts w:ascii="Times New Roman" w:hAnsi="Times New Roman"/>
          <w:sz w:val="26"/>
          <w:szCs w:val="26"/>
        </w:rPr>
        <w:t xml:space="preserve">has been given a very modern expression in the </w:t>
      </w:r>
      <w:r w:rsidR="00B41E0F">
        <w:rPr>
          <w:rFonts w:ascii="Times New Roman" w:hAnsi="Times New Roman"/>
          <w:sz w:val="26"/>
          <w:szCs w:val="26"/>
        </w:rPr>
        <w:t>national laws</w:t>
      </w:r>
      <w:r w:rsidRPr="00CC0A57">
        <w:rPr>
          <w:rFonts w:ascii="Times New Roman" w:hAnsi="Times New Roman"/>
          <w:sz w:val="26"/>
          <w:szCs w:val="26"/>
        </w:rPr>
        <w:t xml:space="preserve"> which regulate business</w:t>
      </w:r>
      <w:r w:rsidR="00F73230">
        <w:rPr>
          <w:rFonts w:ascii="Times New Roman" w:hAnsi="Times New Roman"/>
          <w:sz w:val="26"/>
          <w:szCs w:val="26"/>
        </w:rPr>
        <w:t xml:space="preserve"> dealings with consumers (and with each other)</w:t>
      </w:r>
      <w:r w:rsidRPr="00CC0A57">
        <w:rPr>
          <w:rFonts w:ascii="Times New Roman" w:hAnsi="Times New Roman"/>
          <w:sz w:val="26"/>
          <w:szCs w:val="26"/>
        </w:rPr>
        <w:t>.  Thus, both the ASIC Act and the Australian Consumer Law contain express prohibitions against engaging in conduct</w:t>
      </w:r>
      <w:r w:rsidR="00EF3077">
        <w:rPr>
          <w:rFonts w:ascii="Times New Roman" w:hAnsi="Times New Roman"/>
          <w:sz w:val="26"/>
          <w:szCs w:val="26"/>
        </w:rPr>
        <w:t xml:space="preserve"> which ‘is unconscionable within the meaning of the unwritten  law’</w:t>
      </w:r>
      <w:r w:rsidRPr="00CC0A57">
        <w:rPr>
          <w:rFonts w:ascii="Times New Roman" w:hAnsi="Times New Roman"/>
          <w:sz w:val="26"/>
          <w:szCs w:val="26"/>
        </w:rPr>
        <w:t>.</w:t>
      </w:r>
      <w:r w:rsidR="00EF3077">
        <w:rPr>
          <w:rStyle w:val="FootnoteReference"/>
          <w:rFonts w:ascii="Times New Roman" w:hAnsi="Times New Roman"/>
          <w:sz w:val="26"/>
          <w:szCs w:val="26"/>
        </w:rPr>
        <w:footnoteReference w:id="4"/>
      </w:r>
      <w:r w:rsidRPr="00CC0A57">
        <w:rPr>
          <w:rFonts w:ascii="Times New Roman" w:hAnsi="Times New Roman"/>
          <w:sz w:val="26"/>
          <w:szCs w:val="26"/>
        </w:rPr>
        <w:t xml:space="preserve">  </w:t>
      </w:r>
      <w:r w:rsidR="00EF3077">
        <w:rPr>
          <w:rFonts w:ascii="Times New Roman" w:hAnsi="Times New Roman"/>
          <w:sz w:val="26"/>
          <w:szCs w:val="26"/>
        </w:rPr>
        <w:t>That has been interpreted to mean unconscionable according to equitable doctrines.</w:t>
      </w:r>
      <w:r w:rsidR="00B41E0F">
        <w:rPr>
          <w:rStyle w:val="FootnoteReference"/>
          <w:rFonts w:ascii="Times New Roman" w:hAnsi="Times New Roman"/>
          <w:sz w:val="26"/>
          <w:szCs w:val="26"/>
        </w:rPr>
        <w:footnoteReference w:id="5"/>
      </w:r>
      <w:r w:rsidR="00EF3077">
        <w:rPr>
          <w:rFonts w:ascii="Times New Roman" w:hAnsi="Times New Roman"/>
          <w:sz w:val="26"/>
          <w:szCs w:val="26"/>
        </w:rPr>
        <w:t xml:space="preserve">  </w:t>
      </w:r>
    </w:p>
    <w:p w14:paraId="4219F4A9" w14:textId="4297C255" w:rsidR="00C17FFA" w:rsidRPr="00CC0A57" w:rsidRDefault="00EF3077"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Confusingly, there is in each case a companion provision prohibiting conduct “that is, in all the circumstances, unconscionable.</w:t>
      </w:r>
      <w:r w:rsidR="00B41E0F">
        <w:rPr>
          <w:rFonts w:ascii="Times New Roman" w:hAnsi="Times New Roman"/>
          <w:sz w:val="26"/>
          <w:szCs w:val="26"/>
        </w:rPr>
        <w:t>”</w:t>
      </w:r>
      <w:r>
        <w:rPr>
          <w:rStyle w:val="FootnoteReference"/>
          <w:rFonts w:ascii="Times New Roman" w:hAnsi="Times New Roman"/>
          <w:sz w:val="26"/>
          <w:szCs w:val="26"/>
        </w:rPr>
        <w:footnoteReference w:id="6"/>
      </w:r>
      <w:r w:rsidR="00B41E0F">
        <w:rPr>
          <w:rFonts w:ascii="Times New Roman" w:hAnsi="Times New Roman"/>
          <w:sz w:val="26"/>
          <w:szCs w:val="26"/>
        </w:rPr>
        <w:t xml:space="preserve"> </w:t>
      </w:r>
      <w:r w:rsidR="00EE5D88">
        <w:rPr>
          <w:rFonts w:ascii="Times New Roman" w:hAnsi="Times New Roman"/>
          <w:sz w:val="26"/>
          <w:szCs w:val="26"/>
        </w:rPr>
        <w:t xml:space="preserve"> In a deliberate effort to give these latter provisions a broader reach,</w:t>
      </w:r>
      <w:r w:rsidR="00B41E0F">
        <w:rPr>
          <w:rFonts w:ascii="Times New Roman" w:hAnsi="Times New Roman"/>
          <w:sz w:val="26"/>
          <w:szCs w:val="26"/>
        </w:rPr>
        <w:t xml:space="preserve"> Parliament has expressly declared that these prohibitions are </w:t>
      </w:r>
      <w:r w:rsidR="00B41E0F" w:rsidRPr="00EE5D88">
        <w:rPr>
          <w:rFonts w:ascii="Times New Roman" w:hAnsi="Times New Roman"/>
          <w:i/>
          <w:sz w:val="26"/>
          <w:szCs w:val="26"/>
        </w:rPr>
        <w:t>not</w:t>
      </w:r>
      <w:r w:rsidR="00B41E0F">
        <w:rPr>
          <w:rFonts w:ascii="Times New Roman" w:hAnsi="Times New Roman"/>
          <w:sz w:val="26"/>
          <w:szCs w:val="26"/>
        </w:rPr>
        <w:t xml:space="preserve"> limited by the unwritten law on unconscionable conduct.</w:t>
      </w:r>
      <w:r w:rsidR="00B41E0F">
        <w:rPr>
          <w:rStyle w:val="FootnoteReference"/>
          <w:rFonts w:ascii="Times New Roman" w:hAnsi="Times New Roman"/>
          <w:sz w:val="26"/>
          <w:szCs w:val="26"/>
        </w:rPr>
        <w:footnoteReference w:id="7"/>
      </w:r>
      <w:r>
        <w:rPr>
          <w:rFonts w:ascii="Times New Roman" w:hAnsi="Times New Roman"/>
          <w:sz w:val="26"/>
          <w:szCs w:val="26"/>
        </w:rPr>
        <w:t xml:space="preserve">  </w:t>
      </w:r>
      <w:r w:rsidR="00C17FFA" w:rsidRPr="00CC0A57">
        <w:rPr>
          <w:rFonts w:ascii="Times New Roman" w:hAnsi="Times New Roman"/>
          <w:sz w:val="26"/>
          <w:szCs w:val="26"/>
        </w:rPr>
        <w:t xml:space="preserve">  </w:t>
      </w:r>
    </w:p>
    <w:p w14:paraId="4A4F7C5A" w14:textId="076B682E" w:rsidR="00524F5D"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My concern this evening is not to lead you through the case law on unconscionable conduct</w:t>
      </w:r>
      <w:r w:rsidR="00B41E0F">
        <w:rPr>
          <w:rFonts w:ascii="Times New Roman" w:hAnsi="Times New Roman"/>
          <w:sz w:val="26"/>
          <w:szCs w:val="26"/>
        </w:rPr>
        <w:t xml:space="preserve">.  Instead, I want </w:t>
      </w:r>
      <w:r w:rsidRPr="00CC0A57">
        <w:rPr>
          <w:rFonts w:ascii="Times New Roman" w:hAnsi="Times New Roman"/>
          <w:sz w:val="26"/>
          <w:szCs w:val="26"/>
        </w:rPr>
        <w:t xml:space="preserve">to </w:t>
      </w:r>
      <w:r w:rsidR="00B41E0F">
        <w:rPr>
          <w:rFonts w:ascii="Times New Roman" w:hAnsi="Times New Roman"/>
          <w:sz w:val="26"/>
          <w:szCs w:val="26"/>
        </w:rPr>
        <w:t xml:space="preserve">highlight </w:t>
      </w:r>
      <w:r w:rsidR="00F73230">
        <w:rPr>
          <w:rFonts w:ascii="Times New Roman" w:hAnsi="Times New Roman"/>
          <w:sz w:val="26"/>
          <w:szCs w:val="26"/>
        </w:rPr>
        <w:t>the implications of our continued use,</w:t>
      </w:r>
      <w:r w:rsidR="00B41E0F">
        <w:rPr>
          <w:rFonts w:ascii="Times New Roman" w:hAnsi="Times New Roman"/>
          <w:sz w:val="26"/>
          <w:szCs w:val="26"/>
        </w:rPr>
        <w:t xml:space="preserve"> in the</w:t>
      </w:r>
      <w:r w:rsidRPr="00CC0A57">
        <w:rPr>
          <w:rFonts w:ascii="Times New Roman" w:hAnsi="Times New Roman"/>
          <w:sz w:val="26"/>
          <w:szCs w:val="26"/>
        </w:rPr>
        <w:t xml:space="preserve"> second decade of the 21</w:t>
      </w:r>
      <w:r w:rsidRPr="00CC0A57">
        <w:rPr>
          <w:rFonts w:ascii="Times New Roman" w:hAnsi="Times New Roman"/>
          <w:sz w:val="26"/>
          <w:szCs w:val="26"/>
          <w:vertAlign w:val="superscript"/>
        </w:rPr>
        <w:t>st</w:t>
      </w:r>
      <w:r w:rsidRPr="00CC0A57">
        <w:rPr>
          <w:rFonts w:ascii="Times New Roman" w:hAnsi="Times New Roman"/>
          <w:sz w:val="26"/>
          <w:szCs w:val="26"/>
        </w:rPr>
        <w:t xml:space="preserve"> Century, </w:t>
      </w:r>
      <w:r w:rsidR="00F73230">
        <w:rPr>
          <w:rFonts w:ascii="Times New Roman" w:hAnsi="Times New Roman"/>
          <w:sz w:val="26"/>
          <w:szCs w:val="26"/>
        </w:rPr>
        <w:t xml:space="preserve">of </w:t>
      </w:r>
      <w:r w:rsidRPr="00CC0A57">
        <w:rPr>
          <w:rFonts w:ascii="Times New Roman" w:hAnsi="Times New Roman"/>
          <w:sz w:val="26"/>
          <w:szCs w:val="26"/>
        </w:rPr>
        <w:t xml:space="preserve">this powerful but elusive concept of good conscience.  </w:t>
      </w:r>
    </w:p>
    <w:p w14:paraId="78CBD547" w14:textId="394A0930"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That we </w:t>
      </w:r>
      <w:r w:rsidR="00524F5D">
        <w:rPr>
          <w:rFonts w:ascii="Times New Roman" w:hAnsi="Times New Roman"/>
          <w:sz w:val="26"/>
          <w:szCs w:val="26"/>
        </w:rPr>
        <w:t xml:space="preserve">set so much store by </w:t>
      </w:r>
      <w:r w:rsidR="00EF3077">
        <w:rPr>
          <w:rFonts w:ascii="Times New Roman" w:hAnsi="Times New Roman"/>
          <w:sz w:val="26"/>
          <w:szCs w:val="26"/>
        </w:rPr>
        <w:t>a</w:t>
      </w:r>
      <w:r w:rsidRPr="00CC0A57">
        <w:rPr>
          <w:rFonts w:ascii="Times New Roman" w:hAnsi="Times New Roman"/>
          <w:sz w:val="26"/>
          <w:szCs w:val="26"/>
        </w:rPr>
        <w:t xml:space="preserve"> quintessentially moral concept</w:t>
      </w:r>
      <w:r w:rsidR="00EF3077">
        <w:rPr>
          <w:rFonts w:ascii="Times New Roman" w:hAnsi="Times New Roman"/>
          <w:sz w:val="26"/>
          <w:szCs w:val="26"/>
        </w:rPr>
        <w:t xml:space="preserve"> like unconscionability</w:t>
      </w:r>
      <w:r w:rsidRPr="00CC0A57">
        <w:rPr>
          <w:rFonts w:ascii="Times New Roman" w:hAnsi="Times New Roman"/>
          <w:sz w:val="26"/>
          <w:szCs w:val="26"/>
        </w:rPr>
        <w:t xml:space="preserve"> raises, I want to suggest, some unexplored questions about the role of the judge as moral arbiter, and moral reasoner, and about the </w:t>
      </w:r>
      <w:r w:rsidR="00B41E0F">
        <w:rPr>
          <w:rFonts w:ascii="Times New Roman" w:hAnsi="Times New Roman"/>
          <w:sz w:val="26"/>
          <w:szCs w:val="26"/>
        </w:rPr>
        <w:t xml:space="preserve">tension </w:t>
      </w:r>
      <w:r w:rsidRPr="00CC0A57">
        <w:rPr>
          <w:rFonts w:ascii="Times New Roman" w:hAnsi="Times New Roman"/>
          <w:sz w:val="26"/>
          <w:szCs w:val="26"/>
        </w:rPr>
        <w:t>between the moral aspirations of the law and the profit-driven dynamics of the market economy.</w:t>
      </w:r>
    </w:p>
    <w:p w14:paraId="26F1EC65" w14:textId="77777777" w:rsidR="00A32DBB" w:rsidRDefault="00EF3077"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We should start by acknowledging that </w:t>
      </w:r>
      <w:r w:rsidR="00C17FFA">
        <w:rPr>
          <w:rFonts w:ascii="Times New Roman" w:hAnsi="Times New Roman"/>
          <w:sz w:val="26"/>
          <w:szCs w:val="26"/>
        </w:rPr>
        <w:t>“</w:t>
      </w:r>
      <w:r>
        <w:rPr>
          <w:rFonts w:ascii="Times New Roman" w:hAnsi="Times New Roman"/>
          <w:sz w:val="26"/>
          <w:szCs w:val="26"/>
        </w:rPr>
        <w:t>u</w:t>
      </w:r>
      <w:r w:rsidR="00C17FFA" w:rsidRPr="00CC0A57">
        <w:rPr>
          <w:rFonts w:ascii="Times New Roman" w:hAnsi="Times New Roman"/>
          <w:sz w:val="26"/>
          <w:szCs w:val="26"/>
        </w:rPr>
        <w:t>nconscionable</w:t>
      </w:r>
      <w:r w:rsidR="00C17FFA">
        <w:rPr>
          <w:rFonts w:ascii="Times New Roman" w:hAnsi="Times New Roman"/>
          <w:sz w:val="26"/>
          <w:szCs w:val="26"/>
        </w:rPr>
        <w:t>”</w:t>
      </w:r>
      <w:r w:rsidR="00C17FFA" w:rsidRPr="00CC0A57">
        <w:rPr>
          <w:rFonts w:ascii="Times New Roman" w:hAnsi="Times New Roman"/>
          <w:sz w:val="26"/>
          <w:szCs w:val="26"/>
        </w:rPr>
        <w:t xml:space="preserve"> is</w:t>
      </w:r>
      <w:r>
        <w:rPr>
          <w:rFonts w:ascii="Times New Roman" w:hAnsi="Times New Roman"/>
          <w:sz w:val="26"/>
          <w:szCs w:val="26"/>
        </w:rPr>
        <w:t xml:space="preserve"> </w:t>
      </w:r>
      <w:r w:rsidR="00C17FFA" w:rsidRPr="00CC0A57">
        <w:rPr>
          <w:rFonts w:ascii="Times New Roman" w:hAnsi="Times New Roman"/>
          <w:sz w:val="26"/>
          <w:szCs w:val="26"/>
        </w:rPr>
        <w:t xml:space="preserve">a word hardly ever encountered in ordinary usage.  See if you can remember an occasion on which you have described — or heard someone else describe — a person’s conduct as </w:t>
      </w:r>
      <w:r w:rsidR="00C17FFA">
        <w:rPr>
          <w:rFonts w:ascii="Times New Roman" w:hAnsi="Times New Roman"/>
          <w:sz w:val="26"/>
          <w:szCs w:val="26"/>
        </w:rPr>
        <w:t>“</w:t>
      </w:r>
      <w:r w:rsidR="00C17FFA" w:rsidRPr="00CC0A57">
        <w:rPr>
          <w:rFonts w:ascii="Times New Roman" w:hAnsi="Times New Roman"/>
          <w:sz w:val="26"/>
          <w:szCs w:val="26"/>
        </w:rPr>
        <w:t>unconscionable</w:t>
      </w:r>
      <w:r w:rsidR="00C17FFA">
        <w:rPr>
          <w:rFonts w:ascii="Times New Roman" w:hAnsi="Times New Roman"/>
          <w:sz w:val="26"/>
          <w:szCs w:val="26"/>
        </w:rPr>
        <w:t>”</w:t>
      </w:r>
      <w:r w:rsidR="00C17FFA" w:rsidRPr="00CC0A57">
        <w:rPr>
          <w:rFonts w:ascii="Times New Roman" w:hAnsi="Times New Roman"/>
          <w:sz w:val="26"/>
          <w:szCs w:val="26"/>
        </w:rPr>
        <w:t xml:space="preserve">.  </w:t>
      </w:r>
    </w:p>
    <w:p w14:paraId="3EC1F57C" w14:textId="301EC17F"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It is </w:t>
      </w:r>
      <w:r w:rsidR="00EF3077">
        <w:rPr>
          <w:rFonts w:ascii="Times New Roman" w:hAnsi="Times New Roman"/>
          <w:sz w:val="26"/>
          <w:szCs w:val="26"/>
        </w:rPr>
        <w:t>surely remarkable that the Commonwealth Parliament has</w:t>
      </w:r>
      <w:r w:rsidR="00B33EFF">
        <w:rPr>
          <w:rFonts w:ascii="Times New Roman" w:hAnsi="Times New Roman"/>
          <w:sz w:val="26"/>
          <w:szCs w:val="26"/>
        </w:rPr>
        <w:t>,</w:t>
      </w:r>
      <w:r w:rsidR="00EF3077">
        <w:rPr>
          <w:rFonts w:ascii="Times New Roman" w:hAnsi="Times New Roman"/>
          <w:sz w:val="26"/>
          <w:szCs w:val="26"/>
        </w:rPr>
        <w:t xml:space="preserve"> for</w:t>
      </w:r>
      <w:r w:rsidR="00B41E0F">
        <w:rPr>
          <w:rFonts w:ascii="Times New Roman" w:hAnsi="Times New Roman"/>
          <w:sz w:val="26"/>
          <w:szCs w:val="26"/>
        </w:rPr>
        <w:t xml:space="preserve"> the past</w:t>
      </w:r>
      <w:r w:rsidR="00EF3077">
        <w:rPr>
          <w:rFonts w:ascii="Times New Roman" w:hAnsi="Times New Roman"/>
          <w:sz w:val="26"/>
          <w:szCs w:val="26"/>
        </w:rPr>
        <w:t xml:space="preserve"> three decades</w:t>
      </w:r>
      <w:r w:rsidR="00B41E0F">
        <w:rPr>
          <w:rFonts w:ascii="Times New Roman" w:hAnsi="Times New Roman"/>
          <w:sz w:val="26"/>
          <w:szCs w:val="26"/>
        </w:rPr>
        <w:t>,</w:t>
      </w:r>
      <w:r w:rsidR="00EF3077">
        <w:rPr>
          <w:rFonts w:ascii="Times New Roman" w:hAnsi="Times New Roman"/>
          <w:sz w:val="26"/>
          <w:szCs w:val="26"/>
        </w:rPr>
        <w:t xml:space="preserve"> relied on a term </w:t>
      </w:r>
      <w:r w:rsidRPr="00CC0A57">
        <w:rPr>
          <w:rFonts w:ascii="Times New Roman" w:hAnsi="Times New Roman"/>
          <w:sz w:val="26"/>
          <w:szCs w:val="26"/>
        </w:rPr>
        <w:t xml:space="preserve">likely to be both unfamiliar and unintelligible to those whose conduct it is intended to regulate.  </w:t>
      </w:r>
      <w:r w:rsidR="00735F58">
        <w:rPr>
          <w:rFonts w:ascii="Times New Roman" w:hAnsi="Times New Roman"/>
          <w:sz w:val="26"/>
          <w:szCs w:val="26"/>
        </w:rPr>
        <w:t xml:space="preserve">And </w:t>
      </w:r>
      <w:r w:rsidR="00EE5D88">
        <w:rPr>
          <w:rFonts w:ascii="Times New Roman" w:hAnsi="Times New Roman"/>
          <w:sz w:val="26"/>
          <w:szCs w:val="26"/>
        </w:rPr>
        <w:t>“unconscionable conduct”</w:t>
      </w:r>
      <w:r w:rsidR="00735F58">
        <w:rPr>
          <w:rFonts w:ascii="Times New Roman" w:hAnsi="Times New Roman"/>
          <w:sz w:val="26"/>
          <w:szCs w:val="26"/>
        </w:rPr>
        <w:t xml:space="preserve"> was retained despite the </w:t>
      </w:r>
      <w:r w:rsidR="00B33EFF">
        <w:rPr>
          <w:rFonts w:ascii="Times New Roman" w:hAnsi="Times New Roman"/>
          <w:sz w:val="26"/>
          <w:szCs w:val="26"/>
        </w:rPr>
        <w:t xml:space="preserve">1997 </w:t>
      </w:r>
      <w:r w:rsidR="00735F58">
        <w:rPr>
          <w:rFonts w:ascii="Times New Roman" w:hAnsi="Times New Roman"/>
          <w:sz w:val="26"/>
          <w:szCs w:val="26"/>
        </w:rPr>
        <w:t>recommendation of a parliamentary committee that the term “unfair conduct” should be used instead.</w:t>
      </w:r>
    </w:p>
    <w:p w14:paraId="191AD3A7" w14:textId="77777777" w:rsidR="00A32DBB"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As I have said, unconscionability is an explicitly moral concept, </w:t>
      </w:r>
      <w:r w:rsidR="00524F5D">
        <w:rPr>
          <w:rFonts w:ascii="Times New Roman" w:hAnsi="Times New Roman"/>
          <w:sz w:val="26"/>
          <w:szCs w:val="26"/>
        </w:rPr>
        <w:t xml:space="preserve">grounded in </w:t>
      </w:r>
      <w:r w:rsidRPr="00CC0A57">
        <w:rPr>
          <w:rFonts w:ascii="Times New Roman" w:hAnsi="Times New Roman"/>
          <w:sz w:val="26"/>
          <w:szCs w:val="26"/>
        </w:rPr>
        <w:t xml:space="preserve">the notion of </w:t>
      </w:r>
      <w:r>
        <w:rPr>
          <w:rFonts w:ascii="Times New Roman" w:hAnsi="Times New Roman"/>
          <w:sz w:val="26"/>
          <w:szCs w:val="26"/>
        </w:rPr>
        <w:t>“</w:t>
      </w:r>
      <w:r w:rsidRPr="00CC0A57">
        <w:rPr>
          <w:rFonts w:ascii="Times New Roman" w:hAnsi="Times New Roman"/>
          <w:sz w:val="26"/>
          <w:szCs w:val="26"/>
        </w:rPr>
        <w:t>good conscience</w:t>
      </w:r>
      <w:r>
        <w:rPr>
          <w:rFonts w:ascii="Times New Roman" w:hAnsi="Times New Roman"/>
          <w:sz w:val="26"/>
          <w:szCs w:val="26"/>
        </w:rPr>
        <w:t>”</w:t>
      </w:r>
      <w:r w:rsidRPr="00CC0A57">
        <w:rPr>
          <w:rFonts w:ascii="Times New Roman" w:hAnsi="Times New Roman"/>
          <w:sz w:val="26"/>
          <w:szCs w:val="26"/>
        </w:rPr>
        <w:t xml:space="preserve">.  The embedding of a moral concept at the centre of the substantive law on business regulation and consumer protection necessarily requires judges to </w:t>
      </w:r>
      <w:r w:rsidR="00395548">
        <w:rPr>
          <w:rFonts w:ascii="Times New Roman" w:hAnsi="Times New Roman"/>
          <w:sz w:val="26"/>
          <w:szCs w:val="26"/>
        </w:rPr>
        <w:t>make moral judgments.</w:t>
      </w:r>
      <w:r w:rsidRPr="00CC0A57">
        <w:rPr>
          <w:rFonts w:ascii="Times New Roman" w:hAnsi="Times New Roman"/>
          <w:sz w:val="26"/>
          <w:szCs w:val="26"/>
        </w:rPr>
        <w:t xml:space="preserve">  </w:t>
      </w:r>
    </w:p>
    <w:p w14:paraId="31F37715" w14:textId="5CCEE7A3" w:rsidR="00C17FFA" w:rsidRDefault="00461BF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That</w:t>
      </w:r>
      <w:r w:rsidR="00C17FFA" w:rsidRPr="00CC0A57">
        <w:rPr>
          <w:rFonts w:ascii="Times New Roman" w:hAnsi="Times New Roman"/>
          <w:sz w:val="26"/>
          <w:szCs w:val="26"/>
        </w:rPr>
        <w:t xml:space="preserve"> seems to me to raise</w:t>
      </w:r>
      <w:r w:rsidR="00A32DBB">
        <w:rPr>
          <w:rFonts w:ascii="Times New Roman" w:hAnsi="Times New Roman"/>
          <w:sz w:val="26"/>
          <w:szCs w:val="26"/>
        </w:rPr>
        <w:t xml:space="preserve"> </w:t>
      </w:r>
      <w:r w:rsidR="00C17FFA" w:rsidRPr="00CC0A57">
        <w:rPr>
          <w:rFonts w:ascii="Times New Roman" w:hAnsi="Times New Roman"/>
          <w:sz w:val="26"/>
          <w:szCs w:val="26"/>
        </w:rPr>
        <w:t>questions</w:t>
      </w:r>
      <w:r w:rsidR="00B41E0F">
        <w:rPr>
          <w:rFonts w:ascii="Times New Roman" w:hAnsi="Times New Roman"/>
          <w:sz w:val="26"/>
          <w:szCs w:val="26"/>
        </w:rPr>
        <w:t xml:space="preserve"> about how those judgments are made</w:t>
      </w:r>
      <w:r>
        <w:rPr>
          <w:rFonts w:ascii="Times New Roman" w:hAnsi="Times New Roman"/>
          <w:sz w:val="26"/>
          <w:szCs w:val="26"/>
        </w:rPr>
        <w:t>, as follows</w:t>
      </w:r>
      <w:r w:rsidR="00C17FFA" w:rsidRPr="00CC0A57">
        <w:rPr>
          <w:rFonts w:ascii="Times New Roman" w:hAnsi="Times New Roman"/>
          <w:sz w:val="26"/>
          <w:szCs w:val="26"/>
        </w:rPr>
        <w:t>:</w:t>
      </w:r>
    </w:p>
    <w:p w14:paraId="642C1CB8" w14:textId="551374B7" w:rsidR="00C17FFA" w:rsidRDefault="00C17FFA" w:rsidP="004E636F">
      <w:pPr>
        <w:pStyle w:val="Normal-Indent"/>
        <w:spacing w:before="120" w:line="240" w:lineRule="auto"/>
        <w:ind w:left="1440" w:hanging="720"/>
        <w:rPr>
          <w:rFonts w:ascii="Times New Roman" w:hAnsi="Times New Roman"/>
          <w:sz w:val="26"/>
          <w:szCs w:val="26"/>
        </w:rPr>
      </w:pPr>
      <w:r w:rsidRPr="00CC0A57">
        <w:rPr>
          <w:rFonts w:ascii="Times New Roman" w:hAnsi="Times New Roman"/>
          <w:sz w:val="26"/>
          <w:szCs w:val="26"/>
        </w:rPr>
        <w:lastRenderedPageBreak/>
        <w:t>1.</w:t>
      </w:r>
      <w:r w:rsidRPr="00CC0A57">
        <w:rPr>
          <w:rFonts w:ascii="Times New Roman" w:hAnsi="Times New Roman"/>
          <w:sz w:val="26"/>
          <w:szCs w:val="26"/>
        </w:rPr>
        <w:tab/>
        <w:t>Is it appropriate for a judge to be the moral arbiter of business dealings?  (This is an issue of legitimacy);</w:t>
      </w:r>
    </w:p>
    <w:p w14:paraId="0B56B29D" w14:textId="77777777" w:rsidR="00C17FFA" w:rsidRDefault="00C17FFA" w:rsidP="004E636F">
      <w:pPr>
        <w:pStyle w:val="Normal-Indent"/>
        <w:spacing w:before="120" w:line="240" w:lineRule="auto"/>
        <w:ind w:left="1440" w:hanging="720"/>
        <w:rPr>
          <w:rFonts w:ascii="Times New Roman" w:hAnsi="Times New Roman"/>
          <w:sz w:val="26"/>
          <w:szCs w:val="26"/>
        </w:rPr>
      </w:pPr>
      <w:r w:rsidRPr="00CC0A57">
        <w:rPr>
          <w:rFonts w:ascii="Times New Roman" w:hAnsi="Times New Roman"/>
          <w:sz w:val="26"/>
          <w:szCs w:val="26"/>
        </w:rPr>
        <w:t>2.</w:t>
      </w:r>
      <w:r w:rsidRPr="00CC0A57">
        <w:rPr>
          <w:rFonts w:ascii="Times New Roman" w:hAnsi="Times New Roman"/>
          <w:sz w:val="26"/>
          <w:szCs w:val="26"/>
        </w:rPr>
        <w:tab/>
        <w:t>Does the judge have the requisite skill to be a moral reasoner?  (This is an issue of capability);</w:t>
      </w:r>
    </w:p>
    <w:p w14:paraId="180ED681" w14:textId="3BED4047" w:rsidR="00C17FFA" w:rsidRDefault="00C17FFA" w:rsidP="004E636F">
      <w:pPr>
        <w:pStyle w:val="Normal-Indent"/>
        <w:spacing w:before="120" w:line="240" w:lineRule="auto"/>
        <w:ind w:left="1440" w:hanging="720"/>
        <w:rPr>
          <w:rFonts w:ascii="Times New Roman" w:hAnsi="Times New Roman"/>
          <w:sz w:val="26"/>
          <w:szCs w:val="26"/>
        </w:rPr>
      </w:pPr>
      <w:r w:rsidRPr="00CC0A57">
        <w:rPr>
          <w:rFonts w:ascii="Times New Roman" w:hAnsi="Times New Roman"/>
          <w:sz w:val="26"/>
          <w:szCs w:val="26"/>
        </w:rPr>
        <w:t>3.</w:t>
      </w:r>
      <w:r w:rsidRPr="00CC0A57">
        <w:rPr>
          <w:rFonts w:ascii="Times New Roman" w:hAnsi="Times New Roman"/>
          <w:sz w:val="26"/>
          <w:szCs w:val="26"/>
        </w:rPr>
        <w:tab/>
        <w:t xml:space="preserve">How can such an imprecise standard as </w:t>
      </w:r>
      <w:r>
        <w:rPr>
          <w:rFonts w:ascii="Times New Roman" w:hAnsi="Times New Roman"/>
          <w:sz w:val="26"/>
          <w:szCs w:val="26"/>
        </w:rPr>
        <w:t>“</w:t>
      </w:r>
      <w:r w:rsidRPr="00CC0A57">
        <w:rPr>
          <w:rFonts w:ascii="Times New Roman" w:hAnsi="Times New Roman"/>
          <w:sz w:val="26"/>
          <w:szCs w:val="26"/>
        </w:rPr>
        <w:t>against good conscience</w:t>
      </w:r>
      <w:r>
        <w:rPr>
          <w:rFonts w:ascii="Times New Roman" w:hAnsi="Times New Roman"/>
          <w:sz w:val="26"/>
          <w:szCs w:val="26"/>
        </w:rPr>
        <w:t>”</w:t>
      </w:r>
      <w:r w:rsidRPr="00CC0A57">
        <w:rPr>
          <w:rFonts w:ascii="Times New Roman" w:hAnsi="Times New Roman"/>
          <w:sz w:val="26"/>
          <w:szCs w:val="26"/>
        </w:rPr>
        <w:t xml:space="preserve"> be reconciled with our commitment to the rule of law, which values certainty and predictability in the law in order for citizens to be able to arrange their affairs knowing in advance what </w:t>
      </w:r>
      <w:r w:rsidR="00B41E0F">
        <w:rPr>
          <w:rFonts w:ascii="Times New Roman" w:hAnsi="Times New Roman"/>
          <w:sz w:val="26"/>
          <w:szCs w:val="26"/>
        </w:rPr>
        <w:t>is and what is not prohibited?  (This is an issue of legal certainty.)</w:t>
      </w:r>
      <w:r w:rsidRPr="00CC0A57">
        <w:rPr>
          <w:rFonts w:ascii="Times New Roman" w:hAnsi="Times New Roman"/>
          <w:sz w:val="26"/>
          <w:szCs w:val="26"/>
        </w:rPr>
        <w:t xml:space="preserve"> </w:t>
      </w:r>
    </w:p>
    <w:p w14:paraId="1EABB882" w14:textId="4DD73511" w:rsidR="00395548" w:rsidRDefault="00B41E0F"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There are important related</w:t>
      </w:r>
      <w:r w:rsidR="00395548">
        <w:rPr>
          <w:rFonts w:ascii="Times New Roman" w:hAnsi="Times New Roman"/>
          <w:sz w:val="26"/>
          <w:szCs w:val="26"/>
        </w:rPr>
        <w:t xml:space="preserve"> questions about</w:t>
      </w:r>
      <w:r w:rsidR="006C00FE">
        <w:rPr>
          <w:rFonts w:ascii="Times New Roman" w:hAnsi="Times New Roman"/>
          <w:sz w:val="26"/>
          <w:szCs w:val="26"/>
        </w:rPr>
        <w:t xml:space="preserve"> whether these laws can make a </w:t>
      </w:r>
      <w:r w:rsidR="00735F58">
        <w:rPr>
          <w:rFonts w:ascii="Times New Roman" w:hAnsi="Times New Roman"/>
          <w:sz w:val="26"/>
          <w:szCs w:val="26"/>
        </w:rPr>
        <w:t xml:space="preserve">positive </w:t>
      </w:r>
      <w:r w:rsidR="006C00FE">
        <w:rPr>
          <w:rFonts w:ascii="Times New Roman" w:hAnsi="Times New Roman"/>
          <w:sz w:val="26"/>
          <w:szCs w:val="26"/>
        </w:rPr>
        <w:t>difference, in advance,</w:t>
      </w:r>
      <w:r w:rsidR="00461BFD">
        <w:rPr>
          <w:rFonts w:ascii="Times New Roman" w:hAnsi="Times New Roman"/>
          <w:sz w:val="26"/>
          <w:szCs w:val="26"/>
        </w:rPr>
        <w:t xml:space="preserve"> to</w:t>
      </w:r>
      <w:r w:rsidR="00B33EFF">
        <w:rPr>
          <w:rFonts w:ascii="Times New Roman" w:hAnsi="Times New Roman"/>
          <w:sz w:val="26"/>
          <w:szCs w:val="26"/>
        </w:rPr>
        <w:t xml:space="preserve"> the way business is conducted.  They are:</w:t>
      </w:r>
    </w:p>
    <w:p w14:paraId="0C47BF73" w14:textId="3E55D6CE" w:rsidR="00C17FFA" w:rsidRDefault="00395548" w:rsidP="00745188">
      <w:pPr>
        <w:pStyle w:val="Normal-Indent"/>
        <w:spacing w:before="240" w:after="240" w:line="240" w:lineRule="auto"/>
        <w:ind w:left="1440" w:hanging="720"/>
        <w:rPr>
          <w:rFonts w:ascii="Times New Roman" w:hAnsi="Times New Roman"/>
          <w:sz w:val="26"/>
          <w:szCs w:val="26"/>
        </w:rPr>
      </w:pPr>
      <w:r>
        <w:rPr>
          <w:rFonts w:ascii="Times New Roman" w:hAnsi="Times New Roman"/>
          <w:sz w:val="26"/>
          <w:szCs w:val="26"/>
        </w:rPr>
        <w:t>1</w:t>
      </w:r>
      <w:r w:rsidR="00C17FFA" w:rsidRPr="00CC0A57">
        <w:rPr>
          <w:rFonts w:ascii="Times New Roman" w:hAnsi="Times New Roman"/>
          <w:sz w:val="26"/>
          <w:szCs w:val="26"/>
        </w:rPr>
        <w:t>.</w:t>
      </w:r>
      <w:r w:rsidR="00C17FFA" w:rsidRPr="00CC0A57">
        <w:rPr>
          <w:rFonts w:ascii="Times New Roman" w:hAnsi="Times New Roman"/>
          <w:sz w:val="26"/>
          <w:szCs w:val="26"/>
        </w:rPr>
        <w:tab/>
        <w:t xml:space="preserve">Is it realistic to expect the moral aspirations of </w:t>
      </w:r>
      <w:r w:rsidR="006C00FE">
        <w:rPr>
          <w:rFonts w:ascii="Times New Roman" w:hAnsi="Times New Roman"/>
          <w:sz w:val="26"/>
          <w:szCs w:val="26"/>
        </w:rPr>
        <w:t xml:space="preserve">equity, of </w:t>
      </w:r>
      <w:r w:rsidR="00C17FFA" w:rsidRPr="00CC0A57">
        <w:rPr>
          <w:rFonts w:ascii="Times New Roman" w:hAnsi="Times New Roman"/>
          <w:sz w:val="26"/>
          <w:szCs w:val="26"/>
        </w:rPr>
        <w:t>the law of good conscience</w:t>
      </w:r>
      <w:r w:rsidR="006C00FE">
        <w:rPr>
          <w:rFonts w:ascii="Times New Roman" w:hAnsi="Times New Roman"/>
          <w:sz w:val="26"/>
          <w:szCs w:val="26"/>
        </w:rPr>
        <w:t>,</w:t>
      </w:r>
      <w:r w:rsidR="00C17FFA" w:rsidRPr="00CC0A57">
        <w:rPr>
          <w:rFonts w:ascii="Times New Roman" w:hAnsi="Times New Roman"/>
          <w:sz w:val="26"/>
          <w:szCs w:val="26"/>
        </w:rPr>
        <w:t xml:space="preserve"> to be fulfilled, that is, to have a positive influence on behaviour in the market place</w:t>
      </w:r>
      <w:r w:rsidR="006C00FE">
        <w:rPr>
          <w:rFonts w:ascii="Times New Roman" w:hAnsi="Times New Roman"/>
          <w:sz w:val="26"/>
          <w:szCs w:val="26"/>
        </w:rPr>
        <w:t>,</w:t>
      </w:r>
      <w:r w:rsidR="00C17FFA" w:rsidRPr="00CC0A57">
        <w:rPr>
          <w:rFonts w:ascii="Times New Roman" w:hAnsi="Times New Roman"/>
          <w:sz w:val="26"/>
          <w:szCs w:val="26"/>
        </w:rPr>
        <w:t xml:space="preserve"> by creating moral self-awareness?</w:t>
      </w:r>
    </w:p>
    <w:p w14:paraId="5A3A631F" w14:textId="51CE3ABE" w:rsidR="00395548" w:rsidRPr="00CC0A57" w:rsidRDefault="006C00FE" w:rsidP="004E636F">
      <w:pPr>
        <w:pStyle w:val="Normal-Indent"/>
        <w:spacing w:before="120" w:line="240" w:lineRule="auto"/>
        <w:ind w:left="1440" w:hanging="720"/>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t>If we as a community remain</w:t>
      </w:r>
      <w:r w:rsidR="00395548">
        <w:rPr>
          <w:rFonts w:ascii="Times New Roman" w:hAnsi="Times New Roman"/>
          <w:sz w:val="26"/>
          <w:szCs w:val="26"/>
        </w:rPr>
        <w:t xml:space="preserve"> committed to the maintenance of these moral standards, what more can the legal system do to advance them?</w:t>
      </w:r>
    </w:p>
    <w:p w14:paraId="3788552D" w14:textId="3717313D" w:rsidR="00C17FFA" w:rsidRDefault="00C17FFA" w:rsidP="00C17FFA">
      <w:pPr>
        <w:pStyle w:val="Normal-Indent"/>
        <w:spacing w:before="240" w:after="240" w:line="240" w:lineRule="auto"/>
        <w:ind w:left="0" w:hanging="720"/>
        <w:rPr>
          <w:rFonts w:ascii="Times New Roman" w:hAnsi="Times New Roman"/>
          <w:sz w:val="26"/>
          <w:szCs w:val="26"/>
        </w:rPr>
      </w:pPr>
      <w:r w:rsidRPr="00CC0A57">
        <w:rPr>
          <w:rFonts w:ascii="Times New Roman" w:hAnsi="Times New Roman"/>
          <w:sz w:val="26"/>
          <w:szCs w:val="26"/>
        </w:rPr>
        <w:tab/>
        <w:t>Before I address these questions, I wish to emphasise that both my i</w:t>
      </w:r>
      <w:r w:rsidR="00B33EFF">
        <w:rPr>
          <w:rFonts w:ascii="Times New Roman" w:hAnsi="Times New Roman"/>
          <w:sz w:val="26"/>
          <w:szCs w:val="26"/>
        </w:rPr>
        <w:t>nitial interest in this subject</w:t>
      </w:r>
      <w:r w:rsidRPr="00CC0A57">
        <w:rPr>
          <w:rFonts w:ascii="Times New Roman" w:hAnsi="Times New Roman"/>
          <w:sz w:val="26"/>
          <w:szCs w:val="26"/>
        </w:rPr>
        <w:t xml:space="preserve"> and my more recent</w:t>
      </w:r>
      <w:r w:rsidR="00B33EFF">
        <w:rPr>
          <w:rFonts w:ascii="Times New Roman" w:hAnsi="Times New Roman"/>
          <w:sz w:val="26"/>
          <w:szCs w:val="26"/>
        </w:rPr>
        <w:t xml:space="preserve"> thinking about these questions</w:t>
      </w:r>
      <w:r w:rsidRPr="00CC0A57">
        <w:rPr>
          <w:rFonts w:ascii="Times New Roman" w:hAnsi="Times New Roman"/>
          <w:sz w:val="26"/>
          <w:szCs w:val="26"/>
        </w:rPr>
        <w:t xml:space="preserve"> have been stimulated and enriched by the work of four academic writers, namely:</w:t>
      </w:r>
    </w:p>
    <w:p w14:paraId="0438743F" w14:textId="468E54CD" w:rsidR="00C17FFA" w:rsidRPr="00CC0A57" w:rsidRDefault="00C17FFA" w:rsidP="004E636F">
      <w:pPr>
        <w:pStyle w:val="Bullet"/>
        <w:numPr>
          <w:ilvl w:val="0"/>
          <w:numId w:val="0"/>
        </w:numPr>
        <w:spacing w:line="240" w:lineRule="auto"/>
        <w:ind w:left="1440" w:right="0" w:hanging="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CC0A57">
        <w:rPr>
          <w:rFonts w:ascii="Times New Roman" w:hAnsi="Times New Roman"/>
          <w:sz w:val="26"/>
          <w:szCs w:val="26"/>
        </w:rPr>
        <w:t xml:space="preserve">Professor Paul Finn (later a Justice of the Federal Court), whose 1989 article, </w:t>
      </w:r>
      <w:r w:rsidR="007B2AB3">
        <w:rPr>
          <w:rFonts w:ascii="Times New Roman" w:hAnsi="Times New Roman"/>
          <w:sz w:val="26"/>
          <w:szCs w:val="26"/>
        </w:rPr>
        <w:t>“</w:t>
      </w:r>
      <w:r w:rsidRPr="00CC0A57">
        <w:rPr>
          <w:rFonts w:ascii="Times New Roman" w:hAnsi="Times New Roman"/>
          <w:sz w:val="26"/>
          <w:szCs w:val="26"/>
        </w:rPr>
        <w:t>Commerce, The Common Law and Morality</w:t>
      </w:r>
      <w:r w:rsidR="007B2AB3">
        <w:rPr>
          <w:rFonts w:ascii="Times New Roman" w:hAnsi="Times New Roman"/>
          <w:sz w:val="26"/>
          <w:szCs w:val="26"/>
        </w:rPr>
        <w:t>”</w:t>
      </w:r>
      <w:r w:rsidRPr="00CC0A57">
        <w:rPr>
          <w:rFonts w:ascii="Times New Roman" w:hAnsi="Times New Roman"/>
          <w:sz w:val="26"/>
          <w:szCs w:val="26"/>
        </w:rPr>
        <w:t>, first set me thinking;</w:t>
      </w:r>
      <w:r w:rsidRPr="00CC0A57">
        <w:rPr>
          <w:rStyle w:val="FootnoteReference"/>
          <w:rFonts w:ascii="Times New Roman" w:hAnsi="Times New Roman"/>
          <w:sz w:val="26"/>
          <w:szCs w:val="26"/>
        </w:rPr>
        <w:footnoteReference w:id="8"/>
      </w:r>
    </w:p>
    <w:p w14:paraId="04D040A6" w14:textId="3A6917C3" w:rsidR="00C17FFA" w:rsidRPr="00CC0A57" w:rsidRDefault="00C17FFA" w:rsidP="004E636F">
      <w:pPr>
        <w:pStyle w:val="Bullet"/>
        <w:numPr>
          <w:ilvl w:val="0"/>
          <w:numId w:val="0"/>
        </w:numPr>
        <w:tabs>
          <w:tab w:val="clear" w:pos="2160"/>
        </w:tabs>
        <w:spacing w:line="240" w:lineRule="auto"/>
        <w:ind w:left="1440" w:right="0" w:hanging="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CC0A57">
        <w:rPr>
          <w:rFonts w:ascii="Times New Roman" w:hAnsi="Times New Roman"/>
          <w:sz w:val="26"/>
          <w:szCs w:val="26"/>
        </w:rPr>
        <w:t>Professor Matthew Harding of Melbourne Law School, who has written extensively on the law of equity, and on equity and the rule of law;</w:t>
      </w:r>
    </w:p>
    <w:p w14:paraId="444CD6C7" w14:textId="5C179F2B" w:rsidR="00C17FFA" w:rsidRPr="00CC0A57" w:rsidRDefault="00C17FFA" w:rsidP="004E636F">
      <w:pPr>
        <w:pStyle w:val="Bullet"/>
        <w:numPr>
          <w:ilvl w:val="0"/>
          <w:numId w:val="0"/>
        </w:numPr>
        <w:spacing w:line="240" w:lineRule="auto"/>
        <w:ind w:left="1440" w:right="0" w:hanging="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CC0A57">
        <w:rPr>
          <w:rFonts w:ascii="Times New Roman" w:hAnsi="Times New Roman"/>
          <w:sz w:val="26"/>
          <w:szCs w:val="26"/>
        </w:rPr>
        <w:t xml:space="preserve">Dr Irit Samet, Reader in Private Law at King’s College London, whose 2018 book entitled </w:t>
      </w:r>
      <w:r w:rsidR="007B2AB3">
        <w:rPr>
          <w:rFonts w:ascii="Times New Roman" w:hAnsi="Times New Roman"/>
          <w:sz w:val="26"/>
          <w:szCs w:val="26"/>
        </w:rPr>
        <w:t>“</w:t>
      </w:r>
      <w:r w:rsidRPr="00CC0A57">
        <w:rPr>
          <w:rFonts w:ascii="Times New Roman" w:hAnsi="Times New Roman"/>
          <w:sz w:val="26"/>
          <w:szCs w:val="26"/>
        </w:rPr>
        <w:t>Equity – Conscience Goes To Market</w:t>
      </w:r>
      <w:r w:rsidR="007B2AB3">
        <w:rPr>
          <w:rFonts w:ascii="Times New Roman" w:hAnsi="Times New Roman"/>
          <w:sz w:val="26"/>
          <w:szCs w:val="26"/>
        </w:rPr>
        <w:t>”</w:t>
      </w:r>
      <w:r w:rsidRPr="00CC0A57">
        <w:rPr>
          <w:rStyle w:val="FootnoteReference"/>
          <w:rFonts w:ascii="Times New Roman" w:hAnsi="Times New Roman"/>
          <w:sz w:val="26"/>
          <w:szCs w:val="26"/>
        </w:rPr>
        <w:footnoteReference w:id="9"/>
      </w:r>
      <w:r w:rsidRPr="00CC0A57">
        <w:rPr>
          <w:rFonts w:ascii="Times New Roman" w:hAnsi="Times New Roman"/>
          <w:sz w:val="26"/>
          <w:szCs w:val="26"/>
        </w:rPr>
        <w:t xml:space="preserve"> helped me </w:t>
      </w:r>
      <w:r w:rsidR="00524F5D">
        <w:rPr>
          <w:rFonts w:ascii="Times New Roman" w:hAnsi="Times New Roman"/>
          <w:sz w:val="26"/>
          <w:szCs w:val="26"/>
        </w:rPr>
        <w:t xml:space="preserve">to </w:t>
      </w:r>
      <w:r w:rsidRPr="00CC0A57">
        <w:rPr>
          <w:rFonts w:ascii="Times New Roman" w:hAnsi="Times New Roman"/>
          <w:sz w:val="26"/>
          <w:szCs w:val="26"/>
        </w:rPr>
        <w:t>understand equity’s moral aspirations;  and</w:t>
      </w:r>
    </w:p>
    <w:p w14:paraId="52D86C27" w14:textId="42FFE100" w:rsidR="00C17FFA" w:rsidRPr="00CC0A57" w:rsidRDefault="00C17FFA" w:rsidP="004E636F">
      <w:pPr>
        <w:pStyle w:val="Bullet"/>
        <w:numPr>
          <w:ilvl w:val="0"/>
          <w:numId w:val="0"/>
        </w:numPr>
        <w:spacing w:line="240" w:lineRule="auto"/>
        <w:ind w:left="1440" w:right="0" w:hanging="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CC0A57">
        <w:rPr>
          <w:rFonts w:ascii="Times New Roman" w:hAnsi="Times New Roman"/>
          <w:sz w:val="26"/>
          <w:szCs w:val="26"/>
        </w:rPr>
        <w:t xml:space="preserve">Dr Sinead Agnew, a lecturer in property law at University College London, whose 2018 article, </w:t>
      </w:r>
      <w:r w:rsidR="007B2AB3">
        <w:rPr>
          <w:rFonts w:ascii="Times New Roman" w:hAnsi="Times New Roman"/>
          <w:sz w:val="26"/>
          <w:szCs w:val="26"/>
        </w:rPr>
        <w:t>“</w:t>
      </w:r>
      <w:r w:rsidRPr="00CC0A57">
        <w:rPr>
          <w:rFonts w:ascii="Times New Roman" w:hAnsi="Times New Roman"/>
          <w:sz w:val="26"/>
          <w:szCs w:val="26"/>
        </w:rPr>
        <w:t>The Meaning and Significance of Conscience in Private Law</w:t>
      </w:r>
      <w:r w:rsidR="007B2AB3">
        <w:rPr>
          <w:rFonts w:ascii="Times New Roman" w:hAnsi="Times New Roman"/>
          <w:sz w:val="26"/>
          <w:szCs w:val="26"/>
        </w:rPr>
        <w:t>”</w:t>
      </w:r>
      <w:r w:rsidRPr="00CC0A57">
        <w:rPr>
          <w:rStyle w:val="FootnoteReference"/>
          <w:rFonts w:ascii="Times New Roman" w:hAnsi="Times New Roman"/>
          <w:sz w:val="26"/>
          <w:szCs w:val="26"/>
        </w:rPr>
        <w:footnoteReference w:id="10"/>
      </w:r>
      <w:r w:rsidRPr="00CC0A57">
        <w:rPr>
          <w:rFonts w:ascii="Times New Roman" w:hAnsi="Times New Roman"/>
          <w:sz w:val="26"/>
          <w:szCs w:val="26"/>
        </w:rPr>
        <w:t xml:space="preserve"> illuminated the multiple ways in which the concept of conscience is brought to bear in private law doctrines.</w:t>
      </w:r>
    </w:p>
    <w:p w14:paraId="53BA0888" w14:textId="77777777" w:rsidR="00C17FFA" w:rsidRPr="00CC0A57" w:rsidRDefault="00C17FFA" w:rsidP="007E0879">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I mention these academics not to cloak what I am about to say with any particular intellectual respectability but rather to underline a point which I find myself repeating quite often these days, namely, that the work of practising lawyers and judges is </w:t>
      </w:r>
      <w:r w:rsidRPr="00CC0A57">
        <w:rPr>
          <w:rFonts w:ascii="Times New Roman" w:hAnsi="Times New Roman"/>
          <w:sz w:val="26"/>
          <w:szCs w:val="26"/>
        </w:rPr>
        <w:lastRenderedPageBreak/>
        <w:t>immensely enhanced by the work of legal academics.</w:t>
      </w:r>
    </w:p>
    <w:p w14:paraId="63139B94" w14:textId="205F9055" w:rsidR="00524F5D" w:rsidRDefault="00395548" w:rsidP="007E0879">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The work of the </w:t>
      </w:r>
      <w:r w:rsidR="006C00FE">
        <w:rPr>
          <w:rFonts w:ascii="Times New Roman" w:hAnsi="Times New Roman"/>
          <w:sz w:val="26"/>
          <w:szCs w:val="26"/>
        </w:rPr>
        <w:t xml:space="preserve">Victorian </w:t>
      </w:r>
      <w:r>
        <w:rPr>
          <w:rFonts w:ascii="Times New Roman" w:hAnsi="Times New Roman"/>
          <w:sz w:val="26"/>
          <w:szCs w:val="26"/>
        </w:rPr>
        <w:t xml:space="preserve">Court of Appeal is, as you may know, dominated by criminal appeals.  Fifty per cent of our work concerns appeals against sentence. </w:t>
      </w:r>
      <w:r w:rsidR="00C17FFA" w:rsidRPr="00CC0A57">
        <w:rPr>
          <w:rFonts w:ascii="Times New Roman" w:hAnsi="Times New Roman"/>
          <w:sz w:val="26"/>
          <w:szCs w:val="26"/>
        </w:rPr>
        <w:t xml:space="preserve"> </w:t>
      </w:r>
      <w:r w:rsidR="00735F58">
        <w:rPr>
          <w:rFonts w:ascii="Times New Roman" w:hAnsi="Times New Roman"/>
          <w:sz w:val="26"/>
          <w:szCs w:val="26"/>
        </w:rPr>
        <w:t>Questions of p</w:t>
      </w:r>
      <w:r w:rsidR="00C17FFA" w:rsidRPr="00CC0A57">
        <w:rPr>
          <w:rFonts w:ascii="Times New Roman" w:hAnsi="Times New Roman"/>
          <w:sz w:val="26"/>
          <w:szCs w:val="26"/>
        </w:rPr>
        <w:t xml:space="preserve">rivate law </w:t>
      </w:r>
      <w:r w:rsidR="00735F58">
        <w:rPr>
          <w:rFonts w:ascii="Times New Roman" w:hAnsi="Times New Roman"/>
          <w:sz w:val="26"/>
          <w:szCs w:val="26"/>
        </w:rPr>
        <w:t xml:space="preserve">doctrine </w:t>
      </w:r>
      <w:r w:rsidR="00C17FFA" w:rsidRPr="00CC0A57">
        <w:rPr>
          <w:rFonts w:ascii="Times New Roman" w:hAnsi="Times New Roman"/>
          <w:sz w:val="26"/>
          <w:szCs w:val="26"/>
        </w:rPr>
        <w:t xml:space="preserve">arise, at best, intermittently. </w:t>
      </w:r>
      <w:r>
        <w:rPr>
          <w:rFonts w:ascii="Times New Roman" w:hAnsi="Times New Roman"/>
          <w:sz w:val="26"/>
          <w:szCs w:val="26"/>
        </w:rPr>
        <w:t xml:space="preserve"> We had a special treat recently, with an appeal about the tort of conversion.</w:t>
      </w:r>
      <w:r>
        <w:rPr>
          <w:rStyle w:val="FootnoteReference"/>
          <w:rFonts w:ascii="Times New Roman" w:hAnsi="Times New Roman"/>
          <w:sz w:val="26"/>
          <w:szCs w:val="26"/>
        </w:rPr>
        <w:footnoteReference w:id="11"/>
      </w:r>
      <w:r w:rsidR="00C17FFA" w:rsidRPr="00CC0A57">
        <w:rPr>
          <w:rFonts w:ascii="Times New Roman" w:hAnsi="Times New Roman"/>
          <w:sz w:val="26"/>
          <w:szCs w:val="26"/>
        </w:rPr>
        <w:t xml:space="preserve"> </w:t>
      </w:r>
      <w:r>
        <w:rPr>
          <w:rFonts w:ascii="Times New Roman" w:hAnsi="Times New Roman"/>
          <w:sz w:val="26"/>
          <w:szCs w:val="26"/>
        </w:rPr>
        <w:t xml:space="preserve"> And t</w:t>
      </w:r>
      <w:r w:rsidR="00C17FFA" w:rsidRPr="00CC0A57">
        <w:rPr>
          <w:rFonts w:ascii="Times New Roman" w:hAnsi="Times New Roman"/>
          <w:sz w:val="26"/>
          <w:szCs w:val="26"/>
        </w:rPr>
        <w:t>here has been the merest sprinkling of unconscio</w:t>
      </w:r>
      <w:r w:rsidR="00524F5D">
        <w:rPr>
          <w:rFonts w:ascii="Times New Roman" w:hAnsi="Times New Roman"/>
          <w:sz w:val="26"/>
          <w:szCs w:val="26"/>
        </w:rPr>
        <w:t>nability appeals in my 14</w:t>
      </w:r>
      <w:r w:rsidR="00C17FFA" w:rsidRPr="00CC0A57">
        <w:rPr>
          <w:rFonts w:ascii="Times New Roman" w:hAnsi="Times New Roman"/>
          <w:sz w:val="26"/>
          <w:szCs w:val="26"/>
        </w:rPr>
        <w:t xml:space="preserve"> years at the Court of Appeal.  </w:t>
      </w:r>
    </w:p>
    <w:p w14:paraId="22E6269F" w14:textId="38BD0C18" w:rsidR="00C17FFA" w:rsidRPr="00CC0A57" w:rsidRDefault="00A32DBB" w:rsidP="007E0879">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I find that when I am </w:t>
      </w:r>
      <w:r w:rsidR="00C17FFA" w:rsidRPr="00CC0A57">
        <w:rPr>
          <w:rFonts w:ascii="Times New Roman" w:hAnsi="Times New Roman"/>
          <w:sz w:val="26"/>
          <w:szCs w:val="26"/>
        </w:rPr>
        <w:t>called on to adjudicate a particular case, it is of the greatest benefit to have th</w:t>
      </w:r>
      <w:r w:rsidR="00395548">
        <w:rPr>
          <w:rFonts w:ascii="Times New Roman" w:hAnsi="Times New Roman"/>
          <w:sz w:val="26"/>
          <w:szCs w:val="26"/>
        </w:rPr>
        <w:t>e assistance of academics.  Their</w:t>
      </w:r>
      <w:r w:rsidR="00C17FFA" w:rsidRPr="00CC0A57">
        <w:rPr>
          <w:rFonts w:ascii="Times New Roman" w:hAnsi="Times New Roman"/>
          <w:sz w:val="26"/>
          <w:szCs w:val="26"/>
        </w:rPr>
        <w:t xml:space="preserve"> systematic analysis of a body of law elucidates the governing principles, identifies trends in the development of the law and provides the essential context within which to approach the individual case.</w:t>
      </w:r>
      <w:r w:rsidR="00B33EFF">
        <w:rPr>
          <w:rFonts w:ascii="Times New Roman" w:hAnsi="Times New Roman"/>
          <w:sz w:val="26"/>
          <w:szCs w:val="26"/>
        </w:rPr>
        <w:t xml:space="preserve">  We need to ensure that, as judges, we are open to receiving that assistance and that, as practitioners, we are alert to draw relevant </w:t>
      </w:r>
      <w:r>
        <w:rPr>
          <w:rFonts w:ascii="Times New Roman" w:hAnsi="Times New Roman"/>
          <w:sz w:val="26"/>
          <w:szCs w:val="26"/>
        </w:rPr>
        <w:t xml:space="preserve">academic </w:t>
      </w:r>
      <w:r w:rsidR="00B33EFF">
        <w:rPr>
          <w:rFonts w:ascii="Times New Roman" w:hAnsi="Times New Roman"/>
          <w:sz w:val="26"/>
          <w:szCs w:val="26"/>
        </w:rPr>
        <w:t>materials to the court’s attention.</w:t>
      </w:r>
    </w:p>
    <w:p w14:paraId="726453BC" w14:textId="77777777" w:rsidR="00C17FFA" w:rsidRDefault="00C17FFA" w:rsidP="007E0879">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Let me begin with what I have called the aspirations of equity.  Dr Samet argues that the function of equity is to ensure, so far as possible, that a person’s legal liability should conform with </w:t>
      </w:r>
      <w:r>
        <w:rPr>
          <w:rFonts w:ascii="Times New Roman" w:hAnsi="Times New Roman"/>
          <w:sz w:val="26"/>
          <w:szCs w:val="26"/>
        </w:rPr>
        <w:t>“</w:t>
      </w:r>
      <w:r w:rsidRPr="00CC0A57">
        <w:rPr>
          <w:rFonts w:ascii="Times New Roman" w:hAnsi="Times New Roman"/>
          <w:sz w:val="26"/>
          <w:szCs w:val="26"/>
        </w:rPr>
        <w:t>the pattern of moral duty in the circumstances to which the rules apply</w:t>
      </w:r>
      <w:r>
        <w:rPr>
          <w:rFonts w:ascii="Times New Roman" w:hAnsi="Times New Roman"/>
          <w:sz w:val="26"/>
          <w:szCs w:val="26"/>
        </w:rPr>
        <w:t>”</w:t>
      </w:r>
      <w:r w:rsidRPr="00CC0A57">
        <w:rPr>
          <w:rFonts w:ascii="Times New Roman" w:hAnsi="Times New Roman"/>
          <w:sz w:val="26"/>
          <w:szCs w:val="26"/>
        </w:rPr>
        <w:t>.  In her view:</w:t>
      </w:r>
    </w:p>
    <w:p w14:paraId="0DED596C" w14:textId="1969601F" w:rsidR="00C17FFA" w:rsidRPr="00CC0A57" w:rsidRDefault="007B2AB3" w:rsidP="00C17FFA">
      <w:pPr>
        <w:pStyle w:val="Normal-Indent"/>
        <w:spacing w:line="240" w:lineRule="auto"/>
        <w:ind w:right="720"/>
        <w:rPr>
          <w:rFonts w:ascii="Times New Roman" w:hAnsi="Times New Roman"/>
          <w:sz w:val="26"/>
          <w:szCs w:val="26"/>
        </w:rPr>
      </w:pPr>
      <w:r>
        <w:rPr>
          <w:rFonts w:ascii="Times New Roman" w:hAnsi="Times New Roman"/>
          <w:sz w:val="26"/>
          <w:szCs w:val="26"/>
        </w:rPr>
        <w:t>“</w:t>
      </w:r>
      <w:r w:rsidR="00C17FFA" w:rsidRPr="00CC0A57">
        <w:rPr>
          <w:rFonts w:ascii="Times New Roman" w:hAnsi="Times New Roman"/>
          <w:sz w:val="26"/>
          <w:szCs w:val="26"/>
        </w:rPr>
        <w:t xml:space="preserve">The terminology of conscience also has an important </w:t>
      </w:r>
      <w:r w:rsidR="00C17FFA" w:rsidRPr="00CC0A57">
        <w:rPr>
          <w:rFonts w:ascii="Times New Roman" w:hAnsi="Times New Roman"/>
          <w:i/>
          <w:sz w:val="26"/>
          <w:szCs w:val="26"/>
        </w:rPr>
        <w:t>communicative</w:t>
      </w:r>
      <w:r w:rsidR="00C17FFA" w:rsidRPr="00CC0A57">
        <w:rPr>
          <w:rFonts w:ascii="Times New Roman" w:hAnsi="Times New Roman"/>
          <w:sz w:val="26"/>
          <w:szCs w:val="26"/>
        </w:rPr>
        <w:t xml:space="preserve"> function in that it alerts people to the fact that Equity takes serious consideration of the interpersonal morality aspect of their relationship with other players in the market.</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12"/>
      </w:r>
    </w:p>
    <w:p w14:paraId="658C3D1A" w14:textId="77777777" w:rsidR="00C17FFA" w:rsidRDefault="00C17FFA" w:rsidP="00C17FFA">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More strongly still, she argues that:</w:t>
      </w:r>
    </w:p>
    <w:p w14:paraId="5011097A" w14:textId="4220401E" w:rsidR="00C17FFA" w:rsidRPr="00CC0A57" w:rsidRDefault="004E636F" w:rsidP="00C17FFA">
      <w:pPr>
        <w:pStyle w:val="Normal-Indent"/>
        <w:spacing w:line="240" w:lineRule="auto"/>
        <w:ind w:right="720"/>
        <w:rPr>
          <w:rFonts w:ascii="Times New Roman" w:hAnsi="Times New Roman"/>
          <w:sz w:val="26"/>
          <w:szCs w:val="26"/>
        </w:rPr>
      </w:pPr>
      <w:r>
        <w:rPr>
          <w:rFonts w:ascii="Times New Roman" w:hAnsi="Times New Roman"/>
          <w:sz w:val="26"/>
          <w:szCs w:val="26"/>
        </w:rPr>
        <w:t>“</w:t>
      </w:r>
      <w:r w:rsidR="00C17FFA" w:rsidRPr="004E636F">
        <w:rPr>
          <w:rFonts w:ascii="Times New Roman" w:hAnsi="Times New Roman"/>
          <w:sz w:val="26"/>
          <w:szCs w:val="26"/>
        </w:rPr>
        <w:t>The</w:t>
      </w:r>
      <w:r w:rsidR="00C17FFA" w:rsidRPr="00CC0A57">
        <w:rPr>
          <w:rFonts w:ascii="Times New Roman" w:hAnsi="Times New Roman"/>
          <w:sz w:val="26"/>
          <w:szCs w:val="26"/>
        </w:rPr>
        <w:t xml:space="preserve"> use of a familiar term like conscience effectively communicates to the citizenry that they are expected to make full use of their capability as moral reasoners when they head off to market.</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13"/>
      </w:r>
    </w:p>
    <w:p w14:paraId="38A570E7" w14:textId="77777777" w:rsidR="00C17FFA" w:rsidRDefault="00C17FFA" w:rsidP="00C17FFA">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And again:</w:t>
      </w:r>
    </w:p>
    <w:p w14:paraId="3DE910C1" w14:textId="50F31B4C" w:rsidR="00C17FFA" w:rsidRPr="00CC0A57" w:rsidRDefault="007B2AB3" w:rsidP="00C17FFA">
      <w:pPr>
        <w:pStyle w:val="Normal-Indent"/>
        <w:spacing w:line="240" w:lineRule="auto"/>
        <w:ind w:right="720"/>
        <w:rPr>
          <w:rFonts w:ascii="Times New Roman" w:hAnsi="Times New Roman"/>
          <w:sz w:val="26"/>
          <w:szCs w:val="26"/>
        </w:rPr>
      </w:pPr>
      <w:r>
        <w:rPr>
          <w:rFonts w:ascii="Times New Roman" w:hAnsi="Times New Roman"/>
          <w:sz w:val="26"/>
          <w:szCs w:val="26"/>
        </w:rPr>
        <w:t>“</w:t>
      </w:r>
      <w:r w:rsidR="00C17FFA" w:rsidRPr="007B2AB3">
        <w:rPr>
          <w:rFonts w:ascii="Times New Roman" w:hAnsi="Times New Roman"/>
          <w:sz w:val="26"/>
          <w:szCs w:val="26"/>
        </w:rPr>
        <w:t>When</w:t>
      </w:r>
      <w:r w:rsidR="00C17FFA" w:rsidRPr="00CC0A57">
        <w:rPr>
          <w:rFonts w:ascii="Times New Roman" w:hAnsi="Times New Roman"/>
          <w:sz w:val="26"/>
          <w:szCs w:val="26"/>
        </w:rPr>
        <w:t xml:space="preserve"> it employs a term like </w:t>
      </w:r>
      <w:r>
        <w:rPr>
          <w:rFonts w:ascii="Times New Roman" w:hAnsi="Times New Roman"/>
          <w:sz w:val="26"/>
          <w:szCs w:val="26"/>
        </w:rPr>
        <w:t>‘</w:t>
      </w:r>
      <w:r w:rsidR="00C17FFA" w:rsidRPr="00CC0A57">
        <w:rPr>
          <w:rFonts w:ascii="Times New Roman" w:hAnsi="Times New Roman"/>
          <w:sz w:val="26"/>
          <w:szCs w:val="26"/>
        </w:rPr>
        <w:t>conscience</w:t>
      </w:r>
      <w:r>
        <w:rPr>
          <w:rFonts w:ascii="Times New Roman" w:hAnsi="Times New Roman"/>
          <w:sz w:val="26"/>
          <w:szCs w:val="26"/>
        </w:rPr>
        <w:t>’</w:t>
      </w:r>
      <w:r w:rsidR="00C17FFA" w:rsidRPr="00CC0A57">
        <w:rPr>
          <w:rFonts w:ascii="Times New Roman" w:hAnsi="Times New Roman"/>
          <w:sz w:val="26"/>
          <w:szCs w:val="26"/>
        </w:rPr>
        <w:t xml:space="preserve"> which is universally associated with morally oriented deliberation as a foundation for legal liability, Equity builds on the expressive power of law to send a strong message:  </w:t>
      </w:r>
      <w:r>
        <w:rPr>
          <w:rFonts w:ascii="Times New Roman" w:hAnsi="Times New Roman"/>
          <w:sz w:val="26"/>
          <w:szCs w:val="26"/>
        </w:rPr>
        <w:t>‘</w:t>
      </w:r>
      <w:r w:rsidR="00C17FFA" w:rsidRPr="00CC0A57">
        <w:rPr>
          <w:rFonts w:ascii="Times New Roman" w:hAnsi="Times New Roman"/>
          <w:sz w:val="26"/>
          <w:szCs w:val="26"/>
        </w:rPr>
        <w:t>the law expects you to rise above narrow considerations of self-interest when dealing with other market participants</w:t>
      </w:r>
      <w:r>
        <w:rPr>
          <w:rFonts w:ascii="Times New Roman" w:hAnsi="Times New Roman"/>
          <w:sz w:val="26"/>
          <w:szCs w:val="26"/>
        </w:rPr>
        <w:t>’</w:t>
      </w:r>
      <w:r w:rsidR="00C17FFA">
        <w:rPr>
          <w:rFonts w:ascii="Times New Roman" w:hAnsi="Times New Roman"/>
          <w:sz w:val="26"/>
          <w:szCs w:val="26"/>
        </w:rPr>
        <w:t>”</w:t>
      </w:r>
      <w:r w:rsidR="00C17FFA" w:rsidRPr="00CC0A57">
        <w:rPr>
          <w:rFonts w:ascii="Times New Roman" w:hAnsi="Times New Roman"/>
          <w:sz w:val="26"/>
          <w:szCs w:val="26"/>
        </w:rPr>
        <w:t>.</w:t>
      </w:r>
      <w:r w:rsidR="00C17FFA" w:rsidRPr="00CC0A57">
        <w:rPr>
          <w:rStyle w:val="FootnoteReference"/>
          <w:rFonts w:ascii="Times New Roman" w:hAnsi="Times New Roman"/>
          <w:sz w:val="26"/>
          <w:szCs w:val="26"/>
        </w:rPr>
        <w:footnoteReference w:id="14"/>
      </w:r>
    </w:p>
    <w:p w14:paraId="313496DA" w14:textId="77777777" w:rsidR="00C17FFA" w:rsidRDefault="00C17FFA" w:rsidP="00C17FFA">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Sinead Agnew argues that:</w:t>
      </w:r>
    </w:p>
    <w:p w14:paraId="498C01C3" w14:textId="1E947F4B" w:rsidR="00C17FFA" w:rsidRPr="00CC0A57" w:rsidRDefault="007B2AB3" w:rsidP="00C17FFA">
      <w:pPr>
        <w:pStyle w:val="Normal-Indent"/>
        <w:spacing w:line="240" w:lineRule="auto"/>
        <w:ind w:right="720"/>
        <w:rPr>
          <w:rFonts w:ascii="Times New Roman" w:hAnsi="Times New Roman"/>
          <w:sz w:val="26"/>
          <w:szCs w:val="26"/>
        </w:rPr>
      </w:pPr>
      <w:r>
        <w:rPr>
          <w:rFonts w:ascii="Times New Roman" w:hAnsi="Times New Roman"/>
          <w:sz w:val="26"/>
          <w:szCs w:val="26"/>
        </w:rPr>
        <w:t>“</w:t>
      </w:r>
      <w:r w:rsidR="00C17FFA" w:rsidRPr="00CC0A57">
        <w:rPr>
          <w:rFonts w:ascii="Times New Roman" w:hAnsi="Times New Roman"/>
          <w:sz w:val="26"/>
          <w:szCs w:val="26"/>
        </w:rPr>
        <w:t>The language of conscience has a valuable role to play in encouraging moral agency and contributing to the authority of private law.</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15"/>
      </w:r>
    </w:p>
    <w:p w14:paraId="1B2C6424" w14:textId="77777777" w:rsidR="00C17FFA" w:rsidRDefault="00C17FFA" w:rsidP="00C17FFA">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lastRenderedPageBreak/>
        <w:t>And further:</w:t>
      </w:r>
    </w:p>
    <w:p w14:paraId="110A8BCD" w14:textId="049BFEED" w:rsidR="00C17FFA" w:rsidRPr="00CC0A57" w:rsidRDefault="007B2AB3" w:rsidP="00C17FFA">
      <w:pPr>
        <w:pStyle w:val="Normal-Indent"/>
        <w:spacing w:line="240" w:lineRule="auto"/>
        <w:ind w:right="720"/>
        <w:rPr>
          <w:rFonts w:ascii="Times New Roman" w:hAnsi="Times New Roman"/>
          <w:sz w:val="26"/>
          <w:szCs w:val="26"/>
        </w:rPr>
      </w:pPr>
      <w:r>
        <w:rPr>
          <w:rFonts w:ascii="Times New Roman" w:hAnsi="Times New Roman"/>
          <w:sz w:val="26"/>
          <w:szCs w:val="26"/>
        </w:rPr>
        <w:t>“</w:t>
      </w:r>
      <w:r w:rsidR="00C17FFA" w:rsidRPr="00CC0A57">
        <w:rPr>
          <w:rFonts w:ascii="Times New Roman" w:hAnsi="Times New Roman"/>
          <w:sz w:val="26"/>
          <w:szCs w:val="26"/>
        </w:rPr>
        <w:t>The language of conscience suggests that if the defendant has knowledge of the relevant facts, this activates her capacity for moral reasoning.  It is only through the process of moral reasoning — namely through the operation of her conscience — that she can work out what she ought, morally, to do in the circumstances.</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16"/>
      </w:r>
    </w:p>
    <w:p w14:paraId="5CA1FF54" w14:textId="77777777" w:rsidR="00C17FFA" w:rsidRDefault="00C17FFA" w:rsidP="00C17FFA">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Matthew Harding refers to this as the </w:t>
      </w:r>
      <w:r>
        <w:rPr>
          <w:rFonts w:ascii="Times New Roman" w:hAnsi="Times New Roman"/>
          <w:sz w:val="26"/>
          <w:szCs w:val="26"/>
        </w:rPr>
        <w:t>“</w:t>
      </w:r>
      <w:r w:rsidRPr="00CC0A57">
        <w:rPr>
          <w:rFonts w:ascii="Times New Roman" w:hAnsi="Times New Roman"/>
          <w:sz w:val="26"/>
          <w:szCs w:val="26"/>
        </w:rPr>
        <w:t>expressive function</w:t>
      </w:r>
      <w:r>
        <w:rPr>
          <w:rFonts w:ascii="Times New Roman" w:hAnsi="Times New Roman"/>
          <w:sz w:val="26"/>
          <w:szCs w:val="26"/>
        </w:rPr>
        <w:t>”</w:t>
      </w:r>
      <w:r w:rsidRPr="00CC0A57">
        <w:rPr>
          <w:rFonts w:ascii="Times New Roman" w:hAnsi="Times New Roman"/>
          <w:sz w:val="26"/>
          <w:szCs w:val="26"/>
        </w:rPr>
        <w:t xml:space="preserve"> of law.  In his view:</w:t>
      </w:r>
    </w:p>
    <w:p w14:paraId="4DCD1AC6" w14:textId="34891AF7" w:rsidR="00C17FFA" w:rsidRPr="00CC0A57" w:rsidRDefault="007B2AB3" w:rsidP="00C17FFA">
      <w:pPr>
        <w:pStyle w:val="Normal-Indent"/>
        <w:spacing w:line="240" w:lineRule="auto"/>
        <w:ind w:right="720"/>
        <w:rPr>
          <w:rFonts w:ascii="Times New Roman" w:hAnsi="Times New Roman"/>
          <w:sz w:val="26"/>
          <w:szCs w:val="26"/>
        </w:rPr>
      </w:pPr>
      <w:r>
        <w:rPr>
          <w:rFonts w:ascii="Times New Roman" w:hAnsi="Times New Roman"/>
          <w:sz w:val="26"/>
          <w:szCs w:val="26"/>
        </w:rPr>
        <w:t>“</w:t>
      </w:r>
      <w:r w:rsidR="00C17FFA" w:rsidRPr="007B2AB3">
        <w:rPr>
          <w:rFonts w:ascii="Times New Roman" w:hAnsi="Times New Roman"/>
          <w:sz w:val="26"/>
          <w:szCs w:val="26"/>
        </w:rPr>
        <w:t>Equitable</w:t>
      </w:r>
      <w:r w:rsidR="00C17FFA" w:rsidRPr="00CC0A57">
        <w:rPr>
          <w:rFonts w:ascii="Times New Roman" w:hAnsi="Times New Roman"/>
          <w:sz w:val="26"/>
          <w:szCs w:val="26"/>
        </w:rPr>
        <w:t xml:space="preserve"> doctrine may guide conduct by creating conditions in which citizens are encouraged and expected to engage in moral deliberation and take responsibility for their own actions in accordance with law.</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17"/>
      </w:r>
    </w:p>
    <w:p w14:paraId="5088EEED" w14:textId="6E79D910"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As I indicated, the</w:t>
      </w:r>
      <w:r w:rsidR="006C00FE">
        <w:rPr>
          <w:rFonts w:ascii="Times New Roman" w:hAnsi="Times New Roman"/>
          <w:sz w:val="26"/>
          <w:szCs w:val="26"/>
        </w:rPr>
        <w:t xml:space="preserve"> issue to which I will return </w:t>
      </w:r>
      <w:r w:rsidR="00745188">
        <w:rPr>
          <w:rFonts w:ascii="Times New Roman" w:hAnsi="Times New Roman"/>
          <w:sz w:val="26"/>
          <w:szCs w:val="26"/>
        </w:rPr>
        <w:t xml:space="preserve">is </w:t>
      </w:r>
      <w:r w:rsidRPr="00CC0A57">
        <w:rPr>
          <w:rFonts w:ascii="Times New Roman" w:hAnsi="Times New Roman"/>
          <w:sz w:val="26"/>
          <w:szCs w:val="26"/>
        </w:rPr>
        <w:t>whether this is a</w:t>
      </w:r>
      <w:r w:rsidR="00735F58">
        <w:rPr>
          <w:rFonts w:ascii="Times New Roman" w:hAnsi="Times New Roman"/>
          <w:sz w:val="26"/>
          <w:szCs w:val="26"/>
        </w:rPr>
        <w:t xml:space="preserve"> realistic</w:t>
      </w:r>
      <w:r w:rsidRPr="00CC0A57">
        <w:rPr>
          <w:rFonts w:ascii="Times New Roman" w:hAnsi="Times New Roman"/>
          <w:sz w:val="26"/>
          <w:szCs w:val="26"/>
        </w:rPr>
        <w:t xml:space="preserve"> aspiration for the law</w:t>
      </w:r>
      <w:r w:rsidR="00735F58">
        <w:rPr>
          <w:rFonts w:ascii="Times New Roman" w:hAnsi="Times New Roman"/>
          <w:sz w:val="26"/>
          <w:szCs w:val="26"/>
        </w:rPr>
        <w:t>.</w:t>
      </w:r>
      <w:r w:rsidRPr="00CC0A57">
        <w:rPr>
          <w:rFonts w:ascii="Times New Roman" w:hAnsi="Times New Roman"/>
          <w:sz w:val="26"/>
          <w:szCs w:val="26"/>
        </w:rPr>
        <w:t xml:space="preserve">  The shocking reports we have all read about</w:t>
      </w:r>
      <w:r w:rsidR="00B33EFF">
        <w:rPr>
          <w:rFonts w:ascii="Times New Roman" w:hAnsi="Times New Roman"/>
          <w:sz w:val="26"/>
          <w:szCs w:val="26"/>
        </w:rPr>
        <w:t xml:space="preserve"> large-scale and</w:t>
      </w:r>
      <w:r w:rsidRPr="00CC0A57">
        <w:rPr>
          <w:rFonts w:ascii="Times New Roman" w:hAnsi="Times New Roman"/>
          <w:sz w:val="26"/>
          <w:szCs w:val="26"/>
        </w:rPr>
        <w:t xml:space="preserve"> </w:t>
      </w:r>
      <w:r w:rsidR="00735F58">
        <w:rPr>
          <w:rFonts w:ascii="Times New Roman" w:hAnsi="Times New Roman"/>
          <w:sz w:val="26"/>
          <w:szCs w:val="26"/>
        </w:rPr>
        <w:t>widespread</w:t>
      </w:r>
      <w:r w:rsidRPr="00CC0A57">
        <w:rPr>
          <w:rFonts w:ascii="Times New Roman" w:hAnsi="Times New Roman"/>
          <w:sz w:val="26"/>
          <w:szCs w:val="26"/>
        </w:rPr>
        <w:t xml:space="preserve"> unethical behaviour in the financial services industry would tend to suggest that not very much moral reasoning</w:t>
      </w:r>
      <w:r w:rsidR="00524F5D">
        <w:rPr>
          <w:rFonts w:ascii="Times New Roman" w:hAnsi="Times New Roman"/>
          <w:sz w:val="26"/>
          <w:szCs w:val="26"/>
        </w:rPr>
        <w:t xml:space="preserve"> has been</w:t>
      </w:r>
      <w:r w:rsidRPr="00CC0A57">
        <w:rPr>
          <w:rFonts w:ascii="Times New Roman" w:hAnsi="Times New Roman"/>
          <w:sz w:val="26"/>
          <w:szCs w:val="26"/>
        </w:rPr>
        <w:t xml:space="preserve"> going on there.  </w:t>
      </w:r>
      <w:r w:rsidR="00395548">
        <w:rPr>
          <w:rFonts w:ascii="Times New Roman" w:hAnsi="Times New Roman"/>
          <w:sz w:val="26"/>
          <w:szCs w:val="26"/>
        </w:rPr>
        <w:t xml:space="preserve">The dictates of good conscience do not appear to have </w:t>
      </w:r>
      <w:r w:rsidR="00735F58">
        <w:rPr>
          <w:rFonts w:ascii="Times New Roman" w:hAnsi="Times New Roman"/>
          <w:sz w:val="26"/>
          <w:szCs w:val="26"/>
        </w:rPr>
        <w:t xml:space="preserve">held much sway </w:t>
      </w:r>
      <w:r w:rsidR="00395548">
        <w:rPr>
          <w:rFonts w:ascii="Times New Roman" w:hAnsi="Times New Roman"/>
          <w:sz w:val="26"/>
          <w:szCs w:val="26"/>
        </w:rPr>
        <w:t xml:space="preserve">when decisions have been made by service providers </w:t>
      </w:r>
      <w:r w:rsidRPr="00CC0A57">
        <w:rPr>
          <w:rFonts w:ascii="Times New Roman" w:hAnsi="Times New Roman"/>
          <w:sz w:val="26"/>
          <w:szCs w:val="26"/>
        </w:rPr>
        <w:t>about what sorts of transactions to embark on, which sorts of customers to engage with</w:t>
      </w:r>
      <w:r w:rsidR="00524F5D">
        <w:rPr>
          <w:rFonts w:ascii="Times New Roman" w:hAnsi="Times New Roman"/>
          <w:sz w:val="26"/>
          <w:szCs w:val="26"/>
        </w:rPr>
        <w:t xml:space="preserve"> or</w:t>
      </w:r>
      <w:r w:rsidRPr="00CC0A57">
        <w:rPr>
          <w:rFonts w:ascii="Times New Roman" w:hAnsi="Times New Roman"/>
          <w:sz w:val="26"/>
          <w:szCs w:val="26"/>
        </w:rPr>
        <w:t xml:space="preserve"> what marketing and selling techniques are to be adopted.</w:t>
      </w:r>
    </w:p>
    <w:p w14:paraId="1C5372E1" w14:textId="6D1BA320" w:rsidR="00735F58" w:rsidRDefault="006C00FE"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Is that a failing in the law, either as </w:t>
      </w:r>
      <w:r w:rsidR="00B33EFF">
        <w:rPr>
          <w:rFonts w:ascii="Times New Roman" w:hAnsi="Times New Roman"/>
          <w:sz w:val="26"/>
          <w:szCs w:val="26"/>
        </w:rPr>
        <w:t>enacted</w:t>
      </w:r>
      <w:r>
        <w:rPr>
          <w:rFonts w:ascii="Times New Roman" w:hAnsi="Times New Roman"/>
          <w:sz w:val="26"/>
          <w:szCs w:val="26"/>
        </w:rPr>
        <w:t xml:space="preserve"> or as applied?  Even if it is not, could the law — meaning</w:t>
      </w:r>
      <w:r w:rsidR="00B33EFF">
        <w:rPr>
          <w:rFonts w:ascii="Times New Roman" w:hAnsi="Times New Roman"/>
          <w:sz w:val="26"/>
          <w:szCs w:val="26"/>
        </w:rPr>
        <w:t>,</w:t>
      </w:r>
      <w:r>
        <w:rPr>
          <w:rFonts w:ascii="Times New Roman" w:hAnsi="Times New Roman"/>
          <w:sz w:val="26"/>
          <w:szCs w:val="26"/>
        </w:rPr>
        <w:t xml:space="preserve"> in particular</w:t>
      </w:r>
      <w:r w:rsidR="00B33EFF">
        <w:rPr>
          <w:rFonts w:ascii="Times New Roman" w:hAnsi="Times New Roman"/>
          <w:sz w:val="26"/>
          <w:szCs w:val="26"/>
        </w:rPr>
        <w:t>,</w:t>
      </w:r>
      <w:r>
        <w:rPr>
          <w:rFonts w:ascii="Times New Roman" w:hAnsi="Times New Roman"/>
          <w:sz w:val="26"/>
          <w:szCs w:val="26"/>
        </w:rPr>
        <w:t xml:space="preserve"> judges and practitioners — do more?</w:t>
      </w:r>
      <w:r w:rsidR="00C17FFA" w:rsidRPr="00CC0A57">
        <w:rPr>
          <w:rFonts w:ascii="Times New Roman" w:hAnsi="Times New Roman"/>
          <w:sz w:val="26"/>
          <w:szCs w:val="26"/>
        </w:rPr>
        <w:t xml:space="preserve">  That is obviously an important question.</w:t>
      </w:r>
      <w:r w:rsidR="00735F58">
        <w:rPr>
          <w:rFonts w:ascii="Times New Roman" w:hAnsi="Times New Roman"/>
          <w:sz w:val="26"/>
          <w:szCs w:val="26"/>
        </w:rPr>
        <w:t xml:space="preserve">  </w:t>
      </w:r>
      <w:r w:rsidR="00395548">
        <w:rPr>
          <w:rFonts w:ascii="Times New Roman" w:hAnsi="Times New Roman"/>
          <w:sz w:val="26"/>
          <w:szCs w:val="26"/>
        </w:rPr>
        <w:t xml:space="preserve">Are lawyers sufficiently </w:t>
      </w:r>
      <w:r>
        <w:rPr>
          <w:rFonts w:ascii="Times New Roman" w:hAnsi="Times New Roman"/>
          <w:sz w:val="26"/>
          <w:szCs w:val="26"/>
        </w:rPr>
        <w:t>emphasising</w:t>
      </w:r>
      <w:r w:rsidR="00395548">
        <w:rPr>
          <w:rFonts w:ascii="Times New Roman" w:hAnsi="Times New Roman"/>
          <w:sz w:val="26"/>
          <w:szCs w:val="26"/>
        </w:rPr>
        <w:t xml:space="preserve"> to their commercial clients the moral content of the laws with which they </w:t>
      </w:r>
      <w:r>
        <w:rPr>
          <w:rFonts w:ascii="Times New Roman" w:hAnsi="Times New Roman"/>
          <w:sz w:val="26"/>
          <w:szCs w:val="26"/>
        </w:rPr>
        <w:t>are required</w:t>
      </w:r>
      <w:r w:rsidR="00395548">
        <w:rPr>
          <w:rFonts w:ascii="Times New Roman" w:hAnsi="Times New Roman"/>
          <w:sz w:val="26"/>
          <w:szCs w:val="26"/>
        </w:rPr>
        <w:t xml:space="preserve"> to comply?  Are the courts applying these provisions as the legislature intended?  </w:t>
      </w:r>
    </w:p>
    <w:p w14:paraId="3042E180" w14:textId="5C1C6BB4"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As</w:t>
      </w:r>
      <w:r w:rsidR="00B33EFF">
        <w:rPr>
          <w:rFonts w:ascii="Times New Roman" w:hAnsi="Times New Roman"/>
          <w:sz w:val="26"/>
          <w:szCs w:val="26"/>
        </w:rPr>
        <w:t xml:space="preserve"> the Royal Commission demonstrated</w:t>
      </w:r>
      <w:r w:rsidRPr="00CC0A57">
        <w:rPr>
          <w:rFonts w:ascii="Times New Roman" w:hAnsi="Times New Roman"/>
          <w:sz w:val="26"/>
          <w:szCs w:val="26"/>
        </w:rPr>
        <w:t>, the question of whether, and when, regulators take legal action against market players is critical to the maintenance of proper standards of commercial conduct.  Inevitably, for them, the question is:  how will the judge respond to a claim of unconscionable conduct?</w:t>
      </w:r>
      <w:r w:rsidR="00735F58">
        <w:rPr>
          <w:rFonts w:ascii="Times New Roman" w:hAnsi="Times New Roman"/>
          <w:sz w:val="26"/>
          <w:szCs w:val="26"/>
        </w:rPr>
        <w:t xml:space="preserve">  (I note that ASIC has just commenced proceedings against ANZ in the Federal Court, alleging that the bank engaged in unconscionable conduct by charging certain fees when it knew that it was unlawful to do so or</w:t>
      </w:r>
      <w:r w:rsidR="00A32DBB">
        <w:rPr>
          <w:rFonts w:ascii="Times New Roman" w:hAnsi="Times New Roman"/>
          <w:sz w:val="26"/>
          <w:szCs w:val="26"/>
        </w:rPr>
        <w:t xml:space="preserve"> knew that there was a risk of its</w:t>
      </w:r>
      <w:r w:rsidR="00735F58">
        <w:rPr>
          <w:rFonts w:ascii="Times New Roman" w:hAnsi="Times New Roman"/>
          <w:sz w:val="26"/>
          <w:szCs w:val="26"/>
        </w:rPr>
        <w:t xml:space="preserve"> being unlawful.)</w:t>
      </w:r>
    </w:p>
    <w:p w14:paraId="10D1B874" w14:textId="3CA7DD0F" w:rsidR="00C17FFA" w:rsidRPr="00CC0A57" w:rsidRDefault="00524F5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Let me pause to say a little more about the legal framework.  In </w:t>
      </w:r>
      <w:r>
        <w:rPr>
          <w:rFonts w:ascii="Times New Roman" w:hAnsi="Times New Roman"/>
          <w:i/>
          <w:sz w:val="26"/>
          <w:szCs w:val="26"/>
        </w:rPr>
        <w:t>Amadio</w:t>
      </w:r>
      <w:r w:rsidR="00C17FFA" w:rsidRPr="00CC0A57">
        <w:rPr>
          <w:rFonts w:ascii="Times New Roman" w:hAnsi="Times New Roman"/>
          <w:sz w:val="26"/>
          <w:szCs w:val="26"/>
        </w:rPr>
        <w:t>, as many of you will recall, the High Court held that the bank could not enforce a mortgage which Mr and Mrs Amadio had given in order to support an overdraft increase for their son’s failing business.  It was held to be unenforceable because the bank’s conduct in the transaction was jud</w:t>
      </w:r>
      <w:r w:rsidR="006C00FE">
        <w:rPr>
          <w:rFonts w:ascii="Times New Roman" w:hAnsi="Times New Roman"/>
          <w:sz w:val="26"/>
          <w:szCs w:val="26"/>
        </w:rPr>
        <w:t>ged to have been unconscionable, since</w:t>
      </w:r>
      <w:r w:rsidR="00C17FFA" w:rsidRPr="00CC0A57">
        <w:rPr>
          <w:rFonts w:ascii="Times New Roman" w:hAnsi="Times New Roman"/>
          <w:sz w:val="26"/>
          <w:szCs w:val="26"/>
        </w:rPr>
        <w:t>:</w:t>
      </w:r>
    </w:p>
    <w:p w14:paraId="589E0285" w14:textId="77777777" w:rsidR="00C17FFA" w:rsidRPr="00CC0A57" w:rsidRDefault="00C17FFA" w:rsidP="00745188">
      <w:pPr>
        <w:pStyle w:val="Bullet"/>
        <w:tabs>
          <w:tab w:val="clear" w:pos="2160"/>
        </w:tabs>
        <w:spacing w:before="240" w:after="240" w:line="240" w:lineRule="auto"/>
        <w:ind w:left="720" w:right="0"/>
        <w:rPr>
          <w:rFonts w:ascii="Times New Roman" w:hAnsi="Times New Roman"/>
          <w:sz w:val="26"/>
          <w:szCs w:val="26"/>
        </w:rPr>
      </w:pPr>
      <w:r w:rsidRPr="00CC0A57">
        <w:rPr>
          <w:rFonts w:ascii="Times New Roman" w:hAnsi="Times New Roman"/>
          <w:sz w:val="26"/>
          <w:szCs w:val="26"/>
        </w:rPr>
        <w:t xml:space="preserve">the Amadios were in a situation of </w:t>
      </w:r>
      <w:r>
        <w:rPr>
          <w:rFonts w:ascii="Times New Roman" w:hAnsi="Times New Roman"/>
          <w:sz w:val="26"/>
          <w:szCs w:val="26"/>
        </w:rPr>
        <w:t>“</w:t>
      </w:r>
      <w:r w:rsidRPr="00CC0A57">
        <w:rPr>
          <w:rFonts w:ascii="Times New Roman" w:hAnsi="Times New Roman"/>
          <w:sz w:val="26"/>
          <w:szCs w:val="26"/>
        </w:rPr>
        <w:t>special disadvantage</w:t>
      </w:r>
      <w:r>
        <w:rPr>
          <w:rFonts w:ascii="Times New Roman" w:hAnsi="Times New Roman"/>
          <w:sz w:val="26"/>
          <w:szCs w:val="26"/>
        </w:rPr>
        <w:t>”</w:t>
      </w:r>
      <w:r w:rsidRPr="00CC0A57">
        <w:rPr>
          <w:rFonts w:ascii="Times New Roman" w:hAnsi="Times New Roman"/>
          <w:sz w:val="26"/>
          <w:szCs w:val="26"/>
        </w:rPr>
        <w:t>, which seriously affected their ability to make a judgment as to their own best interests;</w:t>
      </w:r>
    </w:p>
    <w:p w14:paraId="40D393FD" w14:textId="77777777" w:rsidR="00C17FFA" w:rsidRPr="00CC0A57" w:rsidRDefault="00C17FFA" w:rsidP="00745188">
      <w:pPr>
        <w:pStyle w:val="Bullet"/>
        <w:tabs>
          <w:tab w:val="clear" w:pos="2160"/>
        </w:tabs>
        <w:spacing w:before="240" w:after="240" w:line="240" w:lineRule="auto"/>
        <w:ind w:left="720" w:right="0"/>
        <w:rPr>
          <w:rFonts w:ascii="Times New Roman" w:hAnsi="Times New Roman"/>
          <w:sz w:val="26"/>
          <w:szCs w:val="26"/>
        </w:rPr>
      </w:pPr>
      <w:r w:rsidRPr="00CC0A57">
        <w:rPr>
          <w:rFonts w:ascii="Times New Roman" w:hAnsi="Times New Roman"/>
          <w:sz w:val="26"/>
          <w:szCs w:val="26"/>
        </w:rPr>
        <w:t xml:space="preserve">the bank knew, or ought to have known, of that special disadvantage;  and had </w:t>
      </w:r>
      <w:r w:rsidRPr="00CC0A57">
        <w:rPr>
          <w:rFonts w:ascii="Times New Roman" w:hAnsi="Times New Roman"/>
          <w:sz w:val="26"/>
          <w:szCs w:val="26"/>
        </w:rPr>
        <w:lastRenderedPageBreak/>
        <w:t>taken unfair advantage of it.</w:t>
      </w:r>
    </w:p>
    <w:p w14:paraId="0FE12B6D" w14:textId="77777777"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(It should be mentioned that the Court was split 3–2 on this question.  I will return to the issue of uncertainty, and divergent judicial opinion, later).</w:t>
      </w:r>
    </w:p>
    <w:p w14:paraId="0FE896A5" w14:textId="41EF0A04" w:rsidR="00C17FFA" w:rsidRDefault="00C17FFA" w:rsidP="00745188">
      <w:pPr>
        <w:pStyle w:val="Normal-Indent"/>
        <w:spacing w:before="240" w:after="240" w:line="240" w:lineRule="auto"/>
        <w:ind w:left="0"/>
        <w:rPr>
          <w:rFonts w:ascii="Times New Roman" w:hAnsi="Times New Roman"/>
          <w:sz w:val="26"/>
          <w:szCs w:val="26"/>
          <w:lang w:val="en"/>
        </w:rPr>
      </w:pPr>
      <w:r w:rsidRPr="00CC0A57">
        <w:rPr>
          <w:rFonts w:ascii="Times New Roman" w:hAnsi="Times New Roman"/>
          <w:sz w:val="26"/>
          <w:szCs w:val="26"/>
          <w:lang w:val="en"/>
        </w:rPr>
        <w:t xml:space="preserve">In the more recent case of </w:t>
      </w:r>
      <w:r w:rsidRPr="00CC0A57">
        <w:rPr>
          <w:rFonts w:ascii="Times New Roman" w:hAnsi="Times New Roman"/>
          <w:i/>
          <w:iCs/>
          <w:sz w:val="26"/>
          <w:szCs w:val="26"/>
          <w:lang w:val="en"/>
        </w:rPr>
        <w:t>Kakavas</w:t>
      </w:r>
      <w:r w:rsidR="00524F5D">
        <w:rPr>
          <w:rFonts w:ascii="Times New Roman" w:hAnsi="Times New Roman"/>
          <w:sz w:val="26"/>
          <w:szCs w:val="26"/>
          <w:lang w:val="en"/>
        </w:rPr>
        <w:t>, the F</w:t>
      </w:r>
      <w:r w:rsidRPr="00CC0A57">
        <w:rPr>
          <w:rFonts w:ascii="Times New Roman" w:hAnsi="Times New Roman"/>
          <w:sz w:val="26"/>
          <w:szCs w:val="26"/>
          <w:lang w:val="en"/>
        </w:rPr>
        <w:t xml:space="preserve">ull High Court clarified the nature of the </w:t>
      </w:r>
      <w:r w:rsidR="00395548">
        <w:rPr>
          <w:rFonts w:ascii="Times New Roman" w:hAnsi="Times New Roman"/>
          <w:sz w:val="26"/>
          <w:szCs w:val="26"/>
          <w:lang w:val="en"/>
        </w:rPr>
        <w:t xml:space="preserve">equitable </w:t>
      </w:r>
      <w:r w:rsidRPr="00CC0A57">
        <w:rPr>
          <w:rFonts w:ascii="Times New Roman" w:hAnsi="Times New Roman"/>
          <w:sz w:val="26"/>
          <w:szCs w:val="26"/>
          <w:lang w:val="en"/>
        </w:rPr>
        <w:t xml:space="preserve">test set out in </w:t>
      </w:r>
      <w:r w:rsidRPr="00CC0A57">
        <w:rPr>
          <w:rFonts w:ascii="Times New Roman" w:hAnsi="Times New Roman"/>
          <w:i/>
          <w:iCs/>
          <w:sz w:val="26"/>
          <w:szCs w:val="26"/>
          <w:lang w:val="en"/>
        </w:rPr>
        <w:t>Amadio</w:t>
      </w:r>
      <w:r w:rsidRPr="00CC0A57">
        <w:rPr>
          <w:rFonts w:ascii="Times New Roman" w:hAnsi="Times New Roman"/>
          <w:sz w:val="26"/>
          <w:szCs w:val="26"/>
          <w:lang w:val="en"/>
        </w:rPr>
        <w:t>:</w:t>
      </w:r>
    </w:p>
    <w:p w14:paraId="68E7E32C" w14:textId="15D9A272" w:rsidR="00C17FFA" w:rsidRDefault="007B2AB3" w:rsidP="00C17FFA">
      <w:pPr>
        <w:pStyle w:val="Normal-Indent"/>
        <w:spacing w:line="240" w:lineRule="auto"/>
        <w:ind w:right="720"/>
        <w:rPr>
          <w:rFonts w:ascii="Times New Roman" w:hAnsi="Times New Roman"/>
          <w:sz w:val="26"/>
          <w:szCs w:val="26"/>
          <w:lang w:val="en" w:eastAsia="en-AU"/>
        </w:rPr>
      </w:pPr>
      <w:r>
        <w:rPr>
          <w:rFonts w:ascii="Times New Roman" w:hAnsi="Times New Roman"/>
          <w:sz w:val="26"/>
          <w:szCs w:val="26"/>
          <w:lang w:val="en" w:eastAsia="en-AU"/>
        </w:rPr>
        <w:t>“</w:t>
      </w:r>
      <w:r w:rsidR="00C17FFA" w:rsidRPr="00CC0A57">
        <w:rPr>
          <w:rFonts w:ascii="Times New Roman" w:hAnsi="Times New Roman"/>
          <w:sz w:val="26"/>
          <w:szCs w:val="26"/>
          <w:lang w:val="en" w:eastAsia="en-AU"/>
        </w:rPr>
        <w:t xml:space="preserve">Essential to the principle stated by both Mason J and Deane J in </w:t>
      </w:r>
      <w:r w:rsidR="00C17FFA" w:rsidRPr="00CC0A57">
        <w:rPr>
          <w:rFonts w:ascii="Times New Roman" w:hAnsi="Times New Roman"/>
          <w:i/>
          <w:iCs/>
          <w:sz w:val="26"/>
          <w:szCs w:val="26"/>
          <w:lang w:val="en" w:eastAsia="en-AU"/>
        </w:rPr>
        <w:t>Amadio</w:t>
      </w:r>
      <w:r w:rsidR="00C17FFA" w:rsidRPr="00CC0A57">
        <w:rPr>
          <w:rFonts w:ascii="Times New Roman" w:hAnsi="Times New Roman"/>
          <w:sz w:val="26"/>
          <w:szCs w:val="26"/>
          <w:lang w:val="en" w:eastAsia="en-AU"/>
        </w:rPr>
        <w:t xml:space="preserve"> is that there should be an </w:t>
      </w:r>
      <w:r w:rsidR="00C17FFA" w:rsidRPr="00F84BCD">
        <w:rPr>
          <w:rFonts w:ascii="Times New Roman" w:hAnsi="Times New Roman"/>
          <w:i/>
          <w:sz w:val="26"/>
          <w:szCs w:val="26"/>
          <w:lang w:val="en" w:eastAsia="en-AU"/>
        </w:rPr>
        <w:t xml:space="preserve">unconscientious taking advantage </w:t>
      </w:r>
      <w:r w:rsidR="00C17FFA" w:rsidRPr="00F84BCD">
        <w:rPr>
          <w:rFonts w:ascii="Times New Roman" w:hAnsi="Times New Roman"/>
          <w:sz w:val="26"/>
          <w:szCs w:val="26"/>
          <w:lang w:val="en" w:eastAsia="en-AU"/>
        </w:rPr>
        <w:t>by</w:t>
      </w:r>
      <w:r w:rsidR="00C17FFA" w:rsidRPr="00CC0A57">
        <w:rPr>
          <w:rFonts w:ascii="Times New Roman" w:hAnsi="Times New Roman"/>
          <w:sz w:val="26"/>
          <w:szCs w:val="26"/>
          <w:lang w:val="en" w:eastAsia="en-AU"/>
        </w:rPr>
        <w:t xml:space="preserve"> one party of some </w:t>
      </w:r>
      <w:r w:rsidR="00C17FFA" w:rsidRPr="00F84BCD">
        <w:rPr>
          <w:rFonts w:ascii="Times New Roman" w:hAnsi="Times New Roman"/>
          <w:i/>
          <w:sz w:val="26"/>
          <w:szCs w:val="26"/>
          <w:lang w:val="en" w:eastAsia="en-AU"/>
        </w:rPr>
        <w:t>disabling condition or circumstance</w:t>
      </w:r>
      <w:r w:rsidR="00C17FFA" w:rsidRPr="00CC0A57">
        <w:rPr>
          <w:rFonts w:ascii="Times New Roman" w:hAnsi="Times New Roman"/>
          <w:sz w:val="26"/>
          <w:szCs w:val="26"/>
          <w:lang w:val="en" w:eastAsia="en-AU"/>
        </w:rPr>
        <w:t xml:space="preserve"> that </w:t>
      </w:r>
      <w:r w:rsidR="00C17FFA" w:rsidRPr="00F84BCD">
        <w:rPr>
          <w:rFonts w:ascii="Times New Roman" w:hAnsi="Times New Roman"/>
          <w:i/>
          <w:sz w:val="26"/>
          <w:szCs w:val="26"/>
          <w:lang w:val="en" w:eastAsia="en-AU"/>
        </w:rPr>
        <w:t>seriously affects the ability</w:t>
      </w:r>
      <w:r w:rsidR="00C17FFA" w:rsidRPr="00CC0A57">
        <w:rPr>
          <w:rFonts w:ascii="Times New Roman" w:hAnsi="Times New Roman"/>
          <w:sz w:val="26"/>
          <w:szCs w:val="26"/>
          <w:lang w:val="en" w:eastAsia="en-AU"/>
        </w:rPr>
        <w:t xml:space="preserve"> of the other party to make a rational judgment as to </w:t>
      </w:r>
      <w:r w:rsidR="00C17FFA" w:rsidRPr="00F84BCD">
        <w:rPr>
          <w:rFonts w:ascii="Times New Roman" w:hAnsi="Times New Roman"/>
          <w:i/>
          <w:sz w:val="26"/>
          <w:szCs w:val="26"/>
          <w:lang w:val="en" w:eastAsia="en-AU"/>
        </w:rPr>
        <w:t>his or her own best interests</w:t>
      </w:r>
      <w:r w:rsidR="00C17FFA" w:rsidRPr="00CC0A57">
        <w:rPr>
          <w:rFonts w:ascii="Times New Roman" w:hAnsi="Times New Roman"/>
          <w:sz w:val="26"/>
          <w:szCs w:val="26"/>
          <w:lang w:val="en" w:eastAsia="en-AU"/>
        </w:rPr>
        <w:t xml:space="preserve">. </w:t>
      </w:r>
      <w:r w:rsidR="00F84BCD">
        <w:rPr>
          <w:rFonts w:ascii="Times New Roman" w:hAnsi="Times New Roman"/>
          <w:sz w:val="26"/>
          <w:szCs w:val="26"/>
          <w:lang w:val="en" w:eastAsia="en-AU"/>
        </w:rPr>
        <w:t xml:space="preserve"> …  </w:t>
      </w:r>
      <w:r w:rsidR="00C021E4">
        <w:rPr>
          <w:rFonts w:ascii="Times New Roman" w:hAnsi="Times New Roman"/>
          <w:sz w:val="26"/>
          <w:szCs w:val="26"/>
          <w:lang w:val="en" w:eastAsia="en-AU"/>
        </w:rPr>
        <w:t>[T]</w:t>
      </w:r>
      <w:r w:rsidR="00C17FFA" w:rsidRPr="00CC0A57">
        <w:rPr>
          <w:rFonts w:ascii="Times New Roman" w:hAnsi="Times New Roman"/>
          <w:sz w:val="26"/>
          <w:szCs w:val="26"/>
          <w:lang w:val="en" w:eastAsia="en-AU"/>
        </w:rPr>
        <w:t xml:space="preserve">he abiding rationale of the principle is to ensure that it is </w:t>
      </w:r>
      <w:r w:rsidR="00C17FFA" w:rsidRPr="00395548">
        <w:rPr>
          <w:rFonts w:ascii="Times New Roman" w:hAnsi="Times New Roman"/>
          <w:i/>
          <w:sz w:val="26"/>
          <w:szCs w:val="26"/>
          <w:lang w:val="en" w:eastAsia="en-AU"/>
        </w:rPr>
        <w:t>fair</w:t>
      </w:r>
      <w:r w:rsidR="00C17FFA" w:rsidRPr="00CC0A57">
        <w:rPr>
          <w:rFonts w:ascii="Times New Roman" w:hAnsi="Times New Roman"/>
          <w:sz w:val="26"/>
          <w:szCs w:val="26"/>
          <w:lang w:val="en" w:eastAsia="en-AU"/>
        </w:rPr>
        <w:t xml:space="preserve">, </w:t>
      </w:r>
      <w:r w:rsidR="00C17FFA" w:rsidRPr="00395548">
        <w:rPr>
          <w:rFonts w:ascii="Times New Roman" w:hAnsi="Times New Roman"/>
          <w:i/>
          <w:sz w:val="26"/>
          <w:szCs w:val="26"/>
          <w:lang w:val="en" w:eastAsia="en-AU"/>
        </w:rPr>
        <w:t>just</w:t>
      </w:r>
      <w:r w:rsidR="00C17FFA" w:rsidRPr="00CC0A57">
        <w:rPr>
          <w:rFonts w:ascii="Times New Roman" w:hAnsi="Times New Roman"/>
          <w:sz w:val="26"/>
          <w:szCs w:val="26"/>
          <w:lang w:val="en" w:eastAsia="en-AU"/>
        </w:rPr>
        <w:t xml:space="preserve"> and </w:t>
      </w:r>
      <w:r w:rsidR="00C17FFA" w:rsidRPr="00395548">
        <w:rPr>
          <w:rFonts w:ascii="Times New Roman" w:hAnsi="Times New Roman"/>
          <w:i/>
          <w:sz w:val="26"/>
          <w:szCs w:val="26"/>
          <w:lang w:val="en" w:eastAsia="en-AU"/>
        </w:rPr>
        <w:t>reasonable</w:t>
      </w:r>
      <w:r w:rsidR="00C17FFA" w:rsidRPr="00CC0A57">
        <w:rPr>
          <w:rFonts w:ascii="Times New Roman" w:hAnsi="Times New Roman"/>
          <w:sz w:val="26"/>
          <w:szCs w:val="26"/>
          <w:lang w:val="en" w:eastAsia="en-AU"/>
        </w:rPr>
        <w:t xml:space="preserve"> for the stronger party to retain the benefit of the impugned transaction.</w:t>
      </w:r>
      <w:r w:rsidR="00C17FFA">
        <w:rPr>
          <w:rFonts w:ascii="Times New Roman" w:hAnsi="Times New Roman"/>
          <w:sz w:val="26"/>
          <w:szCs w:val="26"/>
          <w:lang w:val="en" w:eastAsia="en-AU"/>
        </w:rPr>
        <w:t>”</w:t>
      </w:r>
      <w:r w:rsidR="00612963">
        <w:rPr>
          <w:rStyle w:val="FootnoteReference"/>
          <w:rFonts w:ascii="Times New Roman" w:hAnsi="Times New Roman"/>
          <w:sz w:val="26"/>
          <w:szCs w:val="26"/>
          <w:lang w:val="en" w:eastAsia="en-AU"/>
        </w:rPr>
        <w:footnoteReference w:id="18"/>
      </w:r>
      <w:r w:rsidR="009622D6">
        <w:rPr>
          <w:rFonts w:ascii="Times New Roman" w:hAnsi="Times New Roman"/>
          <w:sz w:val="26"/>
          <w:szCs w:val="26"/>
          <w:lang w:val="en" w:eastAsia="en-AU"/>
        </w:rPr>
        <w:t xml:space="preserve"> </w:t>
      </w:r>
    </w:p>
    <w:p w14:paraId="230307C5" w14:textId="6B941F89" w:rsidR="00C17FFA" w:rsidRDefault="00F84BCD" w:rsidP="00745188">
      <w:pPr>
        <w:pStyle w:val="Normal-Indent"/>
        <w:spacing w:before="240" w:after="240" w:line="240" w:lineRule="auto"/>
        <w:ind w:left="0"/>
        <w:rPr>
          <w:rFonts w:ascii="Times New Roman" w:hAnsi="Times New Roman"/>
          <w:sz w:val="26"/>
          <w:szCs w:val="26"/>
          <w:lang w:val="en" w:eastAsia="en-AU"/>
        </w:rPr>
      </w:pPr>
      <w:r>
        <w:rPr>
          <w:rFonts w:ascii="Times New Roman" w:hAnsi="Times New Roman"/>
          <w:sz w:val="26"/>
          <w:szCs w:val="26"/>
          <w:lang w:val="en" w:eastAsia="en-AU"/>
        </w:rPr>
        <w:t>T</w:t>
      </w:r>
      <w:r w:rsidR="00C17FFA" w:rsidRPr="00CC0A57">
        <w:rPr>
          <w:rFonts w:ascii="Times New Roman" w:hAnsi="Times New Roman"/>
          <w:sz w:val="26"/>
          <w:szCs w:val="26"/>
          <w:lang w:val="en" w:eastAsia="en-AU"/>
        </w:rPr>
        <w:t xml:space="preserve">he inability of a party to make </w:t>
      </w:r>
      <w:r>
        <w:rPr>
          <w:rFonts w:ascii="Times New Roman" w:hAnsi="Times New Roman"/>
          <w:sz w:val="26"/>
          <w:szCs w:val="26"/>
          <w:lang w:val="en" w:eastAsia="en-AU"/>
        </w:rPr>
        <w:t xml:space="preserve">a </w:t>
      </w:r>
      <w:r w:rsidR="00C17FFA" w:rsidRPr="00CC0A57">
        <w:rPr>
          <w:rFonts w:ascii="Times New Roman" w:hAnsi="Times New Roman"/>
          <w:sz w:val="26"/>
          <w:szCs w:val="26"/>
          <w:lang w:val="en" w:eastAsia="en-AU"/>
        </w:rPr>
        <w:t>judgment</w:t>
      </w:r>
      <w:r>
        <w:rPr>
          <w:rFonts w:ascii="Times New Roman" w:hAnsi="Times New Roman"/>
          <w:sz w:val="26"/>
          <w:szCs w:val="26"/>
          <w:lang w:val="en" w:eastAsia="en-AU"/>
        </w:rPr>
        <w:t xml:space="preserve"> </w:t>
      </w:r>
      <w:r w:rsidR="00C17FFA" w:rsidRPr="00CC0A57">
        <w:rPr>
          <w:rFonts w:ascii="Times New Roman" w:hAnsi="Times New Roman"/>
          <w:sz w:val="26"/>
          <w:szCs w:val="26"/>
          <w:lang w:val="en" w:eastAsia="en-AU"/>
        </w:rPr>
        <w:t xml:space="preserve">as to their best interests is not, of itself, sufficient to set aside a transaction.  It must also be the case that the stronger party had knowledge, or at least exhibited wilful ignorance, of the weaker party’s disability.  In </w:t>
      </w:r>
      <w:r w:rsidR="00C17FFA" w:rsidRPr="00CC0A57">
        <w:rPr>
          <w:rFonts w:ascii="Times New Roman" w:hAnsi="Times New Roman"/>
          <w:i/>
          <w:iCs/>
          <w:sz w:val="26"/>
          <w:szCs w:val="26"/>
          <w:lang w:val="en" w:eastAsia="en-AU"/>
        </w:rPr>
        <w:t>Kakavas</w:t>
      </w:r>
      <w:r w:rsidR="00C17FFA" w:rsidRPr="00CC0A57">
        <w:rPr>
          <w:rFonts w:ascii="Times New Roman" w:hAnsi="Times New Roman"/>
          <w:sz w:val="26"/>
          <w:szCs w:val="26"/>
          <w:lang w:val="en" w:eastAsia="en-AU"/>
        </w:rPr>
        <w:t>, the High Court stated:</w:t>
      </w:r>
      <w:r w:rsidR="009622D6">
        <w:rPr>
          <w:rFonts w:ascii="Times New Roman" w:hAnsi="Times New Roman"/>
          <w:sz w:val="26"/>
          <w:szCs w:val="26"/>
          <w:lang w:val="en" w:eastAsia="en-AU"/>
        </w:rPr>
        <w:t xml:space="preserve"> </w:t>
      </w:r>
    </w:p>
    <w:p w14:paraId="464DE2EA" w14:textId="0F8ADB55" w:rsidR="00C17FFA" w:rsidRPr="00CC0A57" w:rsidRDefault="007B2AB3" w:rsidP="00745188">
      <w:pPr>
        <w:pStyle w:val="Normal-Indent"/>
        <w:spacing w:before="240" w:after="240" w:line="240" w:lineRule="auto"/>
        <w:ind w:right="720"/>
        <w:rPr>
          <w:rFonts w:ascii="Times New Roman" w:hAnsi="Times New Roman"/>
          <w:sz w:val="26"/>
          <w:szCs w:val="26"/>
          <w:lang w:val="en" w:eastAsia="en-AU"/>
        </w:rPr>
      </w:pPr>
      <w:r>
        <w:rPr>
          <w:rFonts w:ascii="Times New Roman" w:hAnsi="Times New Roman"/>
          <w:sz w:val="26"/>
          <w:szCs w:val="26"/>
          <w:lang w:val="en" w:eastAsia="en-AU"/>
        </w:rPr>
        <w:t>“</w:t>
      </w:r>
      <w:r w:rsidR="00C17FFA" w:rsidRPr="00CC0A57">
        <w:rPr>
          <w:rFonts w:ascii="Times New Roman" w:hAnsi="Times New Roman"/>
          <w:sz w:val="26"/>
          <w:szCs w:val="26"/>
          <w:lang w:val="en" w:eastAsia="en-AU"/>
        </w:rPr>
        <w:t>Equitable intervention to deprive a party of the benefit of its bargain on the basis that it was procured by unfair exploitation of the weakness of the other party requires proof of a predatory state of mind. Heedlessness of, or indifference to, the best interests of the other party is not sufficient for this purpose.</w:t>
      </w:r>
      <w:r w:rsidR="00C17FFA">
        <w:rPr>
          <w:rFonts w:ascii="Times New Roman" w:hAnsi="Times New Roman"/>
          <w:sz w:val="26"/>
          <w:szCs w:val="26"/>
          <w:lang w:val="en" w:eastAsia="en-AU"/>
        </w:rPr>
        <w:t>”</w:t>
      </w:r>
      <w:r w:rsidR="00612963">
        <w:rPr>
          <w:rStyle w:val="FootnoteReference"/>
          <w:rFonts w:ascii="Times New Roman" w:hAnsi="Times New Roman"/>
          <w:sz w:val="26"/>
          <w:szCs w:val="26"/>
          <w:lang w:val="en" w:eastAsia="en-AU"/>
        </w:rPr>
        <w:footnoteReference w:id="19"/>
      </w:r>
      <w:r w:rsidR="00C17FFA" w:rsidRPr="00CC0A57">
        <w:rPr>
          <w:rFonts w:ascii="Times New Roman" w:hAnsi="Times New Roman"/>
          <w:sz w:val="26"/>
          <w:szCs w:val="26"/>
          <w:lang w:val="en" w:eastAsia="en-AU"/>
        </w:rPr>
        <w:t xml:space="preserve"> </w:t>
      </w:r>
    </w:p>
    <w:p w14:paraId="565238A3" w14:textId="3B1EB453" w:rsidR="00F84BCD"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The latest word on statutory unconscionability is from the High Court’s decision</w:t>
      </w:r>
      <w:r w:rsidR="006C00FE">
        <w:rPr>
          <w:rFonts w:ascii="Times New Roman" w:hAnsi="Times New Roman"/>
          <w:sz w:val="26"/>
          <w:szCs w:val="26"/>
        </w:rPr>
        <w:t xml:space="preserve"> in June this year</w:t>
      </w:r>
      <w:r w:rsidR="00735F58">
        <w:rPr>
          <w:rFonts w:ascii="Times New Roman" w:hAnsi="Times New Roman"/>
          <w:sz w:val="26"/>
          <w:szCs w:val="26"/>
        </w:rPr>
        <w:t>,</w:t>
      </w:r>
      <w:r w:rsidRPr="00CC0A57">
        <w:rPr>
          <w:rFonts w:ascii="Times New Roman" w:hAnsi="Times New Roman"/>
          <w:sz w:val="26"/>
          <w:szCs w:val="26"/>
        </w:rPr>
        <w:t xml:space="preserve"> in </w:t>
      </w:r>
      <w:r w:rsidR="004E636F">
        <w:rPr>
          <w:rFonts w:ascii="Times New Roman" w:hAnsi="Times New Roman"/>
          <w:i/>
          <w:sz w:val="26"/>
          <w:szCs w:val="26"/>
        </w:rPr>
        <w:t>ASIC v K</w:t>
      </w:r>
      <w:r w:rsidRPr="00CC0A57">
        <w:rPr>
          <w:rFonts w:ascii="Times New Roman" w:hAnsi="Times New Roman"/>
          <w:i/>
          <w:sz w:val="26"/>
          <w:szCs w:val="26"/>
        </w:rPr>
        <w:t>obelt</w:t>
      </w:r>
      <w:r w:rsidRPr="00CC0A57">
        <w:rPr>
          <w:rFonts w:ascii="Times New Roman" w:hAnsi="Times New Roman"/>
          <w:sz w:val="26"/>
          <w:szCs w:val="26"/>
        </w:rPr>
        <w:t>.</w:t>
      </w:r>
      <w:r w:rsidRPr="00CC0A57">
        <w:rPr>
          <w:rStyle w:val="FootnoteReference"/>
          <w:rFonts w:ascii="Times New Roman" w:hAnsi="Times New Roman"/>
          <w:sz w:val="26"/>
          <w:szCs w:val="26"/>
        </w:rPr>
        <w:footnoteReference w:id="20"/>
      </w:r>
      <w:r w:rsidRPr="00CC0A57">
        <w:rPr>
          <w:rFonts w:ascii="Times New Roman" w:hAnsi="Times New Roman"/>
          <w:sz w:val="26"/>
          <w:szCs w:val="26"/>
        </w:rPr>
        <w:t xml:space="preserve">  In that case, ASIC brought proceedings alleging that Mr </w:t>
      </w:r>
      <w:r w:rsidR="00F84BCD">
        <w:rPr>
          <w:rFonts w:ascii="Times New Roman" w:hAnsi="Times New Roman"/>
          <w:sz w:val="26"/>
          <w:szCs w:val="26"/>
        </w:rPr>
        <w:t>K</w:t>
      </w:r>
      <w:r w:rsidRPr="00CC0A57">
        <w:rPr>
          <w:rFonts w:ascii="Times New Roman" w:hAnsi="Times New Roman"/>
          <w:sz w:val="26"/>
          <w:szCs w:val="26"/>
        </w:rPr>
        <w:t xml:space="preserve">obelt had engaged in unconscionable conduct in the provision of credit to Indigenous Australians living in remote communities.  By the narrowest of margins (4–3), the High Court held that his conduct was not </w:t>
      </w:r>
      <w:r>
        <w:rPr>
          <w:rFonts w:ascii="Times New Roman" w:hAnsi="Times New Roman"/>
          <w:sz w:val="26"/>
          <w:szCs w:val="26"/>
        </w:rPr>
        <w:t>“</w:t>
      </w:r>
      <w:r w:rsidRPr="00CC0A57">
        <w:rPr>
          <w:rFonts w:ascii="Times New Roman" w:hAnsi="Times New Roman"/>
          <w:sz w:val="26"/>
          <w:szCs w:val="26"/>
        </w:rPr>
        <w:t>in all the circumstances, unconscionable</w:t>
      </w:r>
      <w:r>
        <w:rPr>
          <w:rFonts w:ascii="Times New Roman" w:hAnsi="Times New Roman"/>
          <w:sz w:val="26"/>
          <w:szCs w:val="26"/>
        </w:rPr>
        <w:t>”</w:t>
      </w:r>
      <w:r w:rsidRPr="00CC0A57">
        <w:rPr>
          <w:rFonts w:ascii="Times New Roman" w:hAnsi="Times New Roman"/>
          <w:sz w:val="26"/>
          <w:szCs w:val="26"/>
        </w:rPr>
        <w:t xml:space="preserve">.  </w:t>
      </w:r>
    </w:p>
    <w:p w14:paraId="77DF139A" w14:textId="38C57078" w:rsidR="00461BFD"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The</w:t>
      </w:r>
      <w:r w:rsidR="00395548">
        <w:rPr>
          <w:rFonts w:ascii="Times New Roman" w:hAnsi="Times New Roman"/>
          <w:sz w:val="26"/>
          <w:szCs w:val="26"/>
        </w:rPr>
        <w:t xml:space="preserve"> Chief Justice and Justice Bell</w:t>
      </w:r>
      <w:r w:rsidRPr="00CC0A57">
        <w:rPr>
          <w:rFonts w:ascii="Times New Roman" w:hAnsi="Times New Roman"/>
          <w:sz w:val="26"/>
          <w:szCs w:val="26"/>
        </w:rPr>
        <w:t xml:space="preserve"> </w:t>
      </w:r>
      <w:r w:rsidR="00461BFD">
        <w:rPr>
          <w:rFonts w:ascii="Times New Roman" w:hAnsi="Times New Roman"/>
          <w:sz w:val="26"/>
          <w:szCs w:val="26"/>
        </w:rPr>
        <w:t>affirmed</w:t>
      </w:r>
      <w:r w:rsidRPr="00CC0A57">
        <w:rPr>
          <w:rFonts w:ascii="Times New Roman" w:hAnsi="Times New Roman"/>
          <w:sz w:val="26"/>
          <w:szCs w:val="26"/>
        </w:rPr>
        <w:t xml:space="preserve"> that the statutory standard prohibit</w:t>
      </w:r>
      <w:r w:rsidR="00395548">
        <w:rPr>
          <w:rFonts w:ascii="Times New Roman" w:hAnsi="Times New Roman"/>
          <w:sz w:val="26"/>
          <w:szCs w:val="26"/>
        </w:rPr>
        <w:t>ed</w:t>
      </w:r>
      <w:r w:rsidRPr="00CC0A57">
        <w:rPr>
          <w:rFonts w:ascii="Times New Roman" w:hAnsi="Times New Roman"/>
          <w:sz w:val="26"/>
          <w:szCs w:val="26"/>
        </w:rPr>
        <w:t xml:space="preserve"> </w:t>
      </w:r>
      <w:r>
        <w:rPr>
          <w:rFonts w:ascii="Times New Roman" w:hAnsi="Times New Roman"/>
          <w:sz w:val="26"/>
          <w:szCs w:val="26"/>
        </w:rPr>
        <w:t>“</w:t>
      </w:r>
      <w:r w:rsidRPr="00CC0A57">
        <w:rPr>
          <w:rFonts w:ascii="Times New Roman" w:hAnsi="Times New Roman"/>
          <w:sz w:val="26"/>
          <w:szCs w:val="26"/>
        </w:rPr>
        <w:t>conduct that answers the description of being against conscience</w:t>
      </w:r>
      <w:r>
        <w:rPr>
          <w:rFonts w:ascii="Times New Roman" w:hAnsi="Times New Roman"/>
          <w:sz w:val="26"/>
          <w:szCs w:val="26"/>
        </w:rPr>
        <w:t>”</w:t>
      </w:r>
      <w:r w:rsidRPr="00CC0A57">
        <w:rPr>
          <w:rFonts w:ascii="Times New Roman" w:hAnsi="Times New Roman"/>
          <w:sz w:val="26"/>
          <w:szCs w:val="26"/>
        </w:rPr>
        <w:t>.</w:t>
      </w:r>
      <w:r w:rsidRPr="00CC0A57">
        <w:rPr>
          <w:rStyle w:val="FootnoteReference"/>
          <w:rFonts w:ascii="Times New Roman" w:hAnsi="Times New Roman"/>
          <w:sz w:val="26"/>
          <w:szCs w:val="26"/>
        </w:rPr>
        <w:footnoteReference w:id="21"/>
      </w:r>
      <w:r w:rsidRPr="00CC0A57">
        <w:rPr>
          <w:rFonts w:ascii="Times New Roman" w:hAnsi="Times New Roman"/>
          <w:sz w:val="26"/>
          <w:szCs w:val="26"/>
        </w:rPr>
        <w:t xml:space="preserve">  </w:t>
      </w:r>
      <w:r w:rsidR="00461BFD">
        <w:rPr>
          <w:rFonts w:ascii="Times New Roman" w:hAnsi="Times New Roman"/>
          <w:sz w:val="26"/>
          <w:szCs w:val="26"/>
        </w:rPr>
        <w:t>It established “a statutory norm of conscience.”</w:t>
      </w:r>
      <w:r w:rsidR="00461BFD">
        <w:rPr>
          <w:rStyle w:val="FootnoteReference"/>
          <w:rFonts w:ascii="Times New Roman" w:hAnsi="Times New Roman"/>
          <w:sz w:val="26"/>
          <w:szCs w:val="26"/>
        </w:rPr>
        <w:footnoteReference w:id="22"/>
      </w:r>
      <w:r w:rsidR="00461BFD">
        <w:rPr>
          <w:rFonts w:ascii="Times New Roman" w:hAnsi="Times New Roman"/>
          <w:sz w:val="26"/>
          <w:szCs w:val="26"/>
        </w:rPr>
        <w:t xml:space="preserve">  </w:t>
      </w:r>
      <w:r w:rsidR="009B5867">
        <w:rPr>
          <w:rFonts w:ascii="Times New Roman" w:hAnsi="Times New Roman"/>
          <w:sz w:val="26"/>
          <w:szCs w:val="26"/>
        </w:rPr>
        <w:t xml:space="preserve">Its </w:t>
      </w:r>
      <w:r w:rsidR="00461BFD">
        <w:rPr>
          <w:rFonts w:ascii="Times New Roman" w:hAnsi="Times New Roman"/>
          <w:sz w:val="26"/>
          <w:szCs w:val="26"/>
        </w:rPr>
        <w:t>application in that case required a determination of “whether, objectively, the supplier’s conduct involves such a departure from accepted community standards in the supply of the financial service as to warrant the characterisation that it is unconscionable.”</w:t>
      </w:r>
      <w:r w:rsidR="00461BFD">
        <w:rPr>
          <w:rStyle w:val="FootnoteReference"/>
          <w:rFonts w:ascii="Times New Roman" w:hAnsi="Times New Roman"/>
          <w:sz w:val="26"/>
          <w:szCs w:val="26"/>
        </w:rPr>
        <w:footnoteReference w:id="23"/>
      </w:r>
      <w:r w:rsidR="00E96251">
        <w:rPr>
          <w:rFonts w:ascii="Times New Roman" w:hAnsi="Times New Roman"/>
          <w:sz w:val="26"/>
          <w:szCs w:val="26"/>
        </w:rPr>
        <w:t xml:space="preserve">  </w:t>
      </w:r>
      <w:r w:rsidRPr="00CC0A57">
        <w:rPr>
          <w:rFonts w:ascii="Times New Roman" w:hAnsi="Times New Roman"/>
          <w:sz w:val="26"/>
          <w:szCs w:val="26"/>
        </w:rPr>
        <w:t>T</w:t>
      </w:r>
      <w:r w:rsidR="00F84BCD">
        <w:rPr>
          <w:rFonts w:ascii="Times New Roman" w:hAnsi="Times New Roman"/>
          <w:sz w:val="26"/>
          <w:szCs w:val="26"/>
        </w:rPr>
        <w:t>heir Honours concluded that</w:t>
      </w:r>
      <w:r w:rsidR="00E96251">
        <w:rPr>
          <w:rFonts w:ascii="Times New Roman" w:hAnsi="Times New Roman"/>
          <w:sz w:val="26"/>
          <w:szCs w:val="26"/>
        </w:rPr>
        <w:t xml:space="preserve"> the conduct was not unconscionable, as</w:t>
      </w:r>
      <w:r w:rsidR="00F84BCD">
        <w:rPr>
          <w:rFonts w:ascii="Times New Roman" w:hAnsi="Times New Roman"/>
          <w:sz w:val="26"/>
          <w:szCs w:val="26"/>
        </w:rPr>
        <w:t xml:space="preserve"> Mr K</w:t>
      </w:r>
      <w:r w:rsidRPr="00CC0A57">
        <w:rPr>
          <w:rFonts w:ascii="Times New Roman" w:hAnsi="Times New Roman"/>
          <w:sz w:val="26"/>
          <w:szCs w:val="26"/>
        </w:rPr>
        <w:t xml:space="preserve">obelt did not take </w:t>
      </w:r>
      <w:r>
        <w:rPr>
          <w:rFonts w:ascii="Times New Roman" w:hAnsi="Times New Roman"/>
          <w:sz w:val="26"/>
          <w:szCs w:val="26"/>
        </w:rPr>
        <w:t>“</w:t>
      </w:r>
      <w:r w:rsidRPr="00CC0A57">
        <w:rPr>
          <w:rFonts w:ascii="Times New Roman" w:hAnsi="Times New Roman"/>
          <w:sz w:val="26"/>
          <w:szCs w:val="26"/>
        </w:rPr>
        <w:t>unconscientious advantage of the vulnerability</w:t>
      </w:r>
      <w:r>
        <w:rPr>
          <w:rFonts w:ascii="Times New Roman" w:hAnsi="Times New Roman"/>
          <w:sz w:val="26"/>
          <w:szCs w:val="26"/>
        </w:rPr>
        <w:t>”</w:t>
      </w:r>
      <w:r w:rsidRPr="00CC0A57">
        <w:rPr>
          <w:rFonts w:ascii="Times New Roman" w:hAnsi="Times New Roman"/>
          <w:sz w:val="26"/>
          <w:szCs w:val="26"/>
        </w:rPr>
        <w:t xml:space="preserve"> of his </w:t>
      </w:r>
      <w:r w:rsidRPr="00CC0A57">
        <w:rPr>
          <w:rFonts w:ascii="Times New Roman" w:hAnsi="Times New Roman"/>
          <w:sz w:val="26"/>
          <w:szCs w:val="26"/>
        </w:rPr>
        <w:lastRenderedPageBreak/>
        <w:t>customer</w:t>
      </w:r>
      <w:r w:rsidR="00E96251">
        <w:rPr>
          <w:rFonts w:ascii="Times New Roman" w:hAnsi="Times New Roman"/>
          <w:sz w:val="26"/>
          <w:szCs w:val="26"/>
        </w:rPr>
        <w:t>s</w:t>
      </w:r>
      <w:r w:rsidRPr="00CC0A57">
        <w:rPr>
          <w:rFonts w:ascii="Times New Roman" w:hAnsi="Times New Roman"/>
          <w:sz w:val="26"/>
          <w:szCs w:val="26"/>
        </w:rPr>
        <w:t>.</w:t>
      </w:r>
      <w:r w:rsidRPr="00CC0A57">
        <w:rPr>
          <w:rStyle w:val="FootnoteReference"/>
          <w:rFonts w:ascii="Times New Roman" w:hAnsi="Times New Roman"/>
          <w:sz w:val="26"/>
          <w:szCs w:val="26"/>
        </w:rPr>
        <w:footnoteReference w:id="24"/>
      </w:r>
      <w:r w:rsidR="00F84BCD">
        <w:rPr>
          <w:rFonts w:ascii="Times New Roman" w:hAnsi="Times New Roman"/>
          <w:sz w:val="26"/>
          <w:szCs w:val="26"/>
        </w:rPr>
        <w:t xml:space="preserve">  </w:t>
      </w:r>
    </w:p>
    <w:p w14:paraId="3506F663" w14:textId="07F96750" w:rsidR="00C17FFA" w:rsidRDefault="00F84BC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Keane</w:t>
      </w:r>
      <w:r w:rsidR="00C17FFA" w:rsidRPr="00CC0A57">
        <w:rPr>
          <w:rFonts w:ascii="Times New Roman" w:hAnsi="Times New Roman"/>
          <w:sz w:val="26"/>
          <w:szCs w:val="26"/>
        </w:rPr>
        <w:t xml:space="preserve"> J came to the same conclusion.</w:t>
      </w:r>
      <w:r w:rsidR="00C17FFA" w:rsidRPr="00CC0A57">
        <w:rPr>
          <w:rStyle w:val="FootnoteReference"/>
          <w:rFonts w:ascii="Times New Roman" w:hAnsi="Times New Roman"/>
          <w:sz w:val="26"/>
          <w:szCs w:val="26"/>
        </w:rPr>
        <w:footnoteReference w:id="25"/>
      </w:r>
      <w:r w:rsidR="00C17FFA" w:rsidRPr="00CC0A57">
        <w:rPr>
          <w:rFonts w:ascii="Times New Roman" w:hAnsi="Times New Roman"/>
          <w:sz w:val="26"/>
          <w:szCs w:val="26"/>
        </w:rPr>
        <w:t xml:space="preserve">  </w:t>
      </w:r>
      <w:r w:rsidR="009B5867">
        <w:rPr>
          <w:rFonts w:ascii="Times New Roman" w:hAnsi="Times New Roman"/>
          <w:sz w:val="26"/>
          <w:szCs w:val="26"/>
        </w:rPr>
        <w:t>In explaining the test, h</w:t>
      </w:r>
      <w:r w:rsidR="00C17FFA" w:rsidRPr="00CC0A57">
        <w:rPr>
          <w:rFonts w:ascii="Times New Roman" w:hAnsi="Times New Roman"/>
          <w:sz w:val="26"/>
          <w:szCs w:val="26"/>
        </w:rPr>
        <w:t>is Honour said:</w:t>
      </w:r>
    </w:p>
    <w:p w14:paraId="67270376" w14:textId="4BD6B21C" w:rsidR="00C17FFA" w:rsidRPr="00CC0A57" w:rsidRDefault="007B2AB3"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C17FFA" w:rsidRPr="007B2AB3">
        <w:rPr>
          <w:rFonts w:ascii="Times New Roman" w:hAnsi="Times New Roman"/>
          <w:sz w:val="26"/>
          <w:szCs w:val="26"/>
        </w:rPr>
        <w:t>The</w:t>
      </w:r>
      <w:r w:rsidR="00C17FFA" w:rsidRPr="00CC0A57">
        <w:rPr>
          <w:rFonts w:ascii="Times New Roman" w:hAnsi="Times New Roman"/>
          <w:sz w:val="26"/>
          <w:szCs w:val="26"/>
        </w:rPr>
        <w:t xml:space="preserve"> use of the word </w:t>
      </w:r>
      <w:r>
        <w:rPr>
          <w:rFonts w:ascii="Times New Roman" w:hAnsi="Times New Roman"/>
          <w:sz w:val="26"/>
          <w:szCs w:val="26"/>
        </w:rPr>
        <w:t>‘</w:t>
      </w:r>
      <w:r w:rsidR="00C17FFA" w:rsidRPr="00CC0A57">
        <w:rPr>
          <w:rFonts w:ascii="Times New Roman" w:hAnsi="Times New Roman"/>
          <w:sz w:val="26"/>
          <w:szCs w:val="26"/>
        </w:rPr>
        <w:t>unconscionable</w:t>
      </w:r>
      <w:r>
        <w:rPr>
          <w:rFonts w:ascii="Times New Roman" w:hAnsi="Times New Roman"/>
          <w:sz w:val="26"/>
          <w:szCs w:val="26"/>
        </w:rPr>
        <w:t>’</w:t>
      </w:r>
      <w:r w:rsidR="00C17FFA" w:rsidRPr="00CC0A57">
        <w:rPr>
          <w:rFonts w:ascii="Times New Roman" w:hAnsi="Times New Roman"/>
          <w:sz w:val="26"/>
          <w:szCs w:val="26"/>
        </w:rPr>
        <w:t xml:space="preserve"> in s 12CB — rather than terms such as </w:t>
      </w:r>
      <w:r w:rsidR="00C17FFA">
        <w:rPr>
          <w:rFonts w:ascii="Times New Roman" w:hAnsi="Times New Roman"/>
          <w:sz w:val="26"/>
          <w:szCs w:val="26"/>
        </w:rPr>
        <w:t>‘</w:t>
      </w:r>
      <w:r w:rsidR="00C17FFA" w:rsidRPr="00CC0A57">
        <w:rPr>
          <w:rFonts w:ascii="Times New Roman" w:hAnsi="Times New Roman"/>
          <w:sz w:val="26"/>
          <w:szCs w:val="26"/>
        </w:rPr>
        <w:t>unjust</w:t>
      </w:r>
      <w:r w:rsidR="00C17FFA">
        <w:rPr>
          <w:rFonts w:ascii="Times New Roman" w:hAnsi="Times New Roman"/>
          <w:sz w:val="26"/>
          <w:szCs w:val="26"/>
        </w:rPr>
        <w:t>’</w:t>
      </w:r>
      <w:r w:rsidR="00C17FFA" w:rsidRPr="00CC0A57">
        <w:rPr>
          <w:rFonts w:ascii="Times New Roman" w:hAnsi="Times New Roman"/>
          <w:sz w:val="26"/>
          <w:szCs w:val="26"/>
        </w:rPr>
        <w:t xml:space="preserve">, </w:t>
      </w:r>
      <w:r w:rsidR="00C17FFA">
        <w:rPr>
          <w:rFonts w:ascii="Times New Roman" w:hAnsi="Times New Roman"/>
          <w:sz w:val="26"/>
          <w:szCs w:val="26"/>
        </w:rPr>
        <w:t>‘</w:t>
      </w:r>
      <w:r w:rsidR="00C17FFA" w:rsidRPr="00CC0A57">
        <w:rPr>
          <w:rFonts w:ascii="Times New Roman" w:hAnsi="Times New Roman"/>
          <w:sz w:val="26"/>
          <w:szCs w:val="26"/>
        </w:rPr>
        <w:t>unfair</w:t>
      </w:r>
      <w:r w:rsidR="00C17FFA">
        <w:rPr>
          <w:rFonts w:ascii="Times New Roman" w:hAnsi="Times New Roman"/>
          <w:sz w:val="26"/>
          <w:szCs w:val="26"/>
        </w:rPr>
        <w:t>’</w:t>
      </w:r>
      <w:r w:rsidR="00C17FFA" w:rsidRPr="00CC0A57">
        <w:rPr>
          <w:rFonts w:ascii="Times New Roman" w:hAnsi="Times New Roman"/>
          <w:sz w:val="26"/>
          <w:szCs w:val="26"/>
        </w:rPr>
        <w:t xml:space="preserve"> or </w:t>
      </w:r>
      <w:r w:rsidR="00C17FFA">
        <w:rPr>
          <w:rFonts w:ascii="Times New Roman" w:hAnsi="Times New Roman"/>
          <w:sz w:val="26"/>
          <w:szCs w:val="26"/>
        </w:rPr>
        <w:t>‘</w:t>
      </w:r>
      <w:r w:rsidR="00C17FFA" w:rsidRPr="00CC0A57">
        <w:rPr>
          <w:rFonts w:ascii="Times New Roman" w:hAnsi="Times New Roman"/>
          <w:sz w:val="26"/>
          <w:szCs w:val="26"/>
        </w:rPr>
        <w:t>unreasonable</w:t>
      </w:r>
      <w:r w:rsidR="00C17FFA">
        <w:rPr>
          <w:rFonts w:ascii="Times New Roman" w:hAnsi="Times New Roman"/>
          <w:sz w:val="26"/>
          <w:szCs w:val="26"/>
        </w:rPr>
        <w:t>’</w:t>
      </w:r>
      <w:r w:rsidR="00C17FFA" w:rsidRPr="00CC0A57">
        <w:rPr>
          <w:rFonts w:ascii="Times New Roman" w:hAnsi="Times New Roman"/>
          <w:sz w:val="26"/>
          <w:szCs w:val="26"/>
        </w:rPr>
        <w:t xml:space="preserve"> which are familiar in consumer protection legislation — reflects a deliberate legislative choice to proscribe a particular type of conduct.  In its ordinary meaning, the term </w:t>
      </w:r>
      <w:r w:rsidR="00C17FFA">
        <w:rPr>
          <w:rFonts w:ascii="Times New Roman" w:hAnsi="Times New Roman"/>
          <w:sz w:val="26"/>
          <w:szCs w:val="26"/>
        </w:rPr>
        <w:t>‘</w:t>
      </w:r>
      <w:r w:rsidR="00C17FFA" w:rsidRPr="00CC0A57">
        <w:rPr>
          <w:rFonts w:ascii="Times New Roman" w:hAnsi="Times New Roman"/>
          <w:sz w:val="26"/>
          <w:szCs w:val="26"/>
        </w:rPr>
        <w:t>unconscionable</w:t>
      </w:r>
      <w:r w:rsidR="00C17FFA">
        <w:rPr>
          <w:rFonts w:ascii="Times New Roman" w:hAnsi="Times New Roman"/>
          <w:sz w:val="26"/>
          <w:szCs w:val="26"/>
        </w:rPr>
        <w:t>’</w:t>
      </w:r>
      <w:r w:rsidR="00C17FFA" w:rsidRPr="00CC0A57">
        <w:rPr>
          <w:rFonts w:ascii="Times New Roman" w:hAnsi="Times New Roman"/>
          <w:sz w:val="26"/>
          <w:szCs w:val="26"/>
        </w:rPr>
        <w:t xml:space="preserve"> requires an element of exploitation.  The term imports the </w:t>
      </w:r>
      <w:r w:rsidR="00C17FFA">
        <w:rPr>
          <w:rFonts w:ascii="Times New Roman" w:hAnsi="Times New Roman"/>
          <w:sz w:val="26"/>
          <w:szCs w:val="26"/>
        </w:rPr>
        <w:t>‘</w:t>
      </w:r>
      <w:r w:rsidR="00C17FFA" w:rsidRPr="00CC0A57">
        <w:rPr>
          <w:rFonts w:ascii="Times New Roman" w:hAnsi="Times New Roman"/>
          <w:sz w:val="26"/>
          <w:szCs w:val="26"/>
        </w:rPr>
        <w:t>high level of moral obl</w:t>
      </w:r>
      <w:r w:rsidR="00F84BCD">
        <w:rPr>
          <w:rFonts w:ascii="Times New Roman" w:hAnsi="Times New Roman"/>
          <w:sz w:val="26"/>
          <w:szCs w:val="26"/>
        </w:rPr>
        <w:t>o</w:t>
      </w:r>
      <w:r w:rsidR="00C17FFA" w:rsidRPr="00CC0A57">
        <w:rPr>
          <w:rFonts w:ascii="Times New Roman" w:hAnsi="Times New Roman"/>
          <w:sz w:val="26"/>
          <w:szCs w:val="26"/>
        </w:rPr>
        <w:t>quy</w:t>
      </w:r>
      <w:r w:rsidR="00C17FFA">
        <w:rPr>
          <w:rFonts w:ascii="Times New Roman" w:hAnsi="Times New Roman"/>
          <w:sz w:val="26"/>
          <w:szCs w:val="26"/>
        </w:rPr>
        <w:t>’</w:t>
      </w:r>
      <w:r w:rsidR="00C17FFA" w:rsidRPr="00CC0A57">
        <w:rPr>
          <w:rFonts w:ascii="Times New Roman" w:hAnsi="Times New Roman"/>
          <w:sz w:val="26"/>
          <w:szCs w:val="26"/>
        </w:rPr>
        <w:t xml:space="preserve"> associated with the victimisation of the vulnerable.</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26"/>
      </w:r>
    </w:p>
    <w:p w14:paraId="096C64B5" w14:textId="3003E838" w:rsidR="00C17FFA" w:rsidRDefault="00F84BC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Justice Gageler</w:t>
      </w:r>
      <w:r w:rsidR="00461BFD">
        <w:rPr>
          <w:rFonts w:ascii="Times New Roman" w:hAnsi="Times New Roman"/>
          <w:sz w:val="26"/>
          <w:szCs w:val="26"/>
        </w:rPr>
        <w:t xml:space="preserve"> was the other member of the majority.  He</w:t>
      </w:r>
      <w:r w:rsidR="00C17FFA" w:rsidRPr="00CC0A57">
        <w:rPr>
          <w:rFonts w:ascii="Times New Roman" w:hAnsi="Times New Roman"/>
          <w:sz w:val="26"/>
          <w:szCs w:val="26"/>
        </w:rPr>
        <w:t xml:space="preserve"> described the phrase </w:t>
      </w:r>
      <w:r w:rsidR="00C17FFA">
        <w:rPr>
          <w:rFonts w:ascii="Times New Roman" w:hAnsi="Times New Roman"/>
          <w:sz w:val="26"/>
          <w:szCs w:val="26"/>
        </w:rPr>
        <w:t>“</w:t>
      </w:r>
      <w:r>
        <w:rPr>
          <w:rFonts w:ascii="Times New Roman" w:hAnsi="Times New Roman"/>
          <w:sz w:val="26"/>
          <w:szCs w:val="26"/>
        </w:rPr>
        <w:t>moral oblo</w:t>
      </w:r>
      <w:r w:rsidR="00C17FFA" w:rsidRPr="00CC0A57">
        <w:rPr>
          <w:rFonts w:ascii="Times New Roman" w:hAnsi="Times New Roman"/>
          <w:sz w:val="26"/>
          <w:szCs w:val="26"/>
        </w:rPr>
        <w:t>quy</w:t>
      </w:r>
      <w:r w:rsidR="00C17FFA">
        <w:rPr>
          <w:rFonts w:ascii="Times New Roman" w:hAnsi="Times New Roman"/>
          <w:sz w:val="26"/>
          <w:szCs w:val="26"/>
        </w:rPr>
        <w:t>”</w:t>
      </w:r>
      <w:r w:rsidR="00C17FFA" w:rsidRPr="00CC0A57">
        <w:rPr>
          <w:rFonts w:ascii="Times New Roman" w:hAnsi="Times New Roman"/>
          <w:sz w:val="26"/>
          <w:szCs w:val="26"/>
        </w:rPr>
        <w:t xml:space="preserve"> as </w:t>
      </w:r>
      <w:r w:rsidR="00461BFD">
        <w:rPr>
          <w:rFonts w:ascii="Times New Roman" w:hAnsi="Times New Roman"/>
          <w:sz w:val="26"/>
          <w:szCs w:val="26"/>
        </w:rPr>
        <w:t>“</w:t>
      </w:r>
      <w:r w:rsidR="00C17FFA" w:rsidRPr="00CC0A57">
        <w:rPr>
          <w:rFonts w:ascii="Times New Roman" w:hAnsi="Times New Roman"/>
          <w:sz w:val="26"/>
          <w:szCs w:val="26"/>
        </w:rPr>
        <w:t>arcane terminology</w:t>
      </w:r>
      <w:r w:rsidR="00461BFD">
        <w:rPr>
          <w:rFonts w:ascii="Times New Roman" w:hAnsi="Times New Roman"/>
          <w:sz w:val="26"/>
          <w:szCs w:val="26"/>
        </w:rPr>
        <w:t>”</w:t>
      </w:r>
      <w:r w:rsidR="00C17FFA" w:rsidRPr="00CC0A57">
        <w:rPr>
          <w:rFonts w:ascii="Times New Roman" w:hAnsi="Times New Roman"/>
          <w:sz w:val="26"/>
          <w:szCs w:val="26"/>
        </w:rPr>
        <w:t xml:space="preserve"> </w:t>
      </w:r>
      <w:r w:rsidR="00395548">
        <w:rPr>
          <w:rFonts w:ascii="Times New Roman" w:hAnsi="Times New Roman"/>
          <w:sz w:val="26"/>
          <w:szCs w:val="26"/>
        </w:rPr>
        <w:t xml:space="preserve">— a view with which I respectfully agree — </w:t>
      </w:r>
      <w:r w:rsidR="00C17FFA" w:rsidRPr="00CC0A57">
        <w:rPr>
          <w:rFonts w:ascii="Times New Roman" w:hAnsi="Times New Roman"/>
          <w:sz w:val="26"/>
          <w:szCs w:val="26"/>
        </w:rPr>
        <w:t>and said, instead, that the conduct pro</w:t>
      </w:r>
      <w:r w:rsidR="00395548">
        <w:rPr>
          <w:rFonts w:ascii="Times New Roman" w:hAnsi="Times New Roman"/>
          <w:sz w:val="26"/>
          <w:szCs w:val="26"/>
        </w:rPr>
        <w:t>hibite</w:t>
      </w:r>
      <w:r w:rsidR="00C17FFA" w:rsidRPr="00CC0A57">
        <w:rPr>
          <w:rFonts w:ascii="Times New Roman" w:hAnsi="Times New Roman"/>
          <w:sz w:val="26"/>
          <w:szCs w:val="26"/>
        </w:rPr>
        <w:t>d by the section was:</w:t>
      </w:r>
    </w:p>
    <w:p w14:paraId="6BD05CF4" w14:textId="22F78707" w:rsidR="00C17FFA" w:rsidRPr="00CC0A57" w:rsidRDefault="007B2AB3"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735F58">
        <w:rPr>
          <w:rFonts w:ascii="Times New Roman" w:hAnsi="Times New Roman"/>
          <w:sz w:val="26"/>
          <w:szCs w:val="26"/>
        </w:rPr>
        <w:t>c</w:t>
      </w:r>
      <w:r w:rsidR="00C17FFA" w:rsidRPr="00CC0A57">
        <w:rPr>
          <w:rFonts w:ascii="Times New Roman" w:hAnsi="Times New Roman"/>
          <w:sz w:val="26"/>
          <w:szCs w:val="26"/>
        </w:rPr>
        <w:t xml:space="preserve">onduct that is so far outside </w:t>
      </w:r>
      <w:r w:rsidR="00C17FFA" w:rsidRPr="00395548">
        <w:rPr>
          <w:rFonts w:ascii="Times New Roman" w:hAnsi="Times New Roman"/>
          <w:i/>
          <w:sz w:val="26"/>
          <w:szCs w:val="26"/>
        </w:rPr>
        <w:t>societal norms of acceptable commercial behaviour</w:t>
      </w:r>
      <w:r w:rsidR="00C17FFA" w:rsidRPr="00CC0A57">
        <w:rPr>
          <w:rFonts w:ascii="Times New Roman" w:hAnsi="Times New Roman"/>
          <w:sz w:val="26"/>
          <w:szCs w:val="26"/>
        </w:rPr>
        <w:t xml:space="preserve"> as to warrant condemnation as </w:t>
      </w:r>
      <w:r w:rsidR="00C17FFA" w:rsidRPr="00395548">
        <w:rPr>
          <w:rFonts w:ascii="Times New Roman" w:hAnsi="Times New Roman"/>
          <w:i/>
          <w:sz w:val="26"/>
          <w:szCs w:val="26"/>
        </w:rPr>
        <w:t>conduct that is offensive to conscience</w:t>
      </w:r>
      <w:r w:rsidR="00C17FFA" w:rsidRPr="00CC0A57">
        <w:rPr>
          <w:rFonts w:ascii="Times New Roman" w:hAnsi="Times New Roman"/>
          <w:sz w:val="26"/>
          <w:szCs w:val="26"/>
        </w:rPr>
        <w:t>.</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27"/>
      </w:r>
    </w:p>
    <w:p w14:paraId="338AF3A1" w14:textId="77777777" w:rsidR="00C17FFA" w:rsidRDefault="00C17FFA" w:rsidP="00745188">
      <w:pPr>
        <w:pStyle w:val="Quote1"/>
        <w:spacing w:after="240"/>
        <w:ind w:left="0"/>
        <w:rPr>
          <w:rFonts w:ascii="Times New Roman" w:hAnsi="Times New Roman"/>
          <w:sz w:val="26"/>
          <w:szCs w:val="26"/>
        </w:rPr>
      </w:pPr>
      <w:r w:rsidRPr="00CC0A57">
        <w:rPr>
          <w:rFonts w:ascii="Times New Roman" w:hAnsi="Times New Roman"/>
          <w:sz w:val="26"/>
          <w:szCs w:val="26"/>
        </w:rPr>
        <w:t>His Honour went on:</w:t>
      </w:r>
    </w:p>
    <w:p w14:paraId="74B12C0B" w14:textId="20341FC4" w:rsidR="00C17FFA" w:rsidRPr="00CC0A57" w:rsidRDefault="007B2AB3" w:rsidP="00745188">
      <w:pPr>
        <w:pStyle w:val="Quote1"/>
        <w:spacing w:after="240"/>
        <w:ind w:left="720"/>
        <w:rPr>
          <w:rFonts w:ascii="Times New Roman" w:hAnsi="Times New Roman"/>
          <w:sz w:val="26"/>
          <w:szCs w:val="26"/>
        </w:rPr>
      </w:pPr>
      <w:r>
        <w:rPr>
          <w:rFonts w:ascii="Times New Roman" w:hAnsi="Times New Roman"/>
          <w:sz w:val="26"/>
          <w:szCs w:val="26"/>
          <w:lang w:val="en"/>
        </w:rPr>
        <w:t>“</w:t>
      </w:r>
      <w:r w:rsidR="00C17FFA" w:rsidRPr="00CC0A57">
        <w:rPr>
          <w:rFonts w:ascii="Times New Roman" w:hAnsi="Times New Roman"/>
          <w:sz w:val="26"/>
          <w:szCs w:val="26"/>
          <w:lang w:val="en"/>
        </w:rPr>
        <w:t xml:space="preserve">The judgment required of a court exercising jurisdiction in a matter arising under </w:t>
      </w:r>
      <w:hyperlink r:id="rId12" w:history="1">
        <w:r w:rsidR="00C17FFA" w:rsidRPr="00C979AE">
          <w:rPr>
            <w:rStyle w:val="Hyperlink"/>
            <w:rFonts w:ascii="Times New Roman" w:hAnsi="Times New Roman"/>
            <w:color w:val="auto"/>
            <w:sz w:val="26"/>
            <w:szCs w:val="26"/>
            <w:u w:val="none"/>
            <w:lang w:val="en"/>
          </w:rPr>
          <w:t>s 12CB</w:t>
        </w:r>
      </w:hyperlink>
      <w:r w:rsidR="00C17FFA" w:rsidRPr="00CC0A57">
        <w:rPr>
          <w:rFonts w:ascii="Times New Roman" w:hAnsi="Times New Roman"/>
          <w:sz w:val="26"/>
          <w:szCs w:val="26"/>
          <w:lang w:val="en"/>
        </w:rPr>
        <w:t xml:space="preserve"> is a heavy one. For a court to pronounce conduct unconscionable is for the court to denounce that conduct as </w:t>
      </w:r>
      <w:r w:rsidR="00C17FFA" w:rsidRPr="00735F58">
        <w:rPr>
          <w:rFonts w:ascii="Times New Roman" w:hAnsi="Times New Roman"/>
          <w:i/>
          <w:sz w:val="26"/>
          <w:szCs w:val="26"/>
          <w:lang w:val="en"/>
        </w:rPr>
        <w:t>offensive to a conscience informed by a sense of what is right and proper according to values which can be recognised by the court to prevail within contemporary Australian society</w:t>
      </w:r>
      <w:r w:rsidR="00C17FFA" w:rsidRPr="00CC0A57">
        <w:rPr>
          <w:rFonts w:ascii="Times New Roman" w:hAnsi="Times New Roman"/>
          <w:sz w:val="26"/>
          <w:szCs w:val="26"/>
          <w:lang w:val="en"/>
        </w:rPr>
        <w:t>.</w:t>
      </w:r>
      <w:r w:rsidR="00C17FFA">
        <w:rPr>
          <w:rFonts w:ascii="Times New Roman" w:hAnsi="Times New Roman"/>
          <w:sz w:val="26"/>
          <w:szCs w:val="26"/>
          <w:lang w:val="en"/>
        </w:rPr>
        <w:t>”</w:t>
      </w:r>
      <w:r w:rsidR="00C17FFA" w:rsidRPr="00CC0A57">
        <w:rPr>
          <w:rStyle w:val="FootnoteReference"/>
          <w:rFonts w:ascii="Times New Roman" w:hAnsi="Times New Roman"/>
          <w:sz w:val="26"/>
          <w:szCs w:val="26"/>
          <w:lang w:val="en"/>
        </w:rPr>
        <w:footnoteReference w:id="28"/>
      </w:r>
    </w:p>
    <w:p w14:paraId="4BF3A9EA" w14:textId="1E057CA0"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Nettle and Gordon JJ, who considered that the conduct was unconscionable, said:</w:t>
      </w:r>
    </w:p>
    <w:p w14:paraId="5DCA6307" w14:textId="17878D72" w:rsidR="00C17FFA" w:rsidRPr="00CC0A57" w:rsidRDefault="007B2AB3"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F84BCD">
        <w:rPr>
          <w:rFonts w:ascii="Times New Roman" w:hAnsi="Times New Roman"/>
          <w:sz w:val="26"/>
          <w:szCs w:val="26"/>
        </w:rPr>
        <w:t>I</w:t>
      </w:r>
      <w:r w:rsidR="00C17FFA" w:rsidRPr="00CC0A57">
        <w:rPr>
          <w:rFonts w:ascii="Times New Roman" w:hAnsi="Times New Roman"/>
          <w:sz w:val="26"/>
          <w:szCs w:val="26"/>
          <w:lang w:val="en"/>
        </w:rPr>
        <w:t xml:space="preserve">n any given case, a conclusion as to what is, or is not, against conscience may be contestable: </w:t>
      </w:r>
      <w:r>
        <w:rPr>
          <w:rFonts w:ascii="Times New Roman" w:hAnsi="Times New Roman"/>
          <w:sz w:val="26"/>
          <w:szCs w:val="26"/>
          <w:lang w:val="en"/>
        </w:rPr>
        <w:t xml:space="preserve"> </w:t>
      </w:r>
      <w:r w:rsidR="00C17FFA" w:rsidRPr="00CC0A57">
        <w:rPr>
          <w:rFonts w:ascii="Times New Roman" w:hAnsi="Times New Roman"/>
          <w:sz w:val="26"/>
          <w:szCs w:val="26"/>
          <w:lang w:val="en"/>
        </w:rPr>
        <w:t xml:space="preserve">so much is inevitable given that the standard is based on a broad expression of values and norms. </w:t>
      </w:r>
      <w:r w:rsidR="00C17FFA">
        <w:rPr>
          <w:rFonts w:ascii="Times New Roman" w:hAnsi="Times New Roman"/>
          <w:sz w:val="26"/>
          <w:szCs w:val="26"/>
          <w:lang w:val="en"/>
        </w:rPr>
        <w:t xml:space="preserve"> </w:t>
      </w:r>
      <w:r w:rsidR="00C17FFA" w:rsidRPr="00CC0A57">
        <w:rPr>
          <w:rFonts w:ascii="Times New Roman" w:hAnsi="Times New Roman"/>
          <w:sz w:val="26"/>
          <w:szCs w:val="26"/>
          <w:lang w:val="en"/>
        </w:rPr>
        <w:t xml:space="preserve">However, efforts to address the </w:t>
      </w:r>
      <w:r w:rsidR="00C17FFA">
        <w:rPr>
          <w:rFonts w:ascii="Times New Roman" w:hAnsi="Times New Roman"/>
          <w:sz w:val="26"/>
          <w:szCs w:val="26"/>
          <w:lang w:val="en"/>
        </w:rPr>
        <w:t>‘</w:t>
      </w:r>
      <w:r w:rsidR="00C17FFA" w:rsidRPr="00CC0A57">
        <w:rPr>
          <w:rFonts w:ascii="Times New Roman" w:hAnsi="Times New Roman"/>
          <w:sz w:val="26"/>
          <w:szCs w:val="26"/>
          <w:lang w:val="en"/>
        </w:rPr>
        <w:t>indeterminacy</w:t>
      </w:r>
      <w:r w:rsidR="00C17FFA">
        <w:rPr>
          <w:rFonts w:ascii="Times New Roman" w:hAnsi="Times New Roman"/>
          <w:sz w:val="26"/>
          <w:szCs w:val="26"/>
          <w:lang w:val="en"/>
        </w:rPr>
        <w:t>’</w:t>
      </w:r>
      <w:r w:rsidR="00C17FFA" w:rsidRPr="00CC0A57">
        <w:rPr>
          <w:rFonts w:ascii="Times New Roman" w:hAnsi="Times New Roman"/>
          <w:sz w:val="26"/>
          <w:szCs w:val="26"/>
          <w:lang w:val="en"/>
        </w:rPr>
        <w:t xml:space="preserve"> of the doctrine by way of further distillations, categorisations or definitions may risk </w:t>
      </w:r>
      <w:r w:rsidR="00C17FFA">
        <w:rPr>
          <w:rFonts w:ascii="Times New Roman" w:hAnsi="Times New Roman"/>
          <w:sz w:val="26"/>
          <w:szCs w:val="26"/>
          <w:lang w:val="en"/>
        </w:rPr>
        <w:t>‘</w:t>
      </w:r>
      <w:r w:rsidR="00C17FFA" w:rsidRPr="00CC0A57">
        <w:rPr>
          <w:rFonts w:ascii="Times New Roman" w:hAnsi="Times New Roman"/>
          <w:sz w:val="26"/>
          <w:szCs w:val="26"/>
          <w:lang w:val="en"/>
        </w:rPr>
        <w:t>disappointment, ... a sense of futility, and ... the likelihood of error</w:t>
      </w:r>
      <w:r w:rsidR="00C17FFA">
        <w:rPr>
          <w:rFonts w:ascii="Times New Roman" w:hAnsi="Times New Roman"/>
          <w:sz w:val="26"/>
          <w:szCs w:val="26"/>
          <w:lang w:val="en"/>
        </w:rPr>
        <w:t>’</w:t>
      </w:r>
      <w:r w:rsidR="00C17FFA" w:rsidRPr="00CC0A57">
        <w:rPr>
          <w:rFonts w:ascii="Times New Roman" w:hAnsi="Times New Roman"/>
          <w:sz w:val="26"/>
          <w:szCs w:val="26"/>
          <w:lang w:val="en"/>
        </w:rPr>
        <w:t xml:space="preserve">.  This is because evaluating whether conduct is unconscionable </w:t>
      </w:r>
      <w:r w:rsidR="00C17FFA">
        <w:rPr>
          <w:rFonts w:ascii="Times New Roman" w:hAnsi="Times New Roman"/>
          <w:sz w:val="26"/>
          <w:szCs w:val="26"/>
          <w:lang w:val="en"/>
        </w:rPr>
        <w:t>‘</w:t>
      </w:r>
      <w:r w:rsidR="00C17FFA" w:rsidRPr="00CC0A57">
        <w:rPr>
          <w:rFonts w:ascii="Times New Roman" w:hAnsi="Times New Roman"/>
          <w:sz w:val="26"/>
          <w:szCs w:val="26"/>
          <w:lang w:val="en"/>
        </w:rPr>
        <w:t>is not a process of deductive reasoning predicated upon the presence or absence of fixed elements or fixed rules</w:t>
      </w:r>
      <w:r w:rsidR="00C17FFA">
        <w:rPr>
          <w:rFonts w:ascii="Times New Roman" w:hAnsi="Times New Roman"/>
          <w:sz w:val="26"/>
          <w:szCs w:val="26"/>
          <w:lang w:val="en"/>
        </w:rPr>
        <w:t>’</w:t>
      </w:r>
      <w:r w:rsidR="00C17FFA" w:rsidRPr="00CC0A57">
        <w:rPr>
          <w:rFonts w:ascii="Times New Roman" w:hAnsi="Times New Roman"/>
          <w:sz w:val="26"/>
          <w:szCs w:val="26"/>
          <w:lang w:val="en"/>
        </w:rPr>
        <w:t>.</w:t>
      </w:r>
      <w:r w:rsidR="00C17FFA">
        <w:rPr>
          <w:rFonts w:ascii="Times New Roman" w:hAnsi="Times New Roman"/>
          <w:sz w:val="26"/>
          <w:szCs w:val="26"/>
          <w:lang w:val="en"/>
        </w:rPr>
        <w:t>”</w:t>
      </w:r>
      <w:r w:rsidR="00C17FFA" w:rsidRPr="00CC0A57">
        <w:rPr>
          <w:rStyle w:val="FootnoteReference"/>
          <w:rFonts w:ascii="Times New Roman" w:hAnsi="Times New Roman"/>
          <w:sz w:val="26"/>
          <w:szCs w:val="26"/>
          <w:lang w:val="en"/>
        </w:rPr>
        <w:footnoteReference w:id="29"/>
      </w:r>
    </w:p>
    <w:p w14:paraId="790CF2B5" w14:textId="1042C7DE" w:rsidR="00395548" w:rsidRDefault="00C17FFA" w:rsidP="00745188">
      <w:pPr>
        <w:pStyle w:val="Normal-Indent"/>
        <w:spacing w:before="240" w:after="240" w:line="240" w:lineRule="auto"/>
        <w:ind w:left="0" w:hanging="720"/>
        <w:rPr>
          <w:rFonts w:ascii="Times New Roman" w:hAnsi="Times New Roman"/>
          <w:sz w:val="26"/>
          <w:szCs w:val="26"/>
        </w:rPr>
      </w:pPr>
      <w:r w:rsidRPr="00CC0A57">
        <w:rPr>
          <w:rFonts w:ascii="Times New Roman" w:hAnsi="Times New Roman"/>
          <w:sz w:val="26"/>
          <w:szCs w:val="26"/>
        </w:rPr>
        <w:tab/>
        <w:t xml:space="preserve">Having </w:t>
      </w:r>
      <w:bookmarkStart w:id="0" w:name="Title"/>
      <w:bookmarkStart w:id="1" w:name="JudgeName1"/>
      <w:bookmarkEnd w:id="0"/>
      <w:bookmarkEnd w:id="1"/>
      <w:r w:rsidRPr="00CC0A57">
        <w:rPr>
          <w:rFonts w:ascii="Times New Roman" w:hAnsi="Times New Roman"/>
          <w:sz w:val="26"/>
          <w:szCs w:val="26"/>
        </w:rPr>
        <w:t xml:space="preserve">said something about the moral underpinnings of the notion of unconscionability, </w:t>
      </w:r>
      <w:r w:rsidRPr="00CC0A57">
        <w:rPr>
          <w:rFonts w:ascii="Times New Roman" w:hAnsi="Times New Roman"/>
          <w:sz w:val="26"/>
          <w:szCs w:val="26"/>
        </w:rPr>
        <w:lastRenderedPageBreak/>
        <w:t xml:space="preserve">let me turn to the questions about the function of the judge.  As we have seen in the debate about </w:t>
      </w:r>
      <w:r w:rsidR="006C00FE">
        <w:rPr>
          <w:rFonts w:ascii="Times New Roman" w:hAnsi="Times New Roman"/>
          <w:sz w:val="26"/>
          <w:szCs w:val="26"/>
        </w:rPr>
        <w:t xml:space="preserve">the judicial role in adjudicating questions of </w:t>
      </w:r>
      <w:r w:rsidRPr="00CC0A57">
        <w:rPr>
          <w:rFonts w:ascii="Times New Roman" w:hAnsi="Times New Roman"/>
          <w:sz w:val="26"/>
          <w:szCs w:val="26"/>
        </w:rPr>
        <w:t xml:space="preserve">human rights, there is a live question in our community about the legitimacy of a judge sitting in moral judgment on the conduct of others.  </w:t>
      </w:r>
    </w:p>
    <w:p w14:paraId="090C24F4" w14:textId="0A82D464"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That question may be thought to be accentuated when what is in issue is not interpersonal morality</w:t>
      </w:r>
      <w:r w:rsidR="006C00FE">
        <w:rPr>
          <w:rFonts w:ascii="Times New Roman" w:hAnsi="Times New Roman"/>
          <w:sz w:val="26"/>
          <w:szCs w:val="26"/>
        </w:rPr>
        <w:t>, which</w:t>
      </w:r>
      <w:r w:rsidRPr="00CC0A57">
        <w:rPr>
          <w:rFonts w:ascii="Times New Roman" w:hAnsi="Times New Roman"/>
          <w:sz w:val="26"/>
          <w:szCs w:val="26"/>
        </w:rPr>
        <w:t xml:space="preserve"> might be thought to fall within the judge’s own experience, but dealings in the market place</w:t>
      </w:r>
      <w:r w:rsidR="006C00FE">
        <w:rPr>
          <w:rFonts w:ascii="Times New Roman" w:hAnsi="Times New Roman"/>
          <w:sz w:val="26"/>
          <w:szCs w:val="26"/>
        </w:rPr>
        <w:t>,</w:t>
      </w:r>
      <w:r w:rsidR="0058122E">
        <w:rPr>
          <w:rFonts w:ascii="Times New Roman" w:hAnsi="Times New Roman"/>
          <w:sz w:val="26"/>
          <w:szCs w:val="26"/>
        </w:rPr>
        <w:t xml:space="preserve"> </w:t>
      </w:r>
      <w:r w:rsidR="00735F58">
        <w:rPr>
          <w:rFonts w:ascii="Times New Roman" w:hAnsi="Times New Roman"/>
          <w:sz w:val="26"/>
          <w:szCs w:val="26"/>
        </w:rPr>
        <w:t>with</w:t>
      </w:r>
      <w:r w:rsidRPr="00CC0A57">
        <w:rPr>
          <w:rFonts w:ascii="Times New Roman" w:hAnsi="Times New Roman"/>
          <w:sz w:val="26"/>
          <w:szCs w:val="26"/>
        </w:rPr>
        <w:t xml:space="preserve"> which most judges have limited</w:t>
      </w:r>
      <w:r w:rsidR="00735F58">
        <w:rPr>
          <w:rFonts w:ascii="Times New Roman" w:hAnsi="Times New Roman"/>
          <w:sz w:val="26"/>
          <w:szCs w:val="26"/>
        </w:rPr>
        <w:t xml:space="preserve"> familiarity</w:t>
      </w:r>
      <w:r w:rsidRPr="00CC0A57">
        <w:rPr>
          <w:rFonts w:ascii="Times New Roman" w:hAnsi="Times New Roman"/>
          <w:sz w:val="26"/>
          <w:szCs w:val="26"/>
        </w:rPr>
        <w:t xml:space="preserve">.  </w:t>
      </w:r>
    </w:p>
    <w:p w14:paraId="31F2630F" w14:textId="77777777"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My contention is that, in fact, judges are constantly called on to perform the role of moral arbiter.  I argue, moreover, that the community depends (whether consciously or unconsciously) on judges doing precisely that.  </w:t>
      </w:r>
    </w:p>
    <w:p w14:paraId="3ACEF5B0" w14:textId="626EEE8F"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An obvious example is the judgment made every day by sentencing judges, and by the Court of Appeal when a sentence is challenged, on the </w:t>
      </w:r>
      <w:r>
        <w:rPr>
          <w:rFonts w:ascii="Times New Roman" w:hAnsi="Times New Roman"/>
          <w:sz w:val="26"/>
          <w:szCs w:val="26"/>
        </w:rPr>
        <w:t>“</w:t>
      </w:r>
      <w:r w:rsidRPr="00CC0A57">
        <w:rPr>
          <w:rFonts w:ascii="Times New Roman" w:hAnsi="Times New Roman"/>
          <w:sz w:val="26"/>
          <w:szCs w:val="26"/>
        </w:rPr>
        <w:t>moral culpability</w:t>
      </w:r>
      <w:r>
        <w:rPr>
          <w:rFonts w:ascii="Times New Roman" w:hAnsi="Times New Roman"/>
          <w:sz w:val="26"/>
          <w:szCs w:val="26"/>
        </w:rPr>
        <w:t>”</w:t>
      </w:r>
      <w:r w:rsidRPr="00CC0A57">
        <w:rPr>
          <w:rFonts w:ascii="Times New Roman" w:hAnsi="Times New Roman"/>
          <w:sz w:val="26"/>
          <w:szCs w:val="26"/>
        </w:rPr>
        <w:t xml:space="preserve"> of an offender.  We regularly debate with counsel the extent of </w:t>
      </w:r>
      <w:r>
        <w:rPr>
          <w:rFonts w:ascii="Times New Roman" w:hAnsi="Times New Roman"/>
          <w:sz w:val="26"/>
          <w:szCs w:val="26"/>
        </w:rPr>
        <w:t>“</w:t>
      </w:r>
      <w:r w:rsidRPr="00CC0A57">
        <w:rPr>
          <w:rFonts w:ascii="Times New Roman" w:hAnsi="Times New Roman"/>
          <w:sz w:val="26"/>
          <w:szCs w:val="26"/>
        </w:rPr>
        <w:t>moral blameworthiness</w:t>
      </w:r>
      <w:r>
        <w:rPr>
          <w:rFonts w:ascii="Times New Roman" w:hAnsi="Times New Roman"/>
          <w:sz w:val="26"/>
          <w:szCs w:val="26"/>
        </w:rPr>
        <w:t>”</w:t>
      </w:r>
      <w:r w:rsidRPr="00CC0A57">
        <w:rPr>
          <w:rFonts w:ascii="Times New Roman" w:hAnsi="Times New Roman"/>
          <w:sz w:val="26"/>
          <w:szCs w:val="26"/>
        </w:rPr>
        <w:t xml:space="preserve"> which should properly attach to the offending conduct.</w:t>
      </w:r>
      <w:r w:rsidR="006C00FE">
        <w:rPr>
          <w:rFonts w:ascii="Times New Roman" w:hAnsi="Times New Roman"/>
          <w:sz w:val="26"/>
          <w:szCs w:val="26"/>
        </w:rPr>
        <w:t xml:space="preserve">  That judgment has a direct bearing on the magnitude of the penalty.</w:t>
      </w:r>
    </w:p>
    <w:p w14:paraId="30B44677" w14:textId="0AA4EEDF" w:rsidR="00C17FFA" w:rsidRPr="00CC0A57" w:rsidRDefault="00C17FFA" w:rsidP="00461BFD">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In the same way, all sorts of legal rules depend for their application on the judge’s assessment of what was </w:t>
      </w:r>
      <w:r>
        <w:rPr>
          <w:rFonts w:ascii="Times New Roman" w:hAnsi="Times New Roman"/>
          <w:sz w:val="26"/>
          <w:szCs w:val="26"/>
        </w:rPr>
        <w:t>“</w:t>
      </w:r>
      <w:r w:rsidRPr="00CC0A57">
        <w:rPr>
          <w:rFonts w:ascii="Times New Roman" w:hAnsi="Times New Roman"/>
          <w:sz w:val="26"/>
          <w:szCs w:val="26"/>
        </w:rPr>
        <w:t>reasonable</w:t>
      </w:r>
      <w:r>
        <w:rPr>
          <w:rFonts w:ascii="Times New Roman" w:hAnsi="Times New Roman"/>
          <w:sz w:val="26"/>
          <w:szCs w:val="26"/>
        </w:rPr>
        <w:t>”</w:t>
      </w:r>
      <w:r w:rsidRPr="00CC0A57">
        <w:rPr>
          <w:rFonts w:ascii="Times New Roman" w:hAnsi="Times New Roman"/>
          <w:sz w:val="26"/>
          <w:szCs w:val="26"/>
        </w:rPr>
        <w:t xml:space="preserve"> in the circumstances</w:t>
      </w:r>
      <w:r w:rsidR="0058122E">
        <w:rPr>
          <w:rFonts w:ascii="Times New Roman" w:hAnsi="Times New Roman"/>
          <w:sz w:val="26"/>
          <w:szCs w:val="26"/>
        </w:rPr>
        <w:t xml:space="preserve"> or of </w:t>
      </w:r>
      <w:r w:rsidR="006C00FE">
        <w:rPr>
          <w:rFonts w:ascii="Times New Roman" w:hAnsi="Times New Roman"/>
          <w:sz w:val="26"/>
          <w:szCs w:val="26"/>
        </w:rPr>
        <w:t xml:space="preserve">how </w:t>
      </w:r>
      <w:r w:rsidR="0058122E">
        <w:rPr>
          <w:rFonts w:ascii="Times New Roman" w:hAnsi="Times New Roman"/>
          <w:sz w:val="26"/>
          <w:szCs w:val="26"/>
        </w:rPr>
        <w:t xml:space="preserve">“the reasonable person” </w:t>
      </w:r>
      <w:r w:rsidR="006C00FE">
        <w:rPr>
          <w:rFonts w:ascii="Times New Roman" w:hAnsi="Times New Roman"/>
          <w:sz w:val="26"/>
          <w:szCs w:val="26"/>
        </w:rPr>
        <w:t xml:space="preserve">might have behaved </w:t>
      </w:r>
      <w:r w:rsidR="0058122E">
        <w:rPr>
          <w:rFonts w:ascii="Times New Roman" w:hAnsi="Times New Roman"/>
          <w:sz w:val="26"/>
          <w:szCs w:val="26"/>
        </w:rPr>
        <w:t>when confronted by a state of affairs</w:t>
      </w:r>
      <w:r w:rsidRPr="00CC0A57">
        <w:rPr>
          <w:rFonts w:ascii="Times New Roman" w:hAnsi="Times New Roman"/>
          <w:sz w:val="26"/>
          <w:szCs w:val="26"/>
        </w:rPr>
        <w:t xml:space="preserve">. </w:t>
      </w:r>
      <w:r w:rsidR="0058122E">
        <w:rPr>
          <w:rFonts w:ascii="Times New Roman" w:hAnsi="Times New Roman"/>
          <w:sz w:val="26"/>
          <w:szCs w:val="26"/>
        </w:rPr>
        <w:t xml:space="preserve"> </w:t>
      </w:r>
      <w:r w:rsidRPr="00CC0A57">
        <w:rPr>
          <w:rFonts w:ascii="Times New Roman" w:hAnsi="Times New Roman"/>
          <w:sz w:val="26"/>
          <w:szCs w:val="26"/>
        </w:rPr>
        <w:t xml:space="preserve"> Judgments of that kind are often infused with moral considerations. </w:t>
      </w:r>
      <w:r w:rsidR="00B33EFF">
        <w:rPr>
          <w:rFonts w:ascii="Times New Roman" w:hAnsi="Times New Roman"/>
          <w:sz w:val="26"/>
          <w:szCs w:val="26"/>
        </w:rPr>
        <w:t>We need only think of the judgments made in the field of negligence abut duty of care and breach.</w:t>
      </w:r>
      <w:r w:rsidR="00461BFD">
        <w:rPr>
          <w:rStyle w:val="FootnoteReference"/>
          <w:rFonts w:ascii="Times New Roman" w:hAnsi="Times New Roman"/>
          <w:sz w:val="26"/>
          <w:szCs w:val="26"/>
        </w:rPr>
        <w:footnoteReference w:id="30"/>
      </w:r>
    </w:p>
    <w:p w14:paraId="7BEA1EE7" w14:textId="5FEE5717" w:rsidR="0058122E" w:rsidRDefault="0058122E"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The late-lamented legal philosopher, John Gardner, </w:t>
      </w:r>
      <w:r w:rsidR="00A32DBB">
        <w:rPr>
          <w:rFonts w:ascii="Times New Roman" w:hAnsi="Times New Roman"/>
          <w:sz w:val="26"/>
          <w:szCs w:val="26"/>
        </w:rPr>
        <w:t>described</w:t>
      </w:r>
      <w:r>
        <w:rPr>
          <w:rFonts w:ascii="Times New Roman" w:hAnsi="Times New Roman"/>
          <w:sz w:val="26"/>
          <w:szCs w:val="26"/>
        </w:rPr>
        <w:t xml:space="preserve"> “the zone that the reasonable person occupies</w:t>
      </w:r>
      <w:r w:rsidR="00A32DBB">
        <w:rPr>
          <w:rFonts w:ascii="Times New Roman" w:hAnsi="Times New Roman"/>
          <w:sz w:val="26"/>
          <w:szCs w:val="26"/>
        </w:rPr>
        <w:t>”</w:t>
      </w:r>
      <w:r>
        <w:rPr>
          <w:rFonts w:ascii="Times New Roman" w:hAnsi="Times New Roman"/>
          <w:sz w:val="26"/>
          <w:szCs w:val="26"/>
        </w:rPr>
        <w:t xml:space="preserve"> as legally deregulated.  </w:t>
      </w:r>
      <w:r w:rsidR="00A32DBB">
        <w:rPr>
          <w:rFonts w:ascii="Times New Roman" w:hAnsi="Times New Roman"/>
          <w:sz w:val="26"/>
          <w:szCs w:val="26"/>
        </w:rPr>
        <w:t>“</w:t>
      </w:r>
      <w:r>
        <w:rPr>
          <w:rFonts w:ascii="Times New Roman" w:hAnsi="Times New Roman"/>
          <w:sz w:val="26"/>
          <w:szCs w:val="26"/>
        </w:rPr>
        <w:t>One could call it a zone of legally licensed adjudicative discretion.”</w:t>
      </w:r>
      <w:r w:rsidR="0027307C">
        <w:rPr>
          <w:rStyle w:val="FootnoteReference"/>
          <w:rFonts w:ascii="Times New Roman" w:hAnsi="Times New Roman"/>
          <w:sz w:val="26"/>
          <w:szCs w:val="26"/>
        </w:rPr>
        <w:footnoteReference w:id="31"/>
      </w:r>
      <w:r w:rsidR="006C00FE">
        <w:rPr>
          <w:rFonts w:ascii="Times New Roman" w:hAnsi="Times New Roman"/>
          <w:sz w:val="26"/>
          <w:szCs w:val="26"/>
        </w:rPr>
        <w:t xml:space="preserve">  The judge is </w:t>
      </w:r>
      <w:r w:rsidR="00461BFD">
        <w:rPr>
          <w:rFonts w:ascii="Times New Roman" w:hAnsi="Times New Roman"/>
          <w:sz w:val="26"/>
          <w:szCs w:val="26"/>
        </w:rPr>
        <w:t xml:space="preserve">here </w:t>
      </w:r>
      <w:r w:rsidR="006C00FE">
        <w:rPr>
          <w:rFonts w:ascii="Times New Roman" w:hAnsi="Times New Roman"/>
          <w:sz w:val="26"/>
          <w:szCs w:val="26"/>
        </w:rPr>
        <w:t>applying non-legal standards.</w:t>
      </w:r>
    </w:p>
    <w:p w14:paraId="0F0021CB" w14:textId="1EC83E32"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Public confidence in the </w:t>
      </w:r>
      <w:r w:rsidR="006C00FE">
        <w:rPr>
          <w:rFonts w:ascii="Times New Roman" w:hAnsi="Times New Roman"/>
          <w:sz w:val="26"/>
          <w:szCs w:val="26"/>
        </w:rPr>
        <w:t>court</w:t>
      </w:r>
      <w:r w:rsidRPr="00CC0A57">
        <w:rPr>
          <w:rFonts w:ascii="Times New Roman" w:hAnsi="Times New Roman"/>
          <w:sz w:val="26"/>
          <w:szCs w:val="26"/>
        </w:rPr>
        <w:t xml:space="preserve"> system would, I think, be enhanced if this moral dimension of judicial work were better understood.  There is, as we are all aware, an abiding perception of the legal system as constrained by an overly rigid set of rules and administered by judicial officers who are out of touch.  Those perceptions are more readily dispelled when more is known about what the job actually requires.</w:t>
      </w:r>
    </w:p>
    <w:p w14:paraId="131D2511" w14:textId="338B4841"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The example I always give is of Justice Paul Coghlan’s sentencing of Arthur Freeman, </w:t>
      </w:r>
      <w:r w:rsidR="006C00FE">
        <w:rPr>
          <w:rFonts w:ascii="Times New Roman" w:hAnsi="Times New Roman"/>
          <w:sz w:val="26"/>
          <w:szCs w:val="26"/>
        </w:rPr>
        <w:t xml:space="preserve">who </w:t>
      </w:r>
      <w:r w:rsidRPr="00CC0A57">
        <w:rPr>
          <w:rFonts w:ascii="Times New Roman" w:hAnsi="Times New Roman"/>
          <w:sz w:val="26"/>
          <w:szCs w:val="26"/>
        </w:rPr>
        <w:t>murder</w:t>
      </w:r>
      <w:r w:rsidR="006C00FE">
        <w:rPr>
          <w:rFonts w:ascii="Times New Roman" w:hAnsi="Times New Roman"/>
          <w:sz w:val="26"/>
          <w:szCs w:val="26"/>
        </w:rPr>
        <w:t>ed</w:t>
      </w:r>
      <w:r w:rsidRPr="00CC0A57">
        <w:rPr>
          <w:rFonts w:ascii="Times New Roman" w:hAnsi="Times New Roman"/>
          <w:sz w:val="26"/>
          <w:szCs w:val="26"/>
        </w:rPr>
        <w:t xml:space="preserve"> his daughter by throwing her from the West Gate Bridge.  It was a crime which had deeply shocked the Victorian community.  Justice Coghlan’s sentence exemplified moral reasoning, delivered calmly, dispassionately and seriously.  Its public broadcast on morning radio served to reassure</w:t>
      </w:r>
      <w:r w:rsidR="006C00FE">
        <w:rPr>
          <w:rFonts w:ascii="Times New Roman" w:hAnsi="Times New Roman"/>
          <w:sz w:val="26"/>
          <w:szCs w:val="26"/>
        </w:rPr>
        <w:t xml:space="preserve"> the community</w:t>
      </w:r>
      <w:r w:rsidRPr="00CC0A57">
        <w:rPr>
          <w:rFonts w:ascii="Times New Roman" w:hAnsi="Times New Roman"/>
          <w:sz w:val="26"/>
          <w:szCs w:val="26"/>
        </w:rPr>
        <w:t xml:space="preserve"> by demonstrating that the responsibility for that kind of moral judgment was in safe hands.</w:t>
      </w:r>
    </w:p>
    <w:p w14:paraId="6023B91E" w14:textId="3AAD5E07"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What then of capability?  Why would we think that judges have the necessary equipment — intellectual or philosophical — to enable them to be moral reasoners?  For that is </w:t>
      </w:r>
      <w:r w:rsidR="00735F58">
        <w:rPr>
          <w:rFonts w:ascii="Times New Roman" w:hAnsi="Times New Roman"/>
          <w:sz w:val="26"/>
          <w:szCs w:val="26"/>
        </w:rPr>
        <w:lastRenderedPageBreak/>
        <w:t xml:space="preserve">certainly </w:t>
      </w:r>
      <w:r w:rsidRPr="00CC0A57">
        <w:rPr>
          <w:rFonts w:ascii="Times New Roman" w:hAnsi="Times New Roman"/>
          <w:sz w:val="26"/>
          <w:szCs w:val="26"/>
        </w:rPr>
        <w:t xml:space="preserve">what is required.  In </w:t>
      </w:r>
      <w:r w:rsidRPr="00CC0A57">
        <w:rPr>
          <w:rFonts w:ascii="Times New Roman" w:hAnsi="Times New Roman"/>
          <w:i/>
          <w:sz w:val="26"/>
          <w:szCs w:val="26"/>
        </w:rPr>
        <w:t>Pitt v Holt</w:t>
      </w:r>
      <w:r w:rsidRPr="00CC0A57">
        <w:rPr>
          <w:rFonts w:ascii="Times New Roman" w:hAnsi="Times New Roman"/>
          <w:sz w:val="26"/>
          <w:szCs w:val="26"/>
        </w:rPr>
        <w:t xml:space="preserve">, the question was whether an innocent mistake was sufficient to justify the equitable rescission of a voluntary disposition.  Lord Walker said that it was the task of the judge  to </w:t>
      </w:r>
      <w:r>
        <w:rPr>
          <w:rFonts w:ascii="Times New Roman" w:hAnsi="Times New Roman"/>
          <w:sz w:val="26"/>
          <w:szCs w:val="26"/>
        </w:rPr>
        <w:t>“</w:t>
      </w:r>
      <w:r w:rsidRPr="00CC0A57">
        <w:rPr>
          <w:rFonts w:ascii="Times New Roman" w:hAnsi="Times New Roman"/>
          <w:sz w:val="26"/>
          <w:szCs w:val="26"/>
        </w:rPr>
        <w:t>consult the demands of conscience … with an intense focus on the facts of the particular case</w:t>
      </w:r>
      <w:r>
        <w:rPr>
          <w:rFonts w:ascii="Times New Roman" w:hAnsi="Times New Roman"/>
          <w:sz w:val="26"/>
          <w:szCs w:val="26"/>
        </w:rPr>
        <w:t>”</w:t>
      </w:r>
      <w:r w:rsidRPr="00CC0A57">
        <w:rPr>
          <w:rFonts w:ascii="Times New Roman" w:hAnsi="Times New Roman"/>
          <w:sz w:val="26"/>
          <w:szCs w:val="26"/>
        </w:rPr>
        <w:t xml:space="preserve"> and </w:t>
      </w:r>
      <w:r>
        <w:rPr>
          <w:rFonts w:ascii="Times New Roman" w:hAnsi="Times New Roman"/>
          <w:sz w:val="26"/>
          <w:szCs w:val="26"/>
        </w:rPr>
        <w:t>“</w:t>
      </w:r>
      <w:r w:rsidRPr="00CC0A57">
        <w:rPr>
          <w:rFonts w:ascii="Times New Roman" w:hAnsi="Times New Roman"/>
          <w:sz w:val="26"/>
          <w:szCs w:val="26"/>
        </w:rPr>
        <w:t>make an evaluative judgment whether it would be unconscionable, or unjust, to leave the mistake uncorrected</w:t>
      </w:r>
      <w:r>
        <w:rPr>
          <w:rFonts w:ascii="Times New Roman" w:hAnsi="Times New Roman"/>
          <w:sz w:val="26"/>
          <w:szCs w:val="26"/>
        </w:rPr>
        <w:t>”</w:t>
      </w:r>
      <w:r w:rsidRPr="00CC0A57">
        <w:rPr>
          <w:rFonts w:ascii="Times New Roman" w:hAnsi="Times New Roman"/>
          <w:sz w:val="26"/>
          <w:szCs w:val="26"/>
        </w:rPr>
        <w:t>.</w:t>
      </w:r>
    </w:p>
    <w:p w14:paraId="558199BA" w14:textId="5BB26891"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There is, I think, a respectable view that judges have — or at least can develop — the requisite capability.  Lord Goff, in a 1989 speech, described the judge’s function as reasoning upwards from the facts of the case</w:t>
      </w:r>
      <w:r w:rsidR="0058122E">
        <w:rPr>
          <w:rFonts w:ascii="Times New Roman" w:hAnsi="Times New Roman"/>
          <w:sz w:val="26"/>
          <w:szCs w:val="26"/>
        </w:rPr>
        <w:t xml:space="preserve"> and</w:t>
      </w:r>
      <w:r w:rsidRPr="00CC0A57">
        <w:rPr>
          <w:rFonts w:ascii="Times New Roman" w:hAnsi="Times New Roman"/>
          <w:sz w:val="26"/>
          <w:szCs w:val="26"/>
        </w:rPr>
        <w:t>:</w:t>
      </w:r>
    </w:p>
    <w:p w14:paraId="67F348A3" w14:textId="70E41E85" w:rsidR="00C17FFA" w:rsidRPr="00CC0A57" w:rsidRDefault="00CC5799"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C17FFA" w:rsidRPr="00CC5799">
        <w:rPr>
          <w:rFonts w:ascii="Times New Roman" w:hAnsi="Times New Roman"/>
          <w:sz w:val="26"/>
          <w:szCs w:val="26"/>
        </w:rPr>
        <w:t>searching</w:t>
      </w:r>
      <w:r w:rsidR="00C17FFA" w:rsidRPr="00CC0A57">
        <w:rPr>
          <w:rFonts w:ascii="Times New Roman" w:hAnsi="Times New Roman"/>
          <w:sz w:val="26"/>
          <w:szCs w:val="26"/>
        </w:rPr>
        <w:t xml:space="preserve"> for principles which accord with a professionally developed sense of justice and an intuitive sense of a just result in the case before the Court.</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32"/>
      </w:r>
    </w:p>
    <w:p w14:paraId="76E9C8BB" w14:textId="1A8B0922"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The </w:t>
      </w:r>
      <w:r w:rsidR="0058122E">
        <w:rPr>
          <w:rFonts w:ascii="Times New Roman" w:hAnsi="Times New Roman"/>
          <w:sz w:val="26"/>
          <w:szCs w:val="26"/>
        </w:rPr>
        <w:t xml:space="preserve">Australian </w:t>
      </w:r>
      <w:r w:rsidRPr="00CC0A57">
        <w:rPr>
          <w:rFonts w:ascii="Times New Roman" w:hAnsi="Times New Roman"/>
          <w:sz w:val="26"/>
          <w:szCs w:val="26"/>
        </w:rPr>
        <w:t>legal philosopher John Tasioulas argues that:</w:t>
      </w:r>
    </w:p>
    <w:p w14:paraId="3DC2CA15" w14:textId="77777777" w:rsidR="00C17FFA" w:rsidRPr="00CC0A57" w:rsidRDefault="00C17FF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Pr="00CC0A57">
        <w:rPr>
          <w:rFonts w:ascii="Times New Roman" w:hAnsi="Times New Roman"/>
          <w:sz w:val="26"/>
          <w:szCs w:val="26"/>
        </w:rPr>
        <w:t>In modern democratic societies, considerations such as the relative political insularity of judges and the piecemeal and discursive nature of their decisions mark them out as well suited to perform certain vital social tasks through ethical reasoning.</w:t>
      </w:r>
      <w:r>
        <w:rPr>
          <w:rFonts w:ascii="Times New Roman" w:hAnsi="Times New Roman"/>
          <w:sz w:val="26"/>
          <w:szCs w:val="26"/>
        </w:rPr>
        <w:t>”</w:t>
      </w:r>
      <w:r w:rsidRPr="00CC0A57">
        <w:rPr>
          <w:rStyle w:val="FootnoteReference"/>
          <w:rFonts w:ascii="Times New Roman" w:hAnsi="Times New Roman"/>
          <w:sz w:val="26"/>
          <w:szCs w:val="26"/>
        </w:rPr>
        <w:footnoteReference w:id="33"/>
      </w:r>
    </w:p>
    <w:p w14:paraId="53E0B580" w14:textId="77777777"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And Dr Samet argues that:</w:t>
      </w:r>
    </w:p>
    <w:p w14:paraId="02D961D5" w14:textId="7E9DA85B" w:rsidR="00C17FFA" w:rsidRPr="00CC0A57" w:rsidRDefault="00745188"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C17FFA" w:rsidRPr="00CC0A57">
        <w:rPr>
          <w:rFonts w:ascii="Times New Roman" w:hAnsi="Times New Roman"/>
          <w:sz w:val="26"/>
          <w:szCs w:val="26"/>
        </w:rPr>
        <w:t>Various attributes of the judiciary have a positive impact on the chances that its members get the answers to moral questions right.  First, the procedure and etiquette of adjudication create a working environment in which risk factors, such as bias, are constantly controlled for …  Second, on the bench, judges become habituated to listening to both sides before making up their mind, gain proficiency at sifting truth from falsehood, and get accustomed to exercising a detached judgment.  These executive virtues and skills are necessary in a good judge, but they also make it easier for them to excel as moral reasoners.  The court room is thus a highly nurturing environment for straight thinking over problems in morality.</w:t>
      </w:r>
      <w:r w:rsidR="00C17FFA">
        <w:rPr>
          <w:rFonts w:ascii="Times New Roman" w:hAnsi="Times New Roman"/>
          <w:sz w:val="26"/>
          <w:szCs w:val="26"/>
        </w:rPr>
        <w:t>”</w:t>
      </w:r>
      <w:r w:rsidR="00C17FFA" w:rsidRPr="00CC0A57">
        <w:rPr>
          <w:rStyle w:val="FootnoteReference"/>
          <w:rFonts w:ascii="Times New Roman" w:hAnsi="Times New Roman"/>
          <w:sz w:val="26"/>
          <w:szCs w:val="26"/>
        </w:rPr>
        <w:footnoteReference w:id="34"/>
      </w:r>
    </w:p>
    <w:p w14:paraId="688AE6A4" w14:textId="6071D846"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I turn to my third question, concerning the uncertainty said to follow from the use of such an imprecise concept as unconsionability.  I mentioned earlier that </w:t>
      </w:r>
      <w:r w:rsidRPr="00CC0A57">
        <w:rPr>
          <w:rFonts w:ascii="Times New Roman" w:hAnsi="Times New Roman"/>
          <w:i/>
          <w:sz w:val="26"/>
          <w:szCs w:val="26"/>
        </w:rPr>
        <w:t>Amadio</w:t>
      </w:r>
      <w:r w:rsidRPr="00CC0A57">
        <w:rPr>
          <w:rFonts w:ascii="Times New Roman" w:hAnsi="Times New Roman"/>
          <w:sz w:val="26"/>
          <w:szCs w:val="26"/>
        </w:rPr>
        <w:t xml:space="preserve"> was a 3–2 decision.  So was the subsequent High Court decision on unconscionability in </w:t>
      </w:r>
      <w:r w:rsidRPr="00CC0A57">
        <w:rPr>
          <w:rFonts w:ascii="Times New Roman" w:hAnsi="Times New Roman"/>
          <w:i/>
          <w:sz w:val="26"/>
          <w:szCs w:val="26"/>
        </w:rPr>
        <w:t>Bridgewater</w:t>
      </w:r>
      <w:r w:rsidR="0058122E">
        <w:rPr>
          <w:rFonts w:ascii="Times New Roman" w:hAnsi="Times New Roman"/>
          <w:sz w:val="26"/>
          <w:szCs w:val="26"/>
        </w:rPr>
        <w:t xml:space="preserve">.  I have already mentioned the 4–3 split in </w:t>
      </w:r>
      <w:r w:rsidR="0058122E">
        <w:rPr>
          <w:rFonts w:ascii="Times New Roman" w:hAnsi="Times New Roman"/>
          <w:i/>
          <w:sz w:val="26"/>
          <w:szCs w:val="26"/>
        </w:rPr>
        <w:t>Kobelt</w:t>
      </w:r>
      <w:r w:rsidR="0058122E">
        <w:rPr>
          <w:rFonts w:ascii="Times New Roman" w:hAnsi="Times New Roman"/>
          <w:sz w:val="26"/>
          <w:szCs w:val="26"/>
        </w:rPr>
        <w:t xml:space="preserve">.  The different formulations in the judgments </w:t>
      </w:r>
      <w:r w:rsidR="00CC5799">
        <w:rPr>
          <w:rFonts w:ascii="Times New Roman" w:hAnsi="Times New Roman"/>
          <w:sz w:val="26"/>
          <w:szCs w:val="26"/>
        </w:rPr>
        <w:t xml:space="preserve">in that case </w:t>
      </w:r>
      <w:r w:rsidR="0058122E">
        <w:rPr>
          <w:rFonts w:ascii="Times New Roman" w:hAnsi="Times New Roman"/>
          <w:sz w:val="26"/>
          <w:szCs w:val="26"/>
        </w:rPr>
        <w:t>demonstrate how much room there is for minds to differ on whether particular conduct is unconscionable.</w:t>
      </w:r>
      <w:r w:rsidRPr="00CC0A57">
        <w:rPr>
          <w:rFonts w:ascii="Times New Roman" w:hAnsi="Times New Roman"/>
          <w:sz w:val="26"/>
          <w:szCs w:val="26"/>
        </w:rPr>
        <w:t xml:space="preserve">  </w:t>
      </w:r>
    </w:p>
    <w:p w14:paraId="33BF1F9C" w14:textId="43386A5E"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In the field of statutory interpretation, I have — both in recent decisions</w:t>
      </w:r>
      <w:r w:rsidR="00935FBD">
        <w:rPr>
          <w:rStyle w:val="FootnoteReference"/>
          <w:rFonts w:ascii="Times New Roman" w:hAnsi="Times New Roman"/>
          <w:sz w:val="26"/>
          <w:szCs w:val="26"/>
        </w:rPr>
        <w:footnoteReference w:id="35"/>
      </w:r>
      <w:r w:rsidRPr="00CC0A57">
        <w:rPr>
          <w:rFonts w:ascii="Times New Roman" w:hAnsi="Times New Roman"/>
          <w:sz w:val="26"/>
          <w:szCs w:val="26"/>
        </w:rPr>
        <w:t xml:space="preserve"> and in an article </w:t>
      </w:r>
      <w:r w:rsidRPr="00CC0A57">
        <w:rPr>
          <w:rFonts w:ascii="Times New Roman" w:hAnsi="Times New Roman"/>
          <w:sz w:val="26"/>
          <w:szCs w:val="26"/>
        </w:rPr>
        <w:lastRenderedPageBreak/>
        <w:t>just published</w:t>
      </w:r>
      <w:r w:rsidR="00A32DBB">
        <w:rPr>
          <w:rStyle w:val="FootnoteReference"/>
          <w:rFonts w:ascii="Times New Roman" w:hAnsi="Times New Roman"/>
          <w:sz w:val="26"/>
          <w:szCs w:val="26"/>
        </w:rPr>
        <w:footnoteReference w:id="36"/>
      </w:r>
      <w:r w:rsidRPr="00CC0A57">
        <w:rPr>
          <w:rFonts w:ascii="Times New Roman" w:hAnsi="Times New Roman"/>
          <w:sz w:val="26"/>
          <w:szCs w:val="26"/>
        </w:rPr>
        <w:t xml:space="preserve"> —</w:t>
      </w:r>
      <w:r w:rsidR="00A32DBB">
        <w:rPr>
          <w:rFonts w:ascii="Times New Roman" w:hAnsi="Times New Roman"/>
          <w:sz w:val="26"/>
          <w:szCs w:val="26"/>
        </w:rPr>
        <w:t xml:space="preserve"> sought to emphasise</w:t>
      </w:r>
      <w:r w:rsidR="00CC5799">
        <w:rPr>
          <w:rFonts w:ascii="Times New Roman" w:hAnsi="Times New Roman"/>
          <w:sz w:val="26"/>
          <w:szCs w:val="26"/>
        </w:rPr>
        <w:t xml:space="preserve"> </w:t>
      </w:r>
      <w:r w:rsidRPr="00CC0A57">
        <w:rPr>
          <w:rFonts w:ascii="Times New Roman" w:hAnsi="Times New Roman"/>
          <w:sz w:val="26"/>
          <w:szCs w:val="26"/>
        </w:rPr>
        <w:t xml:space="preserve">the rule of law virtues of clarity, certainty and predictability.  </w:t>
      </w:r>
      <w:r w:rsidR="00CC5799">
        <w:rPr>
          <w:rFonts w:ascii="Times New Roman" w:hAnsi="Times New Roman"/>
          <w:sz w:val="26"/>
          <w:szCs w:val="26"/>
        </w:rPr>
        <w:t xml:space="preserve">Those purposes are best served by giving primacy to the statutory text, </w:t>
      </w:r>
      <w:r w:rsidR="00B33EFF">
        <w:rPr>
          <w:rFonts w:ascii="Times New Roman" w:hAnsi="Times New Roman"/>
          <w:sz w:val="26"/>
          <w:szCs w:val="26"/>
        </w:rPr>
        <w:t xml:space="preserve">that being </w:t>
      </w:r>
      <w:r w:rsidR="00CC5799">
        <w:rPr>
          <w:rFonts w:ascii="Times New Roman" w:hAnsi="Times New Roman"/>
          <w:sz w:val="26"/>
          <w:szCs w:val="26"/>
        </w:rPr>
        <w:t xml:space="preserve">the approach clearly prescribed by the High Court.  </w:t>
      </w:r>
      <w:r w:rsidR="007865FD">
        <w:rPr>
          <w:rFonts w:ascii="Times New Roman" w:hAnsi="Times New Roman"/>
          <w:sz w:val="26"/>
          <w:szCs w:val="26"/>
        </w:rPr>
        <w:t>In my view, n</w:t>
      </w:r>
      <w:r w:rsidR="0058122E">
        <w:rPr>
          <w:rFonts w:ascii="Times New Roman" w:hAnsi="Times New Roman"/>
          <w:sz w:val="26"/>
          <w:szCs w:val="26"/>
        </w:rPr>
        <w:t>either citizens nor public officials should</w:t>
      </w:r>
      <w:r w:rsidRPr="00CC0A57">
        <w:rPr>
          <w:rFonts w:ascii="Times New Roman" w:hAnsi="Times New Roman"/>
          <w:sz w:val="26"/>
          <w:szCs w:val="26"/>
        </w:rPr>
        <w:t xml:space="preserve"> have to look beyond the statutory language to discover what their</w:t>
      </w:r>
      <w:r w:rsidR="00CC5799">
        <w:rPr>
          <w:rFonts w:ascii="Times New Roman" w:hAnsi="Times New Roman"/>
          <w:sz w:val="26"/>
          <w:szCs w:val="26"/>
        </w:rPr>
        <w:t xml:space="preserve"> rights, powers and obligations are</w:t>
      </w:r>
      <w:r w:rsidRPr="00CC0A57">
        <w:rPr>
          <w:rFonts w:ascii="Times New Roman" w:hAnsi="Times New Roman"/>
          <w:sz w:val="26"/>
          <w:szCs w:val="26"/>
        </w:rPr>
        <w:t xml:space="preserve">.  </w:t>
      </w:r>
    </w:p>
    <w:p w14:paraId="557F8C9C" w14:textId="68681D66" w:rsidR="007865FD" w:rsidRDefault="000C2134"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Why, then, should we accept an undefined — perhaps indefinable — concept like unconscionability?</w:t>
      </w:r>
      <w:r w:rsidR="00C17FFA" w:rsidRPr="00CC0A57">
        <w:rPr>
          <w:rFonts w:ascii="Times New Roman" w:hAnsi="Times New Roman"/>
          <w:sz w:val="26"/>
          <w:szCs w:val="26"/>
        </w:rPr>
        <w:t xml:space="preserve"> </w:t>
      </w:r>
      <w:r w:rsidR="00CC5799">
        <w:rPr>
          <w:rFonts w:ascii="Times New Roman" w:hAnsi="Times New Roman"/>
          <w:sz w:val="26"/>
          <w:szCs w:val="26"/>
        </w:rPr>
        <w:t xml:space="preserve"> </w:t>
      </w:r>
      <w:r w:rsidR="007865FD">
        <w:rPr>
          <w:rFonts w:ascii="Times New Roman" w:hAnsi="Times New Roman"/>
          <w:sz w:val="26"/>
          <w:szCs w:val="26"/>
        </w:rPr>
        <w:t>Doesn’t a law which uses that language conflict with the value of certainty in commercial life?</w:t>
      </w:r>
      <w:r w:rsidR="003C745F">
        <w:rPr>
          <w:rStyle w:val="FootnoteReference"/>
          <w:rFonts w:ascii="Times New Roman" w:hAnsi="Times New Roman"/>
          <w:sz w:val="26"/>
          <w:szCs w:val="26"/>
        </w:rPr>
        <w:footnoteReference w:id="37"/>
      </w:r>
      <w:r w:rsidR="007865FD">
        <w:rPr>
          <w:rFonts w:ascii="Times New Roman" w:hAnsi="Times New Roman"/>
          <w:sz w:val="26"/>
          <w:szCs w:val="26"/>
        </w:rPr>
        <w:t xml:space="preserve">  </w:t>
      </w:r>
      <w:r w:rsidR="00CC5799">
        <w:rPr>
          <w:rFonts w:ascii="Times New Roman" w:hAnsi="Times New Roman"/>
          <w:sz w:val="26"/>
          <w:szCs w:val="26"/>
        </w:rPr>
        <w:t xml:space="preserve">Wasn’t Professor Birks right when he said:  “… </w:t>
      </w:r>
      <w:r w:rsidR="00A06729">
        <w:rPr>
          <w:rFonts w:ascii="Times New Roman" w:hAnsi="Times New Roman"/>
          <w:sz w:val="26"/>
          <w:szCs w:val="26"/>
        </w:rPr>
        <w:t>‘</w:t>
      </w:r>
      <w:r w:rsidR="00CC5799">
        <w:rPr>
          <w:rFonts w:ascii="Times New Roman" w:hAnsi="Times New Roman"/>
          <w:sz w:val="26"/>
          <w:szCs w:val="26"/>
        </w:rPr>
        <w:t>unconscionable</w:t>
      </w:r>
      <w:r w:rsidR="00A06729">
        <w:rPr>
          <w:rFonts w:ascii="Times New Roman" w:hAnsi="Times New Roman"/>
          <w:sz w:val="26"/>
          <w:szCs w:val="26"/>
        </w:rPr>
        <w:t>’</w:t>
      </w:r>
      <w:r w:rsidR="00CC5799">
        <w:rPr>
          <w:rFonts w:ascii="Times New Roman" w:hAnsi="Times New Roman"/>
          <w:sz w:val="26"/>
          <w:szCs w:val="26"/>
        </w:rPr>
        <w:t xml:space="preserve"> is so unspecific that it simply conceals a private and intuitive evaluation.  …</w:t>
      </w:r>
      <w:r w:rsidR="007B2AB3">
        <w:rPr>
          <w:rFonts w:ascii="Times New Roman" w:hAnsi="Times New Roman"/>
          <w:sz w:val="26"/>
          <w:szCs w:val="26"/>
        </w:rPr>
        <w:t xml:space="preserve"> </w:t>
      </w:r>
      <w:r w:rsidR="00CC5799">
        <w:rPr>
          <w:rFonts w:ascii="Times New Roman" w:hAnsi="Times New Roman"/>
          <w:sz w:val="26"/>
          <w:szCs w:val="26"/>
        </w:rPr>
        <w:t xml:space="preserve"> The law must be so stated as to facilitate prediction and advice”.</w:t>
      </w:r>
      <w:r w:rsidR="00CC5799">
        <w:rPr>
          <w:rStyle w:val="FootnoteReference"/>
          <w:rFonts w:ascii="Times New Roman" w:hAnsi="Times New Roman"/>
          <w:sz w:val="26"/>
          <w:szCs w:val="26"/>
        </w:rPr>
        <w:footnoteReference w:id="38"/>
      </w:r>
      <w:r w:rsidR="00C17FFA" w:rsidRPr="00CC0A57">
        <w:rPr>
          <w:rFonts w:ascii="Times New Roman" w:hAnsi="Times New Roman"/>
          <w:sz w:val="26"/>
          <w:szCs w:val="26"/>
        </w:rPr>
        <w:t xml:space="preserve"> </w:t>
      </w:r>
    </w:p>
    <w:p w14:paraId="5BD90FF6" w14:textId="781A0373" w:rsidR="007865FD" w:rsidRDefault="007865F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Here, I think, other values must prevail over the demand for certainty.  </w:t>
      </w:r>
      <w:r w:rsidR="00C17FFA" w:rsidRPr="00CC0A57">
        <w:rPr>
          <w:rFonts w:ascii="Times New Roman" w:hAnsi="Times New Roman"/>
          <w:sz w:val="26"/>
          <w:szCs w:val="26"/>
        </w:rPr>
        <w:t>Reading what Harding, Samet and Agnew have written</w:t>
      </w:r>
      <w:r w:rsidR="00B33EFF">
        <w:rPr>
          <w:rFonts w:ascii="Times New Roman" w:hAnsi="Times New Roman"/>
          <w:sz w:val="26"/>
          <w:szCs w:val="26"/>
        </w:rPr>
        <w:t xml:space="preserve"> has</w:t>
      </w:r>
      <w:r w:rsidR="00C17FFA" w:rsidRPr="00CC0A57">
        <w:rPr>
          <w:rFonts w:ascii="Times New Roman" w:hAnsi="Times New Roman"/>
          <w:sz w:val="26"/>
          <w:szCs w:val="26"/>
        </w:rPr>
        <w:t xml:space="preserve"> entirely persuaded me that it is a </w:t>
      </w:r>
      <w:r w:rsidR="00C17FFA" w:rsidRPr="00CC0A57">
        <w:rPr>
          <w:rFonts w:ascii="Times New Roman" w:hAnsi="Times New Roman"/>
          <w:i/>
          <w:sz w:val="26"/>
          <w:szCs w:val="26"/>
        </w:rPr>
        <w:t>virtue</w:t>
      </w:r>
      <w:r w:rsidR="00C17FFA" w:rsidRPr="00CC0A57">
        <w:rPr>
          <w:rFonts w:ascii="Times New Roman" w:hAnsi="Times New Roman"/>
          <w:sz w:val="26"/>
          <w:szCs w:val="26"/>
        </w:rPr>
        <w:t xml:space="preserve"> of the equitable (and statutory) concept of conscience that it is </w:t>
      </w:r>
      <w:r w:rsidR="00C17FFA" w:rsidRPr="00CC0A57">
        <w:rPr>
          <w:rFonts w:ascii="Times New Roman" w:hAnsi="Times New Roman"/>
          <w:i/>
          <w:sz w:val="26"/>
          <w:szCs w:val="26"/>
        </w:rPr>
        <w:t>not</w:t>
      </w:r>
      <w:r w:rsidR="00C17FFA" w:rsidRPr="00CC0A57">
        <w:rPr>
          <w:rFonts w:ascii="Times New Roman" w:hAnsi="Times New Roman"/>
          <w:sz w:val="26"/>
          <w:szCs w:val="26"/>
        </w:rPr>
        <w:t xml:space="preserve"> rule–like, that it </w:t>
      </w:r>
      <w:r w:rsidR="00C17FFA" w:rsidRPr="00CC0A57">
        <w:rPr>
          <w:rFonts w:ascii="Times New Roman" w:hAnsi="Times New Roman"/>
          <w:i/>
          <w:sz w:val="26"/>
          <w:szCs w:val="26"/>
        </w:rPr>
        <w:t>does</w:t>
      </w:r>
      <w:r w:rsidR="00C17FFA" w:rsidRPr="00CC0A57">
        <w:rPr>
          <w:rFonts w:ascii="Times New Roman" w:hAnsi="Times New Roman"/>
          <w:sz w:val="26"/>
          <w:szCs w:val="26"/>
        </w:rPr>
        <w:t xml:space="preserve"> establish </w:t>
      </w:r>
      <w:r w:rsidR="00C17FFA">
        <w:rPr>
          <w:rFonts w:ascii="Times New Roman" w:hAnsi="Times New Roman"/>
          <w:sz w:val="26"/>
          <w:szCs w:val="26"/>
        </w:rPr>
        <w:t>“</w:t>
      </w:r>
      <w:r w:rsidR="00C17FFA" w:rsidRPr="00CC0A57">
        <w:rPr>
          <w:rFonts w:ascii="Times New Roman" w:hAnsi="Times New Roman"/>
          <w:sz w:val="26"/>
          <w:szCs w:val="26"/>
        </w:rPr>
        <w:t>open–ended standards</w:t>
      </w:r>
      <w:r w:rsidR="00C17FFA">
        <w:rPr>
          <w:rFonts w:ascii="Times New Roman" w:hAnsi="Times New Roman"/>
          <w:sz w:val="26"/>
          <w:szCs w:val="26"/>
        </w:rPr>
        <w:t>”</w:t>
      </w:r>
      <w:r w:rsidR="00C17FFA" w:rsidRPr="00CC0A57">
        <w:rPr>
          <w:rFonts w:ascii="Times New Roman" w:hAnsi="Times New Roman"/>
          <w:sz w:val="26"/>
          <w:szCs w:val="26"/>
        </w:rPr>
        <w:t xml:space="preserve"> and that it </w:t>
      </w:r>
      <w:r w:rsidR="00C17FFA" w:rsidRPr="00B33EFF">
        <w:rPr>
          <w:rFonts w:ascii="Times New Roman" w:hAnsi="Times New Roman"/>
          <w:i/>
          <w:sz w:val="26"/>
          <w:szCs w:val="26"/>
        </w:rPr>
        <w:t>does</w:t>
      </w:r>
      <w:r w:rsidR="00C17FFA" w:rsidRPr="00CC0A57">
        <w:rPr>
          <w:rFonts w:ascii="Times New Roman" w:hAnsi="Times New Roman"/>
          <w:sz w:val="26"/>
          <w:szCs w:val="26"/>
        </w:rPr>
        <w:t xml:space="preserve"> prevent unfair advantage being taken of the rigidity of rules.</w:t>
      </w:r>
      <w:r w:rsidR="00C17FFA" w:rsidRPr="00CC0A57">
        <w:rPr>
          <w:rStyle w:val="FootnoteReference"/>
          <w:rFonts w:ascii="Times New Roman" w:hAnsi="Times New Roman"/>
          <w:sz w:val="26"/>
          <w:szCs w:val="26"/>
        </w:rPr>
        <w:footnoteReference w:id="39"/>
      </w:r>
      <w:r w:rsidR="00C17FFA" w:rsidRPr="00CC0A57">
        <w:rPr>
          <w:rFonts w:ascii="Times New Roman" w:hAnsi="Times New Roman"/>
          <w:sz w:val="26"/>
          <w:szCs w:val="26"/>
        </w:rPr>
        <w:t xml:space="preserve">  </w:t>
      </w:r>
    </w:p>
    <w:p w14:paraId="462C8215" w14:textId="67F1876E"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Mat</w:t>
      </w:r>
      <w:r w:rsidR="00B33EFF">
        <w:rPr>
          <w:rFonts w:ascii="Times New Roman" w:hAnsi="Times New Roman"/>
          <w:sz w:val="26"/>
          <w:szCs w:val="26"/>
        </w:rPr>
        <w:t>thew Harding puts the point</w:t>
      </w:r>
      <w:r w:rsidRPr="00CC0A57">
        <w:rPr>
          <w:rFonts w:ascii="Times New Roman" w:hAnsi="Times New Roman"/>
          <w:sz w:val="26"/>
          <w:szCs w:val="26"/>
        </w:rPr>
        <w:t xml:space="preserve"> well:</w:t>
      </w:r>
    </w:p>
    <w:p w14:paraId="34873460" w14:textId="77777777" w:rsidR="00C17FFA" w:rsidRPr="00CC0A57" w:rsidRDefault="00C17FFA" w:rsidP="00745188">
      <w:pPr>
        <w:pStyle w:val="Quote1"/>
        <w:spacing w:after="240"/>
        <w:ind w:left="720"/>
        <w:rPr>
          <w:rFonts w:ascii="Times New Roman" w:hAnsi="Times New Roman"/>
          <w:sz w:val="26"/>
          <w:szCs w:val="26"/>
        </w:rPr>
      </w:pPr>
      <w:r>
        <w:rPr>
          <w:rFonts w:ascii="Times New Roman" w:hAnsi="Times New Roman"/>
          <w:sz w:val="26"/>
          <w:szCs w:val="26"/>
        </w:rPr>
        <w:t>“</w:t>
      </w:r>
      <w:r w:rsidRPr="00CC0A57">
        <w:rPr>
          <w:rFonts w:ascii="Times New Roman" w:hAnsi="Times New Roman"/>
          <w:sz w:val="26"/>
          <w:szCs w:val="26"/>
        </w:rPr>
        <w:t>‘… Indeterminacy in equity may promote moral purposes of other sorts’.  For example, by formulating doctrine according to the vague concept of conscience, equity may demand of citizens that they sometimes work out for themselves what conscience demands as they act and plan.</w:t>
      </w:r>
      <w:r>
        <w:rPr>
          <w:rFonts w:ascii="Times New Roman" w:hAnsi="Times New Roman"/>
          <w:sz w:val="26"/>
          <w:szCs w:val="26"/>
        </w:rPr>
        <w:t>”</w:t>
      </w:r>
      <w:r w:rsidRPr="00CC0A57">
        <w:rPr>
          <w:rStyle w:val="FootnoteReference"/>
          <w:rFonts w:ascii="Times New Roman" w:hAnsi="Times New Roman"/>
          <w:sz w:val="26"/>
          <w:szCs w:val="26"/>
        </w:rPr>
        <w:footnoteReference w:id="40"/>
      </w:r>
    </w:p>
    <w:p w14:paraId="13BD25A7" w14:textId="77777777" w:rsidR="00B33EFF"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On this view, </w:t>
      </w:r>
      <w:r w:rsidR="000C2134">
        <w:rPr>
          <w:rFonts w:ascii="Times New Roman" w:hAnsi="Times New Roman"/>
          <w:sz w:val="26"/>
          <w:szCs w:val="26"/>
        </w:rPr>
        <w:t xml:space="preserve">uncertainty </w:t>
      </w:r>
      <w:r w:rsidR="00B33EFF">
        <w:rPr>
          <w:rFonts w:ascii="Times New Roman" w:hAnsi="Times New Roman"/>
          <w:sz w:val="26"/>
          <w:szCs w:val="26"/>
        </w:rPr>
        <w:t>in the</w:t>
      </w:r>
      <w:r w:rsidR="000C2134">
        <w:rPr>
          <w:rFonts w:ascii="Times New Roman" w:hAnsi="Times New Roman"/>
          <w:sz w:val="26"/>
          <w:szCs w:val="26"/>
        </w:rPr>
        <w:t xml:space="preserve"> application </w:t>
      </w:r>
      <w:r w:rsidR="007865FD">
        <w:rPr>
          <w:rFonts w:ascii="Times New Roman" w:hAnsi="Times New Roman"/>
          <w:sz w:val="26"/>
          <w:szCs w:val="26"/>
        </w:rPr>
        <w:t xml:space="preserve">of the law should </w:t>
      </w:r>
      <w:r w:rsidR="000C2134">
        <w:rPr>
          <w:rFonts w:ascii="Times New Roman" w:hAnsi="Times New Roman"/>
          <w:sz w:val="26"/>
          <w:szCs w:val="26"/>
        </w:rPr>
        <w:t xml:space="preserve">advance </w:t>
      </w:r>
      <w:r w:rsidRPr="00CC0A57">
        <w:rPr>
          <w:rFonts w:ascii="Times New Roman" w:hAnsi="Times New Roman"/>
          <w:sz w:val="26"/>
          <w:szCs w:val="26"/>
        </w:rPr>
        <w:t xml:space="preserve">the high aspirations of equity — to promote and encourage moral awareness and moral agency in the market place.  That is, the risk of conduct being found to be unconscionable, and uncertainty about where the limits might be drawn if the matter went to Court, should encourage a precautionary approach.  </w:t>
      </w:r>
    </w:p>
    <w:p w14:paraId="3A7B1A78" w14:textId="475FEAAD" w:rsidR="000C2134"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The bank officer might adopt a rule of thumb along the following lines:  </w:t>
      </w:r>
      <w:r>
        <w:rPr>
          <w:rFonts w:ascii="Times New Roman" w:hAnsi="Times New Roman"/>
          <w:sz w:val="26"/>
          <w:szCs w:val="26"/>
        </w:rPr>
        <w:t>“</w:t>
      </w:r>
      <w:r w:rsidRPr="00CC0A57">
        <w:rPr>
          <w:rFonts w:ascii="Times New Roman" w:hAnsi="Times New Roman"/>
          <w:sz w:val="26"/>
          <w:szCs w:val="26"/>
        </w:rPr>
        <w:t>If I have a concern that this might be unethical, or unfair, or that I might be taking advantage of a vulnerable person, I shouldn’t do it</w:t>
      </w:r>
      <w:r>
        <w:rPr>
          <w:rFonts w:ascii="Times New Roman" w:hAnsi="Times New Roman"/>
          <w:sz w:val="26"/>
          <w:szCs w:val="26"/>
        </w:rPr>
        <w:t>”</w:t>
      </w:r>
      <w:r w:rsidRPr="00CC0A57">
        <w:rPr>
          <w:rFonts w:ascii="Times New Roman" w:hAnsi="Times New Roman"/>
          <w:sz w:val="26"/>
          <w:szCs w:val="26"/>
        </w:rPr>
        <w:t xml:space="preserve">.  </w:t>
      </w:r>
      <w:r w:rsidR="000C2134">
        <w:rPr>
          <w:rFonts w:ascii="Times New Roman" w:hAnsi="Times New Roman"/>
          <w:sz w:val="26"/>
          <w:szCs w:val="26"/>
        </w:rPr>
        <w:t xml:space="preserve">It is in this sense that Justice Keane in </w:t>
      </w:r>
      <w:r w:rsidR="000C2134">
        <w:rPr>
          <w:rFonts w:ascii="Times New Roman" w:hAnsi="Times New Roman"/>
          <w:i/>
          <w:sz w:val="26"/>
          <w:szCs w:val="26"/>
        </w:rPr>
        <w:t>Kobelt</w:t>
      </w:r>
      <w:r w:rsidR="000C2134">
        <w:rPr>
          <w:rFonts w:ascii="Times New Roman" w:hAnsi="Times New Roman"/>
          <w:sz w:val="26"/>
          <w:szCs w:val="26"/>
        </w:rPr>
        <w:t xml:space="preserve"> spoke of unconscionability as “a </w:t>
      </w:r>
      <w:r w:rsidR="00CC5799">
        <w:rPr>
          <w:rFonts w:ascii="Times New Roman" w:hAnsi="Times New Roman"/>
          <w:sz w:val="26"/>
          <w:szCs w:val="26"/>
        </w:rPr>
        <w:t xml:space="preserve">statutory </w:t>
      </w:r>
      <w:r w:rsidR="000C2134">
        <w:rPr>
          <w:rFonts w:ascii="Times New Roman" w:hAnsi="Times New Roman"/>
          <w:sz w:val="26"/>
          <w:szCs w:val="26"/>
        </w:rPr>
        <w:t>norm of conduct”.</w:t>
      </w:r>
      <w:r w:rsidR="00CC5799">
        <w:rPr>
          <w:rStyle w:val="FootnoteReference"/>
          <w:rFonts w:ascii="Times New Roman" w:hAnsi="Times New Roman"/>
          <w:sz w:val="26"/>
          <w:szCs w:val="26"/>
        </w:rPr>
        <w:footnoteReference w:id="41"/>
      </w:r>
    </w:p>
    <w:p w14:paraId="1832EB35" w14:textId="1E8C5973" w:rsidR="007865FD" w:rsidRPr="00CC0A57" w:rsidRDefault="00A32DBB"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lastRenderedPageBreak/>
        <w:t>As Professor Horrigan noted,</w:t>
      </w:r>
      <w:r>
        <w:rPr>
          <w:rStyle w:val="FootnoteReference"/>
          <w:rFonts w:ascii="Times New Roman" w:hAnsi="Times New Roman"/>
          <w:sz w:val="26"/>
          <w:szCs w:val="26"/>
        </w:rPr>
        <w:footnoteReference w:id="42"/>
      </w:r>
      <w:r>
        <w:rPr>
          <w:rFonts w:ascii="Times New Roman" w:hAnsi="Times New Roman"/>
          <w:sz w:val="26"/>
          <w:szCs w:val="26"/>
        </w:rPr>
        <w:t xml:space="preserve"> </w:t>
      </w:r>
      <w:r w:rsidR="007865FD" w:rsidRPr="00CC0A57">
        <w:rPr>
          <w:rFonts w:ascii="Times New Roman" w:hAnsi="Times New Roman"/>
          <w:sz w:val="26"/>
          <w:szCs w:val="26"/>
        </w:rPr>
        <w:t>for many years before the</w:t>
      </w:r>
      <w:r>
        <w:rPr>
          <w:rFonts w:ascii="Times New Roman" w:hAnsi="Times New Roman"/>
          <w:sz w:val="26"/>
          <w:szCs w:val="26"/>
        </w:rPr>
        <w:t xml:space="preserve"> Royal Commission was announced</w:t>
      </w:r>
      <w:r w:rsidR="007865FD" w:rsidRPr="00CC0A57">
        <w:rPr>
          <w:rFonts w:ascii="Times New Roman" w:hAnsi="Times New Roman"/>
          <w:sz w:val="26"/>
          <w:szCs w:val="26"/>
        </w:rPr>
        <w:t xml:space="preserve"> the Banking Code of Practice contained an explicit promise of ethical conduct:</w:t>
      </w:r>
    </w:p>
    <w:p w14:paraId="747614BC" w14:textId="572D29EC" w:rsidR="007865FD" w:rsidRPr="00CC0A57" w:rsidRDefault="00745188" w:rsidP="00745188">
      <w:pPr>
        <w:pStyle w:val="Quote1"/>
        <w:spacing w:after="240"/>
        <w:ind w:left="720"/>
        <w:rPr>
          <w:rFonts w:ascii="Times New Roman" w:hAnsi="Times New Roman"/>
          <w:sz w:val="26"/>
          <w:szCs w:val="26"/>
        </w:rPr>
      </w:pPr>
      <w:r>
        <w:rPr>
          <w:rFonts w:ascii="Times New Roman" w:hAnsi="Times New Roman"/>
          <w:sz w:val="26"/>
          <w:szCs w:val="26"/>
        </w:rPr>
        <w:t>“</w:t>
      </w:r>
      <w:r w:rsidR="007865FD" w:rsidRPr="00745188">
        <w:rPr>
          <w:rFonts w:ascii="Times New Roman" w:hAnsi="Times New Roman"/>
          <w:sz w:val="26"/>
          <w:szCs w:val="26"/>
        </w:rPr>
        <w:t>We</w:t>
      </w:r>
      <w:r w:rsidR="007865FD">
        <w:rPr>
          <w:rFonts w:ascii="Times New Roman" w:hAnsi="Times New Roman"/>
          <w:sz w:val="26"/>
          <w:szCs w:val="26"/>
        </w:rPr>
        <w:t xml:space="preserve"> will act fairly and reasonably towards </w:t>
      </w:r>
      <w:r w:rsidR="007865FD">
        <w:rPr>
          <w:rFonts w:ascii="Times New Roman" w:hAnsi="Times New Roman"/>
          <w:i/>
          <w:sz w:val="26"/>
          <w:szCs w:val="26"/>
        </w:rPr>
        <w:t>you</w:t>
      </w:r>
      <w:r w:rsidR="007865FD">
        <w:rPr>
          <w:rFonts w:ascii="Times New Roman" w:hAnsi="Times New Roman"/>
          <w:sz w:val="26"/>
          <w:szCs w:val="26"/>
        </w:rPr>
        <w:t xml:space="preserve"> in a consistent and ethical manner.</w:t>
      </w:r>
    </w:p>
    <w:p w14:paraId="7106713F" w14:textId="77777777" w:rsidR="007865FD" w:rsidRPr="00CC0A57" w:rsidRDefault="007865FD" w:rsidP="00745188">
      <w:pPr>
        <w:pStyle w:val="Quote1"/>
        <w:spacing w:after="240"/>
        <w:ind w:left="720"/>
        <w:rPr>
          <w:rFonts w:ascii="Times New Roman" w:hAnsi="Times New Roman"/>
          <w:sz w:val="26"/>
          <w:szCs w:val="26"/>
        </w:rPr>
      </w:pPr>
      <w:r>
        <w:rPr>
          <w:rFonts w:ascii="Times New Roman" w:hAnsi="Times New Roman"/>
          <w:sz w:val="26"/>
          <w:szCs w:val="26"/>
        </w:rPr>
        <w:t>In doing so</w:t>
      </w:r>
      <w:r w:rsidRPr="00CC0A57">
        <w:rPr>
          <w:rFonts w:ascii="Times New Roman" w:hAnsi="Times New Roman"/>
          <w:sz w:val="26"/>
          <w:szCs w:val="26"/>
        </w:rPr>
        <w:t xml:space="preserve"> </w:t>
      </w:r>
      <w:r w:rsidRPr="00CC0A57">
        <w:rPr>
          <w:rFonts w:ascii="Times New Roman" w:hAnsi="Times New Roman"/>
          <w:i/>
          <w:sz w:val="26"/>
          <w:szCs w:val="26"/>
        </w:rPr>
        <w:t xml:space="preserve">we </w:t>
      </w:r>
      <w:r w:rsidRPr="00CC0A57">
        <w:rPr>
          <w:rFonts w:ascii="Times New Roman" w:hAnsi="Times New Roman"/>
          <w:sz w:val="26"/>
          <w:szCs w:val="26"/>
        </w:rPr>
        <w:t xml:space="preserve">will consider </w:t>
      </w:r>
      <w:r w:rsidRPr="00CC0A57">
        <w:rPr>
          <w:rFonts w:ascii="Times New Roman" w:hAnsi="Times New Roman"/>
          <w:i/>
          <w:sz w:val="26"/>
          <w:szCs w:val="26"/>
        </w:rPr>
        <w:t xml:space="preserve">your </w:t>
      </w:r>
      <w:r w:rsidRPr="00CC0A57">
        <w:rPr>
          <w:rFonts w:ascii="Times New Roman" w:hAnsi="Times New Roman"/>
          <w:sz w:val="26"/>
          <w:szCs w:val="26"/>
        </w:rPr>
        <w:t xml:space="preserve">conduct, </w:t>
      </w:r>
      <w:r w:rsidRPr="00CC0A57">
        <w:rPr>
          <w:rFonts w:ascii="Times New Roman" w:hAnsi="Times New Roman"/>
          <w:i/>
          <w:sz w:val="26"/>
          <w:szCs w:val="26"/>
        </w:rPr>
        <w:t xml:space="preserve">our </w:t>
      </w:r>
      <w:r w:rsidRPr="00CC0A57">
        <w:rPr>
          <w:rFonts w:ascii="Times New Roman" w:hAnsi="Times New Roman"/>
          <w:sz w:val="26"/>
          <w:szCs w:val="26"/>
        </w:rPr>
        <w:t>conduct and the contract between us.</w:t>
      </w:r>
      <w:r>
        <w:rPr>
          <w:rFonts w:ascii="Times New Roman" w:hAnsi="Times New Roman"/>
          <w:sz w:val="26"/>
          <w:szCs w:val="26"/>
        </w:rPr>
        <w:t>”</w:t>
      </w:r>
      <w:r w:rsidRPr="00CC0A57">
        <w:rPr>
          <w:rStyle w:val="FootnoteReference"/>
          <w:rFonts w:ascii="Times New Roman" w:hAnsi="Times New Roman"/>
          <w:sz w:val="26"/>
          <w:szCs w:val="26"/>
        </w:rPr>
        <w:footnoteReference w:id="43"/>
      </w:r>
    </w:p>
    <w:p w14:paraId="05191752" w14:textId="3CE4D4C2" w:rsidR="000C2134" w:rsidRDefault="007865F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On this question of certainty, y</w:t>
      </w:r>
      <w:r w:rsidR="000C2134">
        <w:rPr>
          <w:rFonts w:ascii="Times New Roman" w:hAnsi="Times New Roman"/>
          <w:sz w:val="26"/>
          <w:szCs w:val="26"/>
        </w:rPr>
        <w:t>ou will be interested to hear that, in September 1992, the Victorian Law Reform Commission published a discussion paper entitled “An Australian Contract Code”.  The proposed Code comprised 27 articles,</w:t>
      </w:r>
      <w:r w:rsidR="00CC5799">
        <w:rPr>
          <w:rFonts w:ascii="Times New Roman" w:hAnsi="Times New Roman"/>
          <w:sz w:val="26"/>
          <w:szCs w:val="26"/>
        </w:rPr>
        <w:t xml:space="preserve"> and its touchstone was the requirements of conscience</w:t>
      </w:r>
      <w:r w:rsidR="000C2134">
        <w:rPr>
          <w:rFonts w:ascii="Times New Roman" w:hAnsi="Times New Roman"/>
          <w:sz w:val="26"/>
          <w:szCs w:val="26"/>
        </w:rPr>
        <w:t>.  For example:</w:t>
      </w:r>
    </w:p>
    <w:p w14:paraId="390A67E0" w14:textId="023FDC0D" w:rsidR="000C2134" w:rsidRPr="000C2134" w:rsidRDefault="00E0764D" w:rsidP="00745188">
      <w:pPr>
        <w:pStyle w:val="Normal-Indent"/>
        <w:spacing w:before="240" w:after="240" w:line="240" w:lineRule="auto"/>
        <w:ind w:right="720"/>
        <w:rPr>
          <w:rFonts w:ascii="Times New Roman" w:hAnsi="Times New Roman"/>
          <w:sz w:val="26"/>
          <w:szCs w:val="26"/>
        </w:rPr>
      </w:pPr>
      <w:r w:rsidRPr="00E0764D">
        <w:rPr>
          <w:rFonts w:ascii="Times New Roman" w:hAnsi="Times New Roman"/>
          <w:sz w:val="26"/>
          <w:szCs w:val="26"/>
        </w:rPr>
        <w:t>“</w:t>
      </w:r>
      <w:r w:rsidR="000C2134" w:rsidRPr="000C2134">
        <w:rPr>
          <w:rFonts w:ascii="Times New Roman" w:hAnsi="Times New Roman"/>
          <w:b/>
          <w:sz w:val="26"/>
          <w:szCs w:val="26"/>
        </w:rPr>
        <w:t>Article 10</w:t>
      </w:r>
    </w:p>
    <w:p w14:paraId="5C5F07B2" w14:textId="77777777" w:rsidR="000C2134" w:rsidRDefault="000C2134"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The obligations of the parties are—</w:t>
      </w:r>
    </w:p>
    <w:p w14:paraId="4F42C7C4" w14:textId="77777777" w:rsidR="000C2134" w:rsidRDefault="000C2134"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to perform their promises exactly</w:t>
      </w:r>
    </w:p>
    <w:p w14:paraId="57422387" w14:textId="669A1AEF" w:rsidR="00C17FFA" w:rsidRDefault="000C2134" w:rsidP="00745188">
      <w:pPr>
        <w:pStyle w:val="Normal-Indent"/>
        <w:spacing w:before="240" w:after="240" w:line="240" w:lineRule="auto"/>
        <w:ind w:left="1440" w:right="720" w:hanging="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to do everything which conscience requires to ensure that each gets the benefit intended by their promises.</w:t>
      </w:r>
    </w:p>
    <w:p w14:paraId="552D206B" w14:textId="74691BBA" w:rsidR="000C2134" w:rsidRPr="000C2134" w:rsidRDefault="000C2134" w:rsidP="00745188">
      <w:pPr>
        <w:pStyle w:val="Normal-Indent"/>
        <w:spacing w:before="240" w:after="240" w:line="240" w:lineRule="auto"/>
        <w:ind w:left="1440" w:right="720" w:hanging="720"/>
        <w:rPr>
          <w:rFonts w:ascii="Times New Roman" w:hAnsi="Times New Roman"/>
          <w:b/>
          <w:sz w:val="26"/>
          <w:szCs w:val="26"/>
        </w:rPr>
      </w:pPr>
      <w:r w:rsidRPr="000C2134">
        <w:rPr>
          <w:rFonts w:ascii="Times New Roman" w:hAnsi="Times New Roman"/>
          <w:b/>
          <w:sz w:val="26"/>
          <w:szCs w:val="26"/>
        </w:rPr>
        <w:t>Article 12</w:t>
      </w:r>
    </w:p>
    <w:p w14:paraId="7F59AA6D" w14:textId="4C8BDB5C" w:rsidR="000C2134" w:rsidRDefault="000C2134"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A party may be excused from performance of a contract to the extent that it would be unconscionable for the other to insist on it.</w:t>
      </w:r>
      <w:r w:rsidR="00E0764D">
        <w:rPr>
          <w:rFonts w:ascii="Times New Roman" w:hAnsi="Times New Roman"/>
          <w:sz w:val="26"/>
          <w:szCs w:val="26"/>
        </w:rPr>
        <w:t>”</w:t>
      </w:r>
    </w:p>
    <w:p w14:paraId="53241B03" w14:textId="202D284A" w:rsidR="00E0764D" w:rsidRDefault="00E0764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The </w:t>
      </w:r>
      <w:r w:rsidR="007865FD">
        <w:rPr>
          <w:rFonts w:ascii="Times New Roman" w:hAnsi="Times New Roman"/>
          <w:sz w:val="26"/>
          <w:szCs w:val="26"/>
        </w:rPr>
        <w:t>“</w:t>
      </w:r>
      <w:r>
        <w:rPr>
          <w:rFonts w:ascii="Times New Roman" w:hAnsi="Times New Roman"/>
          <w:sz w:val="26"/>
          <w:szCs w:val="26"/>
        </w:rPr>
        <w:t>overriding principle</w:t>
      </w:r>
      <w:r w:rsidR="007865FD">
        <w:rPr>
          <w:rFonts w:ascii="Times New Roman" w:hAnsi="Times New Roman"/>
          <w:sz w:val="26"/>
          <w:szCs w:val="26"/>
        </w:rPr>
        <w:t>”</w:t>
      </w:r>
      <w:r>
        <w:rPr>
          <w:rFonts w:ascii="Times New Roman" w:hAnsi="Times New Roman"/>
          <w:sz w:val="26"/>
          <w:szCs w:val="26"/>
        </w:rPr>
        <w:t xml:space="preserve"> was </w:t>
      </w:r>
      <w:r w:rsidR="007865FD">
        <w:rPr>
          <w:rFonts w:ascii="Times New Roman" w:hAnsi="Times New Roman"/>
          <w:sz w:val="26"/>
          <w:szCs w:val="26"/>
        </w:rPr>
        <w:t>proposed to be the following:</w:t>
      </w:r>
    </w:p>
    <w:p w14:paraId="43CE8042" w14:textId="7A7DC35B" w:rsidR="000C2134" w:rsidRPr="000C2134" w:rsidRDefault="00E0764D" w:rsidP="00745188">
      <w:pPr>
        <w:pStyle w:val="Normal-Indent"/>
        <w:spacing w:before="240" w:after="240" w:line="240" w:lineRule="auto"/>
        <w:ind w:right="720"/>
        <w:rPr>
          <w:rFonts w:ascii="Times New Roman" w:hAnsi="Times New Roman"/>
          <w:b/>
          <w:sz w:val="26"/>
          <w:szCs w:val="26"/>
        </w:rPr>
      </w:pPr>
      <w:r>
        <w:rPr>
          <w:rFonts w:ascii="Times New Roman" w:hAnsi="Times New Roman"/>
          <w:sz w:val="26"/>
          <w:szCs w:val="26"/>
        </w:rPr>
        <w:t>“</w:t>
      </w:r>
      <w:r w:rsidR="000C2134" w:rsidRPr="000C2134">
        <w:rPr>
          <w:rFonts w:ascii="Times New Roman" w:hAnsi="Times New Roman"/>
          <w:b/>
          <w:sz w:val="26"/>
          <w:szCs w:val="26"/>
        </w:rPr>
        <w:t>Article 27</w:t>
      </w:r>
    </w:p>
    <w:p w14:paraId="4755A4DF" w14:textId="5C6D3AF7" w:rsidR="000C2134" w:rsidRPr="00CC0A57" w:rsidRDefault="000C2134"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A person may not assert a right or deny an obligation to the extent that it would be unconscionable to do so.”</w:t>
      </w:r>
      <w:r w:rsidR="0027307C">
        <w:rPr>
          <w:rStyle w:val="FootnoteReference"/>
          <w:rFonts w:ascii="Times New Roman" w:hAnsi="Times New Roman"/>
          <w:sz w:val="26"/>
          <w:szCs w:val="26"/>
        </w:rPr>
        <w:footnoteReference w:id="44"/>
      </w:r>
    </w:p>
    <w:p w14:paraId="199E1EA5" w14:textId="5A497FF6"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I turn to deal with what appears, on the basis of what we have all been reading over the last eighteen months, to be the commercial reality.  It would not be an overstatement to say that equity’s moral aspirations appear to remain largely unfulfilled.  The pursuit of self-interest has </w:t>
      </w:r>
      <w:r w:rsidR="007865FD">
        <w:rPr>
          <w:rFonts w:ascii="Times New Roman" w:hAnsi="Times New Roman"/>
          <w:sz w:val="26"/>
          <w:szCs w:val="26"/>
        </w:rPr>
        <w:t xml:space="preserve">seemly </w:t>
      </w:r>
      <w:r w:rsidRPr="00CC0A57">
        <w:rPr>
          <w:rFonts w:ascii="Times New Roman" w:hAnsi="Times New Roman"/>
          <w:sz w:val="26"/>
          <w:szCs w:val="26"/>
        </w:rPr>
        <w:t xml:space="preserve">become so intense </w:t>
      </w:r>
      <w:r w:rsidR="007865FD">
        <w:rPr>
          <w:rFonts w:ascii="Times New Roman" w:hAnsi="Times New Roman"/>
          <w:sz w:val="26"/>
          <w:szCs w:val="26"/>
        </w:rPr>
        <w:t xml:space="preserve">as to obscure </w:t>
      </w:r>
      <w:r>
        <w:rPr>
          <w:rFonts w:ascii="Times New Roman" w:hAnsi="Times New Roman"/>
          <w:sz w:val="26"/>
          <w:szCs w:val="26"/>
        </w:rPr>
        <w:t>“</w:t>
      </w:r>
      <w:r w:rsidRPr="00CC0A57">
        <w:rPr>
          <w:rFonts w:ascii="Times New Roman" w:hAnsi="Times New Roman"/>
          <w:sz w:val="26"/>
          <w:szCs w:val="26"/>
        </w:rPr>
        <w:t>regard for others</w:t>
      </w:r>
      <w:r>
        <w:rPr>
          <w:rFonts w:ascii="Times New Roman" w:hAnsi="Times New Roman"/>
          <w:sz w:val="26"/>
          <w:szCs w:val="26"/>
        </w:rPr>
        <w:t>”</w:t>
      </w:r>
      <w:r w:rsidRPr="00CC0A57">
        <w:rPr>
          <w:rFonts w:ascii="Times New Roman" w:hAnsi="Times New Roman"/>
          <w:sz w:val="26"/>
          <w:szCs w:val="26"/>
        </w:rPr>
        <w:t xml:space="preserve"> and </w:t>
      </w:r>
      <w:r>
        <w:rPr>
          <w:rFonts w:ascii="Times New Roman" w:hAnsi="Times New Roman"/>
          <w:sz w:val="26"/>
          <w:szCs w:val="26"/>
        </w:rPr>
        <w:t>“</w:t>
      </w:r>
      <w:r w:rsidRPr="00CC0A57">
        <w:rPr>
          <w:rFonts w:ascii="Times New Roman" w:hAnsi="Times New Roman"/>
          <w:sz w:val="26"/>
          <w:szCs w:val="26"/>
        </w:rPr>
        <w:t>respect for the vulnerable</w:t>
      </w:r>
      <w:r>
        <w:rPr>
          <w:rFonts w:ascii="Times New Roman" w:hAnsi="Times New Roman"/>
          <w:sz w:val="26"/>
          <w:szCs w:val="26"/>
        </w:rPr>
        <w:t>”</w:t>
      </w:r>
      <w:r w:rsidRPr="00CC0A57">
        <w:rPr>
          <w:rFonts w:ascii="Times New Roman" w:hAnsi="Times New Roman"/>
          <w:sz w:val="26"/>
          <w:szCs w:val="26"/>
        </w:rPr>
        <w:t xml:space="preserve">.  </w:t>
      </w:r>
    </w:p>
    <w:p w14:paraId="620A53F1" w14:textId="77777777"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This is not a new concern.  As long ago as 1998, Lord Millett wrote in the </w:t>
      </w:r>
      <w:r w:rsidRPr="00FA6631">
        <w:rPr>
          <w:rFonts w:ascii="Times New Roman" w:hAnsi="Times New Roman"/>
          <w:i/>
          <w:sz w:val="26"/>
          <w:szCs w:val="26"/>
        </w:rPr>
        <w:t xml:space="preserve">Law Quarterly </w:t>
      </w:r>
      <w:r w:rsidRPr="00FA6631">
        <w:rPr>
          <w:rFonts w:ascii="Times New Roman" w:hAnsi="Times New Roman"/>
          <w:i/>
          <w:sz w:val="26"/>
          <w:szCs w:val="26"/>
        </w:rPr>
        <w:lastRenderedPageBreak/>
        <w:t>Review</w:t>
      </w:r>
      <w:r w:rsidRPr="00CC0A57">
        <w:rPr>
          <w:rFonts w:ascii="Times New Roman" w:hAnsi="Times New Roman"/>
          <w:sz w:val="26"/>
          <w:szCs w:val="26"/>
        </w:rPr>
        <w:t>:</w:t>
      </w:r>
    </w:p>
    <w:p w14:paraId="414320A3" w14:textId="51619CD5" w:rsidR="00C17FFA" w:rsidRPr="00CC0A57" w:rsidRDefault="00C17FFA" w:rsidP="00745188">
      <w:pPr>
        <w:pStyle w:val="Quote1"/>
        <w:spacing w:after="240"/>
        <w:ind w:left="720"/>
        <w:rPr>
          <w:rFonts w:ascii="Times New Roman" w:hAnsi="Times New Roman"/>
          <w:sz w:val="26"/>
          <w:szCs w:val="26"/>
        </w:rPr>
      </w:pPr>
      <w:r>
        <w:rPr>
          <w:rFonts w:ascii="Times New Roman" w:hAnsi="Times New Roman"/>
          <w:sz w:val="26"/>
          <w:szCs w:val="26"/>
        </w:rPr>
        <w:t>“</w:t>
      </w:r>
      <w:r w:rsidRPr="00CC0A57">
        <w:rPr>
          <w:rFonts w:ascii="Times New Roman" w:hAnsi="Times New Roman"/>
          <w:sz w:val="26"/>
          <w:szCs w:val="26"/>
        </w:rPr>
        <w:t xml:space="preserve">There has never been a greater need to impose on those who engage in commerce the high standards of conduct which equity demands.  The common law insists on honesty, diligence, and the due performance of contractual obligations.  But equity insists on nobler and subtler qualities:  loyalty, fidelity, integrity, respect for confidentiality, and the disinterested discharge of obligations of trust and confidence.  It exacts higher standards than those of the market place, where the end justifies the means and the old virtues of loyalty, fidelity and responsibility are admired less than the idols of </w:t>
      </w:r>
      <w:r>
        <w:rPr>
          <w:rFonts w:ascii="Times New Roman" w:hAnsi="Times New Roman"/>
          <w:sz w:val="26"/>
          <w:szCs w:val="26"/>
        </w:rPr>
        <w:t>‘</w:t>
      </w:r>
      <w:r w:rsidRPr="00CC0A57">
        <w:rPr>
          <w:rFonts w:ascii="Times New Roman" w:hAnsi="Times New Roman"/>
          <w:sz w:val="26"/>
          <w:szCs w:val="26"/>
        </w:rPr>
        <w:t>success, self-interest, wealth, winning and not g</w:t>
      </w:r>
      <w:r w:rsidR="00E0764D">
        <w:rPr>
          <w:rFonts w:ascii="Times New Roman" w:hAnsi="Times New Roman"/>
          <w:sz w:val="26"/>
          <w:szCs w:val="26"/>
        </w:rPr>
        <w:t xml:space="preserve">etting caught”. </w:t>
      </w:r>
    </w:p>
    <w:p w14:paraId="4747F01F" w14:textId="77777777"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We have all been exposed to the reports which emerged from the Royal Commission into Banking, about predatory behaviour, about the pressuring of customers to take loans, or buy insurance, in circumstances where they were not likely to be able to make a proper judgment as to their best interests.  Commissioner Hayne put it bluntly in his interim report:</w:t>
      </w:r>
    </w:p>
    <w:p w14:paraId="2DD3A61C" w14:textId="77777777" w:rsidR="00C17FFA" w:rsidRPr="00CC0A57" w:rsidRDefault="00C17FF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Pr="00CC0A57">
        <w:rPr>
          <w:rFonts w:ascii="Times New Roman" w:hAnsi="Times New Roman"/>
          <w:sz w:val="26"/>
          <w:szCs w:val="26"/>
        </w:rPr>
        <w:t>Too often, the answer seems to be greed:  the pursuit of short-term profit at the expense of basic standards of honesty.</w:t>
      </w:r>
      <w:r>
        <w:rPr>
          <w:rFonts w:ascii="Times New Roman" w:hAnsi="Times New Roman"/>
          <w:sz w:val="26"/>
          <w:szCs w:val="26"/>
        </w:rPr>
        <w:t>”</w:t>
      </w:r>
    </w:p>
    <w:p w14:paraId="0B98544C" w14:textId="4E618FB3" w:rsidR="00F846E3" w:rsidRDefault="00E0764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More</w:t>
      </w:r>
      <w:r w:rsidR="00C17FFA">
        <w:rPr>
          <w:rFonts w:ascii="Times New Roman" w:hAnsi="Times New Roman"/>
          <w:sz w:val="26"/>
          <w:szCs w:val="26"/>
        </w:rPr>
        <w:t xml:space="preserve"> recently, in July, we </w:t>
      </w:r>
      <w:r>
        <w:rPr>
          <w:rFonts w:ascii="Times New Roman" w:hAnsi="Times New Roman"/>
          <w:sz w:val="26"/>
          <w:szCs w:val="26"/>
        </w:rPr>
        <w:t xml:space="preserve">saw </w:t>
      </w:r>
      <w:r w:rsidR="00C17FFA">
        <w:rPr>
          <w:rFonts w:ascii="Times New Roman" w:hAnsi="Times New Roman"/>
          <w:sz w:val="26"/>
          <w:szCs w:val="26"/>
        </w:rPr>
        <w:t>the report by ASIC on consumer credit insurance</w:t>
      </w:r>
      <w:r w:rsidR="00745188">
        <w:rPr>
          <w:rFonts w:ascii="Times New Roman" w:hAnsi="Times New Roman"/>
          <w:sz w:val="26"/>
          <w:szCs w:val="26"/>
        </w:rPr>
        <w:t xml:space="preserve"> (“CCI”)</w:t>
      </w:r>
      <w:r w:rsidR="00C17FFA">
        <w:rPr>
          <w:rFonts w:ascii="Times New Roman" w:hAnsi="Times New Roman"/>
          <w:sz w:val="26"/>
          <w:szCs w:val="26"/>
        </w:rPr>
        <w:t xml:space="preserve">, entitled “Poor Value Products and Harmful Sales Practices”. </w:t>
      </w:r>
      <w:r>
        <w:rPr>
          <w:rFonts w:ascii="Times New Roman" w:hAnsi="Times New Roman"/>
          <w:sz w:val="26"/>
          <w:szCs w:val="26"/>
        </w:rPr>
        <w:t xml:space="preserve"> This is insurance which provides cover for consumers if they are unable to meet their minimum loan repayments due to unemployment, sickness or injury.  It is usually sold by lenders to consumers with a credit card, personal loan or home loan.</w:t>
      </w:r>
      <w:r w:rsidR="00C17FFA">
        <w:rPr>
          <w:rFonts w:ascii="Times New Roman" w:hAnsi="Times New Roman"/>
          <w:sz w:val="26"/>
          <w:szCs w:val="26"/>
        </w:rPr>
        <w:t xml:space="preserve"> </w:t>
      </w:r>
      <w:r>
        <w:rPr>
          <w:rFonts w:ascii="Times New Roman" w:hAnsi="Times New Roman"/>
          <w:sz w:val="26"/>
          <w:szCs w:val="26"/>
        </w:rPr>
        <w:t xml:space="preserve"> </w:t>
      </w:r>
    </w:p>
    <w:p w14:paraId="2B9859A3" w14:textId="7BDDEB49" w:rsidR="00C17FFA" w:rsidRDefault="00C17FFA"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The section of the report headed “CCI sales practices cause consumer harm” lists the following types of conduct:</w:t>
      </w:r>
    </w:p>
    <w:p w14:paraId="1AC45EC7" w14:textId="21DFE94D" w:rsidR="00C17FFA" w:rsidRDefault="00F846E3" w:rsidP="00745188">
      <w:pPr>
        <w:pStyle w:val="Normal-Indent"/>
        <w:spacing w:before="240" w:after="240" w:line="240" w:lineRule="auto"/>
        <w:ind w:left="1440" w:right="720" w:hanging="720"/>
      </w:pPr>
      <w:r>
        <w:rPr>
          <w:rFonts w:ascii="Times New Roman" w:hAnsi="Times New Roman"/>
          <w:sz w:val="26"/>
          <w:szCs w:val="26"/>
        </w:rPr>
        <w:t>“</w:t>
      </w:r>
      <w:r w:rsidR="00C17FFA" w:rsidRPr="00CC0A57">
        <w:rPr>
          <w:rFonts w:ascii="Times New Roman" w:hAnsi="Times New Roman"/>
          <w:sz w:val="26"/>
          <w:szCs w:val="26"/>
        </w:rPr>
        <w:t>●</w:t>
      </w:r>
      <w:r w:rsidR="00C17FFA">
        <w:rPr>
          <w:rFonts w:ascii="Times New Roman" w:hAnsi="Times New Roman"/>
          <w:sz w:val="26"/>
          <w:szCs w:val="26"/>
        </w:rPr>
        <w:tab/>
        <w:t xml:space="preserve">CCI was sold to consumers who were </w:t>
      </w:r>
      <w:r w:rsidR="00C17FFA">
        <w:rPr>
          <w:rFonts w:ascii="Times New Roman" w:hAnsi="Times New Roman"/>
          <w:i/>
          <w:sz w:val="26"/>
          <w:szCs w:val="26"/>
        </w:rPr>
        <w:t xml:space="preserve">ineligible to claim </w:t>
      </w:r>
      <w:r w:rsidR="00C17FFA">
        <w:t xml:space="preserve">or </w:t>
      </w:r>
      <w:r w:rsidR="00C17FFA">
        <w:rPr>
          <w:i/>
        </w:rPr>
        <w:t>unlikely to benefit or need cover.</w:t>
      </w:r>
    </w:p>
    <w:p w14:paraId="7A74C4A4" w14:textId="77777777" w:rsidR="00C17FFA" w:rsidRDefault="00C17FFA" w:rsidP="00745188">
      <w:pPr>
        <w:pStyle w:val="Normal-Indent"/>
        <w:spacing w:before="240" w:after="240" w:line="240" w:lineRule="auto"/>
        <w:ind w:left="1440" w:right="720" w:hanging="630"/>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ab/>
        <w:t xml:space="preserve">Sales staff used </w:t>
      </w:r>
      <w:r>
        <w:rPr>
          <w:rFonts w:ascii="Times New Roman" w:hAnsi="Times New Roman"/>
          <w:i/>
          <w:sz w:val="26"/>
          <w:szCs w:val="26"/>
        </w:rPr>
        <w:t>pressure selling</w:t>
      </w:r>
      <w:r>
        <w:rPr>
          <w:rFonts w:ascii="Times New Roman" w:hAnsi="Times New Roman"/>
          <w:sz w:val="26"/>
          <w:szCs w:val="26"/>
        </w:rPr>
        <w:t xml:space="preserve"> and other </w:t>
      </w:r>
      <w:r>
        <w:rPr>
          <w:rFonts w:ascii="Times New Roman" w:hAnsi="Times New Roman"/>
          <w:i/>
          <w:sz w:val="26"/>
          <w:szCs w:val="26"/>
        </w:rPr>
        <w:t>unfair sales practices</w:t>
      </w:r>
      <w:r>
        <w:rPr>
          <w:rFonts w:ascii="Times New Roman" w:hAnsi="Times New Roman"/>
          <w:sz w:val="26"/>
          <w:szCs w:val="26"/>
        </w:rPr>
        <w:t>.</w:t>
      </w:r>
    </w:p>
    <w:p w14:paraId="6CA8CB4D" w14:textId="77777777" w:rsidR="00C17FFA" w:rsidRDefault="00C17FFA" w:rsidP="00745188">
      <w:pPr>
        <w:pStyle w:val="Normal-Indent"/>
        <w:spacing w:before="240" w:after="240" w:line="240" w:lineRule="auto"/>
        <w:ind w:left="1440" w:right="720" w:hanging="630"/>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 xml:space="preserve">Consumers were given </w:t>
      </w:r>
      <w:r>
        <w:rPr>
          <w:rFonts w:ascii="Times New Roman" w:hAnsi="Times New Roman"/>
          <w:i/>
          <w:sz w:val="26"/>
          <w:szCs w:val="26"/>
        </w:rPr>
        <w:t>non-compliant personal advice</w:t>
      </w:r>
      <w:r>
        <w:rPr>
          <w:rFonts w:ascii="Times New Roman" w:hAnsi="Times New Roman"/>
          <w:sz w:val="26"/>
          <w:szCs w:val="26"/>
        </w:rPr>
        <w:t xml:space="preserve"> to buy unsuitable policies.</w:t>
      </w:r>
    </w:p>
    <w:p w14:paraId="228C2F67" w14:textId="77777777" w:rsidR="00C17FFA" w:rsidRDefault="00C17FFA" w:rsidP="00745188">
      <w:pPr>
        <w:pStyle w:val="Normal-Indent"/>
        <w:spacing w:before="240" w:after="240" w:line="240" w:lineRule="auto"/>
        <w:ind w:left="1440" w:right="720" w:hanging="630"/>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 xml:space="preserve">Consumers were charged CCI premiums with </w:t>
      </w:r>
      <w:r>
        <w:rPr>
          <w:rFonts w:ascii="Times New Roman" w:hAnsi="Times New Roman"/>
          <w:i/>
          <w:sz w:val="26"/>
          <w:szCs w:val="26"/>
        </w:rPr>
        <w:t>no current loan.</w:t>
      </w:r>
    </w:p>
    <w:p w14:paraId="77034194" w14:textId="77777777" w:rsidR="00C17FFA" w:rsidRPr="00CC0A57" w:rsidRDefault="00C17FFA" w:rsidP="00745188">
      <w:pPr>
        <w:pStyle w:val="Normal-Indent"/>
        <w:spacing w:before="240" w:after="240" w:line="240" w:lineRule="auto"/>
        <w:ind w:left="1440" w:right="720" w:hanging="630"/>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 xml:space="preserve">Many lenders did not have consumer-focused processes to help </w:t>
      </w:r>
      <w:r>
        <w:rPr>
          <w:rFonts w:ascii="Times New Roman" w:hAnsi="Times New Roman"/>
          <w:i/>
          <w:sz w:val="26"/>
          <w:szCs w:val="26"/>
        </w:rPr>
        <w:t>consumers in hardship</w:t>
      </w:r>
      <w:r>
        <w:rPr>
          <w:rFonts w:ascii="Times New Roman" w:hAnsi="Times New Roman"/>
          <w:sz w:val="26"/>
          <w:szCs w:val="26"/>
        </w:rPr>
        <w:t xml:space="preserve"> who had a CCI policy to lodge a claim.”</w:t>
      </w:r>
      <w:r>
        <w:rPr>
          <w:rStyle w:val="FootnoteReference"/>
          <w:rFonts w:ascii="Times New Roman" w:hAnsi="Times New Roman"/>
          <w:sz w:val="26"/>
          <w:szCs w:val="26"/>
        </w:rPr>
        <w:footnoteReference w:id="45"/>
      </w:r>
    </w:p>
    <w:p w14:paraId="52F7CFB0" w14:textId="7D976287"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According to the report, ASIC is requiring lenders — including all of the major banks — to undertake </w:t>
      </w:r>
      <w:r>
        <w:rPr>
          <w:rFonts w:ascii="Times New Roman" w:hAnsi="Times New Roman"/>
          <w:sz w:val="26"/>
          <w:szCs w:val="26"/>
        </w:rPr>
        <w:t>“</w:t>
      </w:r>
      <w:r w:rsidRPr="00CC0A57">
        <w:rPr>
          <w:rFonts w:ascii="Times New Roman" w:hAnsi="Times New Roman"/>
          <w:sz w:val="26"/>
          <w:szCs w:val="26"/>
        </w:rPr>
        <w:t>large scale remediations with over $100,000,000 expected to be paid to 300,000 plus customers</w:t>
      </w:r>
      <w:r>
        <w:rPr>
          <w:rFonts w:ascii="Times New Roman" w:hAnsi="Times New Roman"/>
          <w:sz w:val="26"/>
          <w:szCs w:val="26"/>
        </w:rPr>
        <w:t>”</w:t>
      </w:r>
      <w:r w:rsidRPr="00CC0A57">
        <w:rPr>
          <w:rFonts w:ascii="Times New Roman" w:hAnsi="Times New Roman"/>
          <w:sz w:val="26"/>
          <w:szCs w:val="26"/>
        </w:rPr>
        <w:t>.  I note that this was the very topic on which, according to the evidence at the Royal Commission, the — then C</w:t>
      </w:r>
      <w:r w:rsidR="00E0764D">
        <w:rPr>
          <w:rFonts w:ascii="Times New Roman" w:hAnsi="Times New Roman"/>
          <w:sz w:val="26"/>
          <w:szCs w:val="26"/>
        </w:rPr>
        <w:t>EO of Commonwealth Bank (Ian Nar</w:t>
      </w:r>
      <w:r w:rsidRPr="00CC0A57">
        <w:rPr>
          <w:rFonts w:ascii="Times New Roman" w:hAnsi="Times New Roman"/>
          <w:sz w:val="26"/>
          <w:szCs w:val="26"/>
        </w:rPr>
        <w:t>e</w:t>
      </w:r>
      <w:r w:rsidR="00E0764D">
        <w:rPr>
          <w:rFonts w:ascii="Times New Roman" w:hAnsi="Times New Roman"/>
          <w:sz w:val="26"/>
          <w:szCs w:val="26"/>
        </w:rPr>
        <w:t>v</w:t>
      </w:r>
      <w:r w:rsidRPr="00CC0A57">
        <w:rPr>
          <w:rFonts w:ascii="Times New Roman" w:hAnsi="Times New Roman"/>
          <w:sz w:val="26"/>
          <w:szCs w:val="26"/>
        </w:rPr>
        <w:t xml:space="preserve">) </w:t>
      </w:r>
      <w:r w:rsidRPr="00CC0A57">
        <w:rPr>
          <w:rFonts w:ascii="Times New Roman" w:hAnsi="Times New Roman"/>
          <w:sz w:val="26"/>
          <w:szCs w:val="26"/>
        </w:rPr>
        <w:lastRenderedPageBreak/>
        <w:t>told the now — C</w:t>
      </w:r>
      <w:r>
        <w:rPr>
          <w:rFonts w:ascii="Times New Roman" w:hAnsi="Times New Roman"/>
          <w:sz w:val="26"/>
          <w:szCs w:val="26"/>
        </w:rPr>
        <w:t>EO (Matt Comyn) that he should “</w:t>
      </w:r>
      <w:r w:rsidRPr="00CC0A57">
        <w:rPr>
          <w:rFonts w:ascii="Times New Roman" w:hAnsi="Times New Roman"/>
          <w:sz w:val="26"/>
          <w:szCs w:val="26"/>
        </w:rPr>
        <w:t>temper his sense of justice</w:t>
      </w:r>
      <w:r>
        <w:rPr>
          <w:rFonts w:ascii="Times New Roman" w:hAnsi="Times New Roman"/>
          <w:sz w:val="26"/>
          <w:szCs w:val="26"/>
        </w:rPr>
        <w:t>”</w:t>
      </w:r>
      <w:r w:rsidRPr="00CC0A57">
        <w:rPr>
          <w:rFonts w:ascii="Times New Roman" w:hAnsi="Times New Roman"/>
          <w:sz w:val="26"/>
          <w:szCs w:val="26"/>
        </w:rPr>
        <w:t>.</w:t>
      </w:r>
      <w:r w:rsidRPr="00CC0A57">
        <w:rPr>
          <w:rStyle w:val="FootnoteReference"/>
          <w:rFonts w:ascii="Times New Roman" w:hAnsi="Times New Roman"/>
          <w:sz w:val="26"/>
          <w:szCs w:val="26"/>
        </w:rPr>
        <w:footnoteReference w:id="46"/>
      </w:r>
    </w:p>
    <w:p w14:paraId="34A19481" w14:textId="554A9DBB" w:rsidR="007865FD" w:rsidRDefault="007865FD"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There is an obvious tension between the driv</w:t>
      </w:r>
      <w:r>
        <w:rPr>
          <w:rFonts w:ascii="Times New Roman" w:hAnsi="Times New Roman"/>
          <w:sz w:val="26"/>
          <w:szCs w:val="26"/>
        </w:rPr>
        <w:t>e for profit</w:t>
      </w:r>
      <w:r w:rsidRPr="00CC0A57">
        <w:rPr>
          <w:rFonts w:ascii="Times New Roman" w:hAnsi="Times New Roman"/>
          <w:sz w:val="26"/>
          <w:szCs w:val="26"/>
        </w:rPr>
        <w:t xml:space="preserve"> and competitive advantage which is at the heart of the market economy, and conscience</w:t>
      </w:r>
      <w:r w:rsidR="00F846E3">
        <w:rPr>
          <w:rFonts w:ascii="Times New Roman" w:hAnsi="Times New Roman"/>
          <w:sz w:val="26"/>
          <w:szCs w:val="26"/>
        </w:rPr>
        <w:t>-</w:t>
      </w:r>
      <w:r w:rsidRPr="00CC0A57">
        <w:rPr>
          <w:rFonts w:ascii="Times New Roman" w:hAnsi="Times New Roman"/>
          <w:sz w:val="26"/>
          <w:szCs w:val="26"/>
        </w:rPr>
        <w:t>based regulation which calls for</w:t>
      </w:r>
      <w:r w:rsidR="00B33EFF">
        <w:rPr>
          <w:rFonts w:ascii="Times New Roman" w:hAnsi="Times New Roman"/>
          <w:sz w:val="26"/>
          <w:szCs w:val="26"/>
        </w:rPr>
        <w:t xml:space="preserve"> ethical self-awareness</w:t>
      </w:r>
      <w:r w:rsidR="0027307C">
        <w:rPr>
          <w:rFonts w:ascii="Times New Roman" w:hAnsi="Times New Roman"/>
          <w:sz w:val="26"/>
          <w:szCs w:val="26"/>
        </w:rPr>
        <w:t>, restraint</w:t>
      </w:r>
      <w:r w:rsidR="00B33EFF">
        <w:rPr>
          <w:rFonts w:ascii="Times New Roman" w:hAnsi="Times New Roman"/>
          <w:sz w:val="26"/>
          <w:szCs w:val="26"/>
        </w:rPr>
        <w:t xml:space="preserve"> and sensitivity to</w:t>
      </w:r>
      <w:r w:rsidRPr="00CC0A57">
        <w:rPr>
          <w:rFonts w:ascii="Times New Roman" w:hAnsi="Times New Roman"/>
          <w:sz w:val="26"/>
          <w:szCs w:val="26"/>
        </w:rPr>
        <w:t xml:space="preserve"> the customer’s potential vulnerability or disadvantage.  Justice Keane made the point in his 2009 lecture</w:t>
      </w:r>
      <w:r w:rsidR="00A32DBB">
        <w:rPr>
          <w:rFonts w:ascii="Times New Roman" w:hAnsi="Times New Roman"/>
          <w:sz w:val="26"/>
          <w:szCs w:val="26"/>
        </w:rPr>
        <w:t>,</w:t>
      </w:r>
      <w:r w:rsidRPr="00CC0A57">
        <w:rPr>
          <w:rFonts w:ascii="Times New Roman" w:hAnsi="Times New Roman"/>
          <w:sz w:val="26"/>
          <w:szCs w:val="26"/>
        </w:rPr>
        <w:t xml:space="preserve"> as follows:</w:t>
      </w:r>
    </w:p>
    <w:p w14:paraId="35CAED02" w14:textId="77777777" w:rsidR="007865FD" w:rsidRDefault="007865FD"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Pr="00CC0A57">
        <w:rPr>
          <w:rFonts w:ascii="Times New Roman" w:hAnsi="Times New Roman"/>
          <w:sz w:val="26"/>
          <w:szCs w:val="26"/>
        </w:rPr>
        <w:t>In a market economy rivalry between participants is an essential and defining feature:  rivalry in which each participant seeks to maximise its profit and market share at the expense of all other participants in that market.</w:t>
      </w:r>
    </w:p>
    <w:p w14:paraId="42C09083" w14:textId="77777777" w:rsidR="007865FD" w:rsidRPr="00CC0A57" w:rsidRDefault="007865FD" w:rsidP="00745188">
      <w:pPr>
        <w:pStyle w:val="Normal-Indent"/>
        <w:spacing w:before="240" w:after="240" w:line="240" w:lineRule="auto"/>
        <w:ind w:right="720"/>
        <w:rPr>
          <w:rFonts w:ascii="Times New Roman" w:hAnsi="Times New Roman"/>
          <w:sz w:val="26"/>
          <w:szCs w:val="26"/>
        </w:rPr>
      </w:pPr>
      <w:r w:rsidRPr="00CC0A57">
        <w:rPr>
          <w:rFonts w:ascii="Times New Roman" w:hAnsi="Times New Roman"/>
          <w:sz w:val="26"/>
          <w:szCs w:val="26"/>
        </w:rPr>
        <w:t>In our law of contrac</w:t>
      </w:r>
      <w:r>
        <w:rPr>
          <w:rFonts w:ascii="Times New Roman" w:hAnsi="Times New Roman"/>
          <w:sz w:val="26"/>
          <w:szCs w:val="26"/>
        </w:rPr>
        <w:t>t, the right of self-interested</w:t>
      </w:r>
      <w:r w:rsidRPr="00CC0A57">
        <w:rPr>
          <w:rFonts w:ascii="Times New Roman" w:hAnsi="Times New Roman"/>
          <w:sz w:val="26"/>
          <w:szCs w:val="26"/>
        </w:rPr>
        <w:t xml:space="preserve"> action, even when it operates unreasonably or unfairly at the expense of others, is embodied in the ‘traditional common law approach’ conveyed by the maxim caveat emptor.</w:t>
      </w:r>
      <w:r>
        <w:rPr>
          <w:rFonts w:ascii="Times New Roman" w:hAnsi="Times New Roman"/>
          <w:sz w:val="26"/>
          <w:szCs w:val="26"/>
        </w:rPr>
        <w:t>”</w:t>
      </w:r>
      <w:r w:rsidRPr="00CC0A57">
        <w:rPr>
          <w:rStyle w:val="FootnoteReference"/>
          <w:rFonts w:ascii="Times New Roman" w:hAnsi="Times New Roman"/>
          <w:sz w:val="26"/>
          <w:szCs w:val="26"/>
        </w:rPr>
        <w:footnoteReference w:id="47"/>
      </w:r>
      <w:r w:rsidRPr="00CC0A57">
        <w:rPr>
          <w:rFonts w:ascii="Times New Roman" w:hAnsi="Times New Roman"/>
          <w:sz w:val="26"/>
          <w:szCs w:val="26"/>
        </w:rPr>
        <w:t xml:space="preserve">  </w:t>
      </w:r>
    </w:p>
    <w:p w14:paraId="7074C9B4" w14:textId="77777777" w:rsidR="007865FD" w:rsidRPr="00CC0A57" w:rsidRDefault="007865FD"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And again:</w:t>
      </w:r>
    </w:p>
    <w:p w14:paraId="4B6AEF9B" w14:textId="7545CC45" w:rsidR="007865FD" w:rsidRPr="00CC0A57" w:rsidRDefault="00B33EFF" w:rsidP="00745188">
      <w:pPr>
        <w:pStyle w:val="Quote1"/>
        <w:spacing w:after="240"/>
        <w:ind w:left="720"/>
        <w:rPr>
          <w:rFonts w:ascii="Times New Roman" w:hAnsi="Times New Roman"/>
          <w:sz w:val="26"/>
          <w:szCs w:val="26"/>
        </w:rPr>
      </w:pPr>
      <w:r>
        <w:rPr>
          <w:rFonts w:ascii="Times New Roman" w:hAnsi="Times New Roman"/>
          <w:sz w:val="26"/>
          <w:szCs w:val="26"/>
        </w:rPr>
        <w:t>“</w:t>
      </w:r>
      <w:r w:rsidR="007865FD" w:rsidRPr="00CC0A57">
        <w:rPr>
          <w:rFonts w:ascii="Times New Roman" w:hAnsi="Times New Roman"/>
          <w:sz w:val="26"/>
          <w:szCs w:val="26"/>
        </w:rPr>
        <w:t>Equit</w:t>
      </w:r>
      <w:r w:rsidR="007865FD">
        <w:rPr>
          <w:rFonts w:ascii="Times New Roman" w:hAnsi="Times New Roman"/>
          <w:sz w:val="26"/>
          <w:szCs w:val="26"/>
        </w:rPr>
        <w:t>y never set out to bring to heel</w:t>
      </w:r>
      <w:r w:rsidR="007865FD" w:rsidRPr="00CC0A57">
        <w:rPr>
          <w:rFonts w:ascii="Times New Roman" w:hAnsi="Times New Roman"/>
          <w:sz w:val="26"/>
          <w:szCs w:val="26"/>
        </w:rPr>
        <w:t xml:space="preserve"> what John Maynard Keane described as ‘the uncontrollable and disobedient psychology of the business world’.</w:t>
      </w:r>
      <w:r w:rsidR="007865FD">
        <w:rPr>
          <w:rFonts w:ascii="Times New Roman" w:hAnsi="Times New Roman"/>
          <w:sz w:val="26"/>
          <w:szCs w:val="26"/>
        </w:rPr>
        <w:t>”</w:t>
      </w:r>
      <w:r w:rsidR="007865FD" w:rsidRPr="00CC0A57">
        <w:rPr>
          <w:rStyle w:val="FootnoteReference"/>
          <w:rFonts w:ascii="Times New Roman" w:hAnsi="Times New Roman"/>
          <w:sz w:val="26"/>
          <w:szCs w:val="26"/>
        </w:rPr>
        <w:footnoteReference w:id="48"/>
      </w:r>
    </w:p>
    <w:p w14:paraId="6076F8D4" w14:textId="77777777" w:rsidR="007865FD" w:rsidRDefault="007865FD" w:rsidP="00745188">
      <w:pPr>
        <w:pStyle w:val="Quote1"/>
        <w:spacing w:after="240"/>
        <w:ind w:left="0"/>
        <w:rPr>
          <w:rFonts w:ascii="Times New Roman" w:hAnsi="Times New Roman"/>
          <w:sz w:val="26"/>
          <w:szCs w:val="26"/>
        </w:rPr>
      </w:pPr>
      <w:r w:rsidRPr="00CC0A57">
        <w:rPr>
          <w:rFonts w:ascii="Times New Roman" w:hAnsi="Times New Roman"/>
          <w:sz w:val="26"/>
          <w:szCs w:val="26"/>
        </w:rPr>
        <w:t xml:space="preserve">In </w:t>
      </w:r>
      <w:r>
        <w:rPr>
          <w:rFonts w:ascii="Times New Roman" w:hAnsi="Times New Roman"/>
          <w:i/>
          <w:sz w:val="26"/>
          <w:szCs w:val="26"/>
        </w:rPr>
        <w:t>K</w:t>
      </w:r>
      <w:r w:rsidRPr="00CC0A57">
        <w:rPr>
          <w:rFonts w:ascii="Times New Roman" w:hAnsi="Times New Roman"/>
          <w:i/>
          <w:sz w:val="26"/>
          <w:szCs w:val="26"/>
        </w:rPr>
        <w:t>obelt</w:t>
      </w:r>
      <w:r w:rsidRPr="00CC0A57">
        <w:rPr>
          <w:rFonts w:ascii="Times New Roman" w:hAnsi="Times New Roman"/>
          <w:sz w:val="26"/>
          <w:szCs w:val="26"/>
        </w:rPr>
        <w:t>, his Honour said:</w:t>
      </w:r>
    </w:p>
    <w:p w14:paraId="4F34CFF4" w14:textId="1909F0D8" w:rsidR="007865FD" w:rsidRPr="00CC0A57" w:rsidRDefault="00B33EFF" w:rsidP="00745188">
      <w:pPr>
        <w:pStyle w:val="Quote1"/>
        <w:spacing w:after="240"/>
        <w:ind w:left="720"/>
        <w:rPr>
          <w:rFonts w:ascii="Times New Roman" w:hAnsi="Times New Roman"/>
          <w:sz w:val="26"/>
          <w:szCs w:val="26"/>
          <w:lang w:val="en"/>
        </w:rPr>
      </w:pPr>
      <w:r>
        <w:rPr>
          <w:rFonts w:ascii="Times New Roman" w:hAnsi="Times New Roman"/>
          <w:sz w:val="26"/>
          <w:szCs w:val="26"/>
        </w:rPr>
        <w:t>“</w:t>
      </w:r>
      <w:r w:rsidR="007865FD">
        <w:rPr>
          <w:rFonts w:ascii="Times New Roman" w:hAnsi="Times New Roman"/>
          <w:i/>
          <w:sz w:val="26"/>
          <w:szCs w:val="26"/>
        </w:rPr>
        <w:t xml:space="preserve">… </w:t>
      </w:r>
      <w:r w:rsidR="007865FD" w:rsidRPr="00CC0A57">
        <w:rPr>
          <w:rFonts w:ascii="Times New Roman" w:hAnsi="Times New Roman"/>
          <w:sz w:val="26"/>
          <w:szCs w:val="26"/>
          <w:lang w:val="en"/>
        </w:rPr>
        <w:t>it must be borne in mind that the purpose of</w:t>
      </w:r>
      <w:r w:rsidR="007865FD">
        <w:rPr>
          <w:rFonts w:ascii="Times New Roman" w:hAnsi="Times New Roman"/>
          <w:sz w:val="26"/>
          <w:szCs w:val="26"/>
          <w:lang w:val="en"/>
        </w:rPr>
        <w:t xml:space="preserve"> s 12CB</w:t>
      </w:r>
      <w:r w:rsidR="007865FD" w:rsidRPr="00CC0A57">
        <w:rPr>
          <w:rFonts w:ascii="Times New Roman" w:hAnsi="Times New Roman"/>
          <w:sz w:val="26"/>
          <w:szCs w:val="26"/>
          <w:lang w:val="en"/>
        </w:rPr>
        <w:t xml:space="preserve"> of the </w:t>
      </w:r>
      <w:r w:rsidR="007865FD">
        <w:rPr>
          <w:rFonts w:ascii="Times New Roman" w:hAnsi="Times New Roman"/>
          <w:sz w:val="26"/>
          <w:szCs w:val="26"/>
          <w:lang w:val="en"/>
        </w:rPr>
        <w:t>ASIC Act</w:t>
      </w:r>
      <w:r w:rsidR="007865FD" w:rsidRPr="00CC0A57">
        <w:rPr>
          <w:rFonts w:ascii="Times New Roman" w:hAnsi="Times New Roman"/>
          <w:sz w:val="26"/>
          <w:szCs w:val="26"/>
          <w:lang w:val="en"/>
        </w:rPr>
        <w:t xml:space="preserve"> is to regulate commerce.  The pursuit by those engaged in commerce of their own advantage is an omnipresent feature of legitimate commerce.  </w:t>
      </w:r>
      <w:r w:rsidR="007865FD" w:rsidRPr="00F84BCD">
        <w:rPr>
          <w:rFonts w:ascii="Times New Roman" w:hAnsi="Times New Roman"/>
          <w:i/>
          <w:sz w:val="26"/>
          <w:szCs w:val="26"/>
          <w:lang w:val="en"/>
        </w:rPr>
        <w:t>A trader does not, generally speaking, stand in a fiduciary relationship with his or her customers, and good conscience does not require a trader to act in the interests of others.  To say that the respondent was pursuing his own commercial interests with a view to profit is to state the obvious, but also to say very little as to whether he engaged in unconscionable conduct</w:t>
      </w:r>
      <w:r w:rsidR="007865FD" w:rsidRPr="00CC0A57">
        <w:rPr>
          <w:rFonts w:ascii="Times New Roman" w:hAnsi="Times New Roman"/>
          <w:sz w:val="26"/>
          <w:szCs w:val="26"/>
          <w:lang w:val="en"/>
        </w:rPr>
        <w:t>.  In particular, it does not assist in discerning whether the conduct in question exhibits those features which distinguish unconscionable conduct from the legitimate pursuit of self-interest.</w:t>
      </w:r>
      <w:r w:rsidR="007865FD">
        <w:rPr>
          <w:rFonts w:ascii="Times New Roman" w:hAnsi="Times New Roman"/>
          <w:sz w:val="26"/>
          <w:szCs w:val="26"/>
          <w:lang w:val="en"/>
        </w:rPr>
        <w:t>”</w:t>
      </w:r>
      <w:r w:rsidR="007865FD" w:rsidRPr="00CC0A57">
        <w:rPr>
          <w:rStyle w:val="FootnoteReference"/>
          <w:rFonts w:ascii="Times New Roman" w:hAnsi="Times New Roman"/>
          <w:sz w:val="26"/>
          <w:szCs w:val="26"/>
          <w:lang w:val="en"/>
        </w:rPr>
        <w:footnoteReference w:id="49"/>
      </w:r>
    </w:p>
    <w:p w14:paraId="381AB5E8" w14:textId="2201B4CE" w:rsidR="007865FD" w:rsidRDefault="0027307C" w:rsidP="00745188">
      <w:pPr>
        <w:pStyle w:val="Quote1"/>
        <w:spacing w:after="240"/>
        <w:ind w:left="0" w:right="43"/>
        <w:rPr>
          <w:rFonts w:ascii="Times New Roman" w:hAnsi="Times New Roman"/>
          <w:sz w:val="26"/>
          <w:szCs w:val="26"/>
          <w:lang w:val="en"/>
        </w:rPr>
      </w:pPr>
      <w:r>
        <w:rPr>
          <w:rFonts w:ascii="Times New Roman" w:hAnsi="Times New Roman"/>
          <w:sz w:val="26"/>
          <w:szCs w:val="26"/>
          <w:lang w:val="en"/>
        </w:rPr>
        <w:t>At the same time</w:t>
      </w:r>
      <w:r w:rsidR="007865FD" w:rsidRPr="00CC0A57">
        <w:rPr>
          <w:rFonts w:ascii="Times New Roman" w:hAnsi="Times New Roman"/>
          <w:sz w:val="26"/>
          <w:szCs w:val="26"/>
          <w:lang w:val="en"/>
        </w:rPr>
        <w:t xml:space="preserve">, in making decisions about whether to acquire financial products or services, most consumers are — inescapably — at a disadvantage.  First, </w:t>
      </w:r>
      <w:r w:rsidR="007865FD">
        <w:rPr>
          <w:rFonts w:ascii="Times New Roman" w:hAnsi="Times New Roman"/>
          <w:sz w:val="26"/>
          <w:szCs w:val="26"/>
          <w:lang w:val="en"/>
        </w:rPr>
        <w:t xml:space="preserve">for most consumers </w:t>
      </w:r>
      <w:r w:rsidR="007865FD" w:rsidRPr="00CC0A57">
        <w:rPr>
          <w:rFonts w:ascii="Times New Roman" w:hAnsi="Times New Roman"/>
          <w:sz w:val="26"/>
          <w:szCs w:val="26"/>
          <w:lang w:val="en"/>
        </w:rPr>
        <w:t xml:space="preserve">decisions of this kind only arise relatively infrequently.  Unlike </w:t>
      </w:r>
      <w:r w:rsidR="007865FD">
        <w:rPr>
          <w:rFonts w:ascii="Times New Roman" w:hAnsi="Times New Roman"/>
          <w:sz w:val="26"/>
          <w:szCs w:val="26"/>
          <w:lang w:val="en"/>
        </w:rPr>
        <w:t xml:space="preserve">the traders </w:t>
      </w:r>
      <w:r w:rsidR="007865FD" w:rsidRPr="00CC0A57">
        <w:rPr>
          <w:rFonts w:ascii="Times New Roman" w:hAnsi="Times New Roman"/>
          <w:sz w:val="26"/>
          <w:szCs w:val="26"/>
          <w:lang w:val="en"/>
        </w:rPr>
        <w:t xml:space="preserve">they are dealing with, consumers are not in the business of lending or investing or taking out insurance policies.  That is the disadvantage of unfamiliarity.  </w:t>
      </w:r>
    </w:p>
    <w:p w14:paraId="33ABBE8B" w14:textId="3F03E133" w:rsidR="007865FD" w:rsidRDefault="007865FD" w:rsidP="00745188">
      <w:pPr>
        <w:pStyle w:val="Normal-Indent"/>
        <w:spacing w:before="240" w:after="240" w:line="240" w:lineRule="auto"/>
        <w:ind w:left="0"/>
        <w:rPr>
          <w:rFonts w:ascii="Times New Roman" w:hAnsi="Times New Roman"/>
          <w:sz w:val="26"/>
          <w:szCs w:val="26"/>
          <w:lang w:val="en"/>
        </w:rPr>
      </w:pPr>
      <w:r w:rsidRPr="00CC0A57">
        <w:rPr>
          <w:rFonts w:ascii="Times New Roman" w:hAnsi="Times New Roman"/>
          <w:sz w:val="26"/>
          <w:szCs w:val="26"/>
          <w:lang w:val="en"/>
        </w:rPr>
        <w:t xml:space="preserve">Then there is the disadvantage of complexity, as anyone who has read a </w:t>
      </w:r>
      <w:r>
        <w:rPr>
          <w:rFonts w:ascii="Times New Roman" w:hAnsi="Times New Roman"/>
          <w:sz w:val="26"/>
          <w:szCs w:val="26"/>
          <w:lang w:val="en"/>
        </w:rPr>
        <w:t>“</w:t>
      </w:r>
      <w:r w:rsidRPr="00CC0A57">
        <w:rPr>
          <w:rFonts w:ascii="Times New Roman" w:hAnsi="Times New Roman"/>
          <w:sz w:val="26"/>
          <w:szCs w:val="26"/>
          <w:lang w:val="en"/>
        </w:rPr>
        <w:t>product disclosure statement</w:t>
      </w:r>
      <w:r>
        <w:rPr>
          <w:rFonts w:ascii="Times New Roman" w:hAnsi="Times New Roman"/>
          <w:sz w:val="26"/>
          <w:szCs w:val="26"/>
          <w:lang w:val="en"/>
        </w:rPr>
        <w:t>”</w:t>
      </w:r>
      <w:r w:rsidRPr="00CC0A57">
        <w:rPr>
          <w:rFonts w:ascii="Times New Roman" w:hAnsi="Times New Roman"/>
          <w:sz w:val="26"/>
          <w:szCs w:val="26"/>
          <w:lang w:val="en"/>
        </w:rPr>
        <w:t xml:space="preserve"> or the terms and conditions of an insurance policy would understand.  These are products and services which are</w:t>
      </w:r>
      <w:r>
        <w:rPr>
          <w:rFonts w:ascii="Times New Roman" w:hAnsi="Times New Roman"/>
          <w:sz w:val="26"/>
          <w:szCs w:val="26"/>
          <w:lang w:val="en"/>
        </w:rPr>
        <w:t xml:space="preserve"> not</w:t>
      </w:r>
      <w:r w:rsidRPr="00CC0A57">
        <w:rPr>
          <w:rFonts w:ascii="Times New Roman" w:hAnsi="Times New Roman"/>
          <w:sz w:val="26"/>
          <w:szCs w:val="26"/>
          <w:lang w:val="en"/>
        </w:rPr>
        <w:t xml:space="preserve"> readily comprehensible to the </w:t>
      </w:r>
      <w:r w:rsidRPr="00CC0A57">
        <w:rPr>
          <w:rFonts w:ascii="Times New Roman" w:hAnsi="Times New Roman"/>
          <w:sz w:val="26"/>
          <w:szCs w:val="26"/>
          <w:lang w:val="en"/>
        </w:rPr>
        <w:lastRenderedPageBreak/>
        <w:t>lay consumer.  Buying a car can be hazardous enough but, for most of us, we have a fair idea of what it is we are buying.  Weighing up the risks and rewards of a financial product is an altogether different exercise.</w:t>
      </w:r>
    </w:p>
    <w:p w14:paraId="12E345DC" w14:textId="0DEC3E2A" w:rsidR="007865FD" w:rsidRDefault="007865FD" w:rsidP="00745188">
      <w:pPr>
        <w:pStyle w:val="Normal-Indent"/>
        <w:spacing w:before="240" w:after="240" w:line="240" w:lineRule="auto"/>
        <w:ind w:left="0"/>
        <w:rPr>
          <w:rFonts w:ascii="Times New Roman" w:hAnsi="Times New Roman"/>
          <w:sz w:val="26"/>
          <w:szCs w:val="26"/>
          <w:lang w:val="en"/>
        </w:rPr>
      </w:pPr>
      <w:r>
        <w:rPr>
          <w:rFonts w:ascii="Times New Roman" w:hAnsi="Times New Roman"/>
          <w:b/>
          <w:sz w:val="26"/>
          <w:szCs w:val="26"/>
          <w:lang w:val="en"/>
        </w:rPr>
        <w:t>The future</w:t>
      </w:r>
    </w:p>
    <w:p w14:paraId="3B198FF9" w14:textId="6BE94D04" w:rsidR="007865FD" w:rsidRDefault="007865FD" w:rsidP="00745188">
      <w:pPr>
        <w:pStyle w:val="Normal-Indent"/>
        <w:spacing w:before="240" w:after="240" w:line="240" w:lineRule="auto"/>
        <w:ind w:left="0"/>
        <w:rPr>
          <w:rFonts w:ascii="Times New Roman" w:hAnsi="Times New Roman"/>
          <w:sz w:val="26"/>
          <w:szCs w:val="26"/>
          <w:lang w:val="en"/>
        </w:rPr>
      </w:pPr>
      <w:r>
        <w:rPr>
          <w:rFonts w:ascii="Times New Roman" w:hAnsi="Times New Roman"/>
          <w:sz w:val="26"/>
          <w:szCs w:val="26"/>
          <w:lang w:val="en"/>
        </w:rPr>
        <w:t>Against that background, it is important to note what Commissioner Hayne said about the way forward.  He made some very important statements about the culture of a financial services entity</w:t>
      </w:r>
      <w:r w:rsidR="00F846E3">
        <w:rPr>
          <w:rFonts w:ascii="Times New Roman" w:hAnsi="Times New Roman"/>
          <w:sz w:val="26"/>
          <w:szCs w:val="26"/>
          <w:lang w:val="en"/>
        </w:rPr>
        <w:t>, as follows</w:t>
      </w:r>
      <w:r>
        <w:rPr>
          <w:rFonts w:ascii="Times New Roman" w:hAnsi="Times New Roman"/>
          <w:sz w:val="26"/>
          <w:szCs w:val="26"/>
          <w:lang w:val="en"/>
        </w:rPr>
        <w:t>:</w:t>
      </w:r>
    </w:p>
    <w:p w14:paraId="67C757FB" w14:textId="7D956356" w:rsidR="007865FD" w:rsidRDefault="007865FD"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“The culture of an entity can be described as the ‘shared values and norms that shape behaviours and mindsets’ within the entity.  It has been described as ‘what people do when no-one is watching’ and that descripti</w:t>
      </w:r>
      <w:r w:rsidR="00EF550A">
        <w:rPr>
          <w:rFonts w:ascii="Times New Roman" w:hAnsi="Times New Roman"/>
          <w:sz w:val="26"/>
          <w:szCs w:val="26"/>
        </w:rPr>
        <w:t>o</w:t>
      </w:r>
      <w:r>
        <w:rPr>
          <w:rFonts w:ascii="Times New Roman" w:hAnsi="Times New Roman"/>
          <w:sz w:val="26"/>
          <w:szCs w:val="26"/>
        </w:rPr>
        <w:t>n captures what might be called the essentially ‘internalised’ or ‘instinctive’ application of shared values and norms.  The shared values and norms can be seen as both reflecting and constituting the culture of an entity.  It is evident that culture can drive or discourage misconduct.</w:t>
      </w:r>
    </w:p>
    <w:p w14:paraId="6710E11C" w14:textId="171114C7"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p>
    <w:p w14:paraId="0556CCC5" w14:textId="161F8302"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There is no single ‘best practice’ for creating or maintaining a desirable culture, but one necessary aspect of a desirable culture is adherence to the basic norms of behaviour that I have described elsewhere in this Report:</w:t>
      </w:r>
    </w:p>
    <w:p w14:paraId="51F1A92F" w14:textId="179A25DC"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obey the law;</w:t>
      </w:r>
    </w:p>
    <w:p w14:paraId="0FAB379A" w14:textId="13354306"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do not mislead or deceive;</w:t>
      </w:r>
    </w:p>
    <w:p w14:paraId="7D5908EE" w14:textId="08768CC9"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27307C">
        <w:rPr>
          <w:rFonts w:ascii="Times New Roman" w:hAnsi="Times New Roman"/>
          <w:i/>
          <w:sz w:val="26"/>
          <w:szCs w:val="26"/>
        </w:rPr>
        <w:t>act fairly</w:t>
      </w:r>
      <w:r>
        <w:rPr>
          <w:rFonts w:ascii="Times New Roman" w:hAnsi="Times New Roman"/>
          <w:sz w:val="26"/>
          <w:szCs w:val="26"/>
        </w:rPr>
        <w:t>;</w:t>
      </w:r>
    </w:p>
    <w:p w14:paraId="4703A295" w14:textId="4CB87693"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provide services that are fit for purpose;</w:t>
      </w:r>
    </w:p>
    <w:p w14:paraId="5BA9BB1E" w14:textId="3ADA6FC7"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deliver services with reasonable care and skill;</w:t>
      </w:r>
    </w:p>
    <w:p w14:paraId="75239452" w14:textId="0FB7C23E" w:rsidR="00EF550A" w:rsidRDefault="00EF550A"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when acting for another, act in the best interests of that other.</w:t>
      </w:r>
      <w:r w:rsidR="00F846E3">
        <w:rPr>
          <w:rFonts w:ascii="Times New Roman" w:hAnsi="Times New Roman"/>
          <w:sz w:val="26"/>
          <w:szCs w:val="26"/>
        </w:rPr>
        <w:t>”</w:t>
      </w:r>
      <w:r w:rsidR="0027307C">
        <w:rPr>
          <w:rStyle w:val="FootnoteReference"/>
          <w:rFonts w:ascii="Times New Roman" w:hAnsi="Times New Roman"/>
          <w:sz w:val="26"/>
          <w:szCs w:val="26"/>
        </w:rPr>
        <w:footnoteReference w:id="50"/>
      </w:r>
    </w:p>
    <w:p w14:paraId="07995848" w14:textId="0406FB9F" w:rsidR="00EF550A" w:rsidRDefault="00543492" w:rsidP="00745188">
      <w:pPr>
        <w:pStyle w:val="Quote1"/>
        <w:spacing w:after="240"/>
        <w:ind w:left="0" w:right="43"/>
        <w:rPr>
          <w:rFonts w:ascii="Times New Roman" w:hAnsi="Times New Roman"/>
          <w:sz w:val="26"/>
          <w:szCs w:val="26"/>
          <w:lang w:val="en"/>
        </w:rPr>
      </w:pPr>
      <w:r>
        <w:rPr>
          <w:rFonts w:ascii="Times New Roman" w:hAnsi="Times New Roman"/>
          <w:sz w:val="26"/>
          <w:szCs w:val="26"/>
          <w:lang w:val="en"/>
        </w:rPr>
        <w:t xml:space="preserve">I refer also to what was said last week by </w:t>
      </w:r>
      <w:r w:rsidR="00F846E3">
        <w:rPr>
          <w:rFonts w:ascii="Times New Roman" w:hAnsi="Times New Roman"/>
          <w:sz w:val="26"/>
          <w:szCs w:val="26"/>
          <w:lang w:val="en"/>
        </w:rPr>
        <w:t xml:space="preserve">Mr </w:t>
      </w:r>
      <w:r w:rsidR="00EF550A">
        <w:rPr>
          <w:rFonts w:ascii="Times New Roman" w:hAnsi="Times New Roman"/>
          <w:sz w:val="26"/>
          <w:szCs w:val="26"/>
          <w:lang w:val="en"/>
        </w:rPr>
        <w:t>Wayne Byres, the chairman of APRA (The Australian Prudential and Regulatory Authority)</w:t>
      </w:r>
      <w:r>
        <w:rPr>
          <w:rFonts w:ascii="Times New Roman" w:hAnsi="Times New Roman"/>
          <w:sz w:val="26"/>
          <w:szCs w:val="26"/>
          <w:lang w:val="en"/>
        </w:rPr>
        <w:t xml:space="preserve">.  </w:t>
      </w:r>
      <w:r w:rsidR="0027307C">
        <w:rPr>
          <w:rFonts w:ascii="Times New Roman" w:hAnsi="Times New Roman"/>
          <w:sz w:val="26"/>
          <w:szCs w:val="26"/>
          <w:lang w:val="en"/>
        </w:rPr>
        <w:t>T</w:t>
      </w:r>
      <w:r w:rsidR="00EF550A">
        <w:rPr>
          <w:rFonts w:ascii="Times New Roman" w:hAnsi="Times New Roman"/>
          <w:sz w:val="26"/>
          <w:szCs w:val="26"/>
          <w:lang w:val="en"/>
        </w:rPr>
        <w:t xml:space="preserve">he report in the Financial Review carried the headline, “APRA wants bankers to behave more like lawyers”, </w:t>
      </w:r>
      <w:r w:rsidR="0027307C">
        <w:rPr>
          <w:rFonts w:ascii="Times New Roman" w:hAnsi="Times New Roman"/>
          <w:sz w:val="26"/>
          <w:szCs w:val="26"/>
          <w:lang w:val="en"/>
        </w:rPr>
        <w:t xml:space="preserve">so </w:t>
      </w:r>
      <w:r>
        <w:rPr>
          <w:rFonts w:ascii="Times New Roman" w:hAnsi="Times New Roman"/>
          <w:sz w:val="26"/>
          <w:szCs w:val="26"/>
          <w:lang w:val="en"/>
        </w:rPr>
        <w:t xml:space="preserve">I thought I should track </w:t>
      </w:r>
      <w:r w:rsidR="00F846E3">
        <w:rPr>
          <w:rFonts w:ascii="Times New Roman" w:hAnsi="Times New Roman"/>
          <w:sz w:val="26"/>
          <w:szCs w:val="26"/>
          <w:lang w:val="en"/>
        </w:rPr>
        <w:t>down the speech!</w:t>
      </w:r>
      <w:r w:rsidR="00EF550A">
        <w:rPr>
          <w:rFonts w:ascii="Times New Roman" w:hAnsi="Times New Roman"/>
          <w:sz w:val="26"/>
          <w:szCs w:val="26"/>
          <w:lang w:val="en"/>
        </w:rPr>
        <w:t xml:space="preserve">  What he actually said was:</w:t>
      </w:r>
    </w:p>
    <w:p w14:paraId="20DC6E4B" w14:textId="41A2B47F" w:rsidR="00EF550A" w:rsidRDefault="00EF550A" w:rsidP="00745188">
      <w:pPr>
        <w:pStyle w:val="Quote1"/>
        <w:spacing w:after="240"/>
        <w:ind w:left="720"/>
        <w:rPr>
          <w:rFonts w:ascii="Times New Roman" w:hAnsi="Times New Roman"/>
          <w:sz w:val="26"/>
          <w:szCs w:val="26"/>
          <w:lang w:val="en"/>
        </w:rPr>
      </w:pPr>
      <w:r w:rsidRPr="005C56C4">
        <w:rPr>
          <w:rFonts w:ascii="Times New Roman" w:hAnsi="Times New Roman"/>
          <w:sz w:val="26"/>
          <w:szCs w:val="26"/>
          <w:lang w:val="en"/>
        </w:rPr>
        <w:t>“A stronger</w:t>
      </w:r>
      <w:r>
        <w:rPr>
          <w:rFonts w:ascii="Times New Roman" w:hAnsi="Times New Roman"/>
          <w:sz w:val="26"/>
          <w:szCs w:val="26"/>
          <w:lang w:val="en"/>
        </w:rPr>
        <w:t xml:space="preserve"> foundation of professionalism, more akin to that for lawyers, accountants and actuaries, would no doubt help.</w:t>
      </w:r>
      <w:r w:rsidR="00352A3B">
        <w:rPr>
          <w:rFonts w:ascii="Times New Roman" w:hAnsi="Times New Roman"/>
          <w:sz w:val="26"/>
          <w:szCs w:val="26"/>
          <w:lang w:val="en"/>
        </w:rPr>
        <w:t>”</w:t>
      </w:r>
    </w:p>
    <w:p w14:paraId="48DEF28E" w14:textId="6A61215D" w:rsidR="00543492" w:rsidRDefault="00543492" w:rsidP="00745188">
      <w:pPr>
        <w:pStyle w:val="Quote1"/>
        <w:spacing w:after="240"/>
        <w:ind w:left="0"/>
        <w:rPr>
          <w:rFonts w:ascii="Times New Roman" w:hAnsi="Times New Roman"/>
          <w:sz w:val="26"/>
          <w:szCs w:val="26"/>
          <w:lang w:val="en"/>
        </w:rPr>
      </w:pPr>
      <w:r>
        <w:rPr>
          <w:rFonts w:ascii="Times New Roman" w:hAnsi="Times New Roman"/>
          <w:sz w:val="26"/>
          <w:szCs w:val="26"/>
          <w:lang w:val="en"/>
        </w:rPr>
        <w:t>More generally, he said:</w:t>
      </w:r>
    </w:p>
    <w:p w14:paraId="1CAEF9C9" w14:textId="37E070D8" w:rsidR="00EF550A" w:rsidRDefault="00352A3B" w:rsidP="00745188">
      <w:pPr>
        <w:pStyle w:val="Quote1"/>
        <w:spacing w:after="240"/>
        <w:ind w:left="720"/>
        <w:rPr>
          <w:rFonts w:ascii="Times New Roman" w:hAnsi="Times New Roman"/>
          <w:sz w:val="26"/>
          <w:szCs w:val="26"/>
          <w:lang w:val="en"/>
        </w:rPr>
      </w:pPr>
      <w:r>
        <w:rPr>
          <w:rFonts w:ascii="Times New Roman" w:hAnsi="Times New Roman"/>
          <w:sz w:val="26"/>
          <w:szCs w:val="26"/>
          <w:lang w:val="en"/>
        </w:rPr>
        <w:t>“</w:t>
      </w:r>
      <w:r w:rsidR="00EF550A">
        <w:rPr>
          <w:rFonts w:ascii="Times New Roman" w:hAnsi="Times New Roman"/>
          <w:sz w:val="26"/>
          <w:szCs w:val="26"/>
          <w:lang w:val="en"/>
        </w:rPr>
        <w:t xml:space="preserve">The buck may stop with boards in a legal sense, and it’s essential they set the right tone, policies and incentives, but as individuals we are faced with a myriad of decisions every day in which we are able to exercise our </w:t>
      </w:r>
      <w:r w:rsidR="00EF550A">
        <w:rPr>
          <w:rFonts w:ascii="Times New Roman" w:hAnsi="Times New Roman"/>
          <w:sz w:val="26"/>
          <w:szCs w:val="26"/>
          <w:lang w:val="en"/>
        </w:rPr>
        <w:lastRenderedPageBreak/>
        <w:t>discretion.  The fact that misconduct or unethical behaviour may be possible, or even inadvertently incentivised, is not a licence to take advantage of it.  Nor even to turn a blind eye to it.</w:t>
      </w:r>
    </w:p>
    <w:p w14:paraId="7FB163E4" w14:textId="77777777" w:rsidR="00EF550A" w:rsidRDefault="00EF550A" w:rsidP="00745188">
      <w:pPr>
        <w:pStyle w:val="Quote1"/>
        <w:spacing w:after="240"/>
        <w:ind w:left="720"/>
        <w:rPr>
          <w:rFonts w:ascii="Times New Roman" w:hAnsi="Times New Roman"/>
          <w:sz w:val="26"/>
          <w:szCs w:val="26"/>
          <w:lang w:val="en"/>
        </w:rPr>
      </w:pPr>
      <w:r>
        <w:rPr>
          <w:rFonts w:ascii="Times New Roman" w:hAnsi="Times New Roman"/>
          <w:sz w:val="26"/>
          <w:szCs w:val="26"/>
          <w:lang w:val="en"/>
        </w:rPr>
        <w:t>…</w:t>
      </w:r>
    </w:p>
    <w:p w14:paraId="535213CB" w14:textId="4014A666" w:rsidR="00EF550A" w:rsidRDefault="00EF550A" w:rsidP="00745188">
      <w:pPr>
        <w:pStyle w:val="Quote1"/>
        <w:spacing w:after="240"/>
        <w:ind w:left="720"/>
        <w:rPr>
          <w:rFonts w:ascii="Times New Roman" w:hAnsi="Times New Roman"/>
          <w:sz w:val="26"/>
          <w:szCs w:val="26"/>
          <w:lang w:val="en"/>
        </w:rPr>
      </w:pPr>
      <w:r>
        <w:rPr>
          <w:rFonts w:ascii="Times New Roman" w:hAnsi="Times New Roman"/>
          <w:sz w:val="26"/>
          <w:szCs w:val="26"/>
          <w:lang w:val="en"/>
        </w:rPr>
        <w:t>There is nothing to fear, and much to gain, from having a workforce that serves all interests in good faith, completes hard but with honour, exercises ethical restraint in their choices, speaks out against wrongdoing, and takes accountability for their own actions.”</w:t>
      </w:r>
    </w:p>
    <w:p w14:paraId="57026CDC" w14:textId="2C191C3C" w:rsidR="00543492" w:rsidRDefault="00543492" w:rsidP="00745188">
      <w:pPr>
        <w:pStyle w:val="Quote1"/>
        <w:spacing w:after="240"/>
        <w:ind w:left="0" w:right="0"/>
        <w:rPr>
          <w:rFonts w:ascii="Times New Roman" w:hAnsi="Times New Roman"/>
          <w:sz w:val="26"/>
          <w:szCs w:val="26"/>
          <w:lang w:val="en"/>
        </w:rPr>
      </w:pPr>
      <w:r>
        <w:rPr>
          <w:rFonts w:ascii="Times New Roman" w:hAnsi="Times New Roman"/>
          <w:sz w:val="26"/>
          <w:szCs w:val="26"/>
          <w:lang w:val="en"/>
        </w:rPr>
        <w:t xml:space="preserve">In that speech, Mr Byres expressed support for the Banking and Finance Oath.  The Oath has been formulated and is being promoted by an independent organisation whose stated purpose is </w:t>
      </w:r>
    </w:p>
    <w:p w14:paraId="2573F5DB" w14:textId="153FB534" w:rsidR="00543492" w:rsidRDefault="00543492" w:rsidP="00745188">
      <w:pPr>
        <w:pStyle w:val="Quote1"/>
        <w:spacing w:after="240"/>
        <w:ind w:left="720"/>
        <w:rPr>
          <w:rFonts w:ascii="Times New Roman" w:hAnsi="Times New Roman"/>
          <w:sz w:val="26"/>
          <w:szCs w:val="26"/>
          <w:lang w:val="en"/>
        </w:rPr>
      </w:pPr>
      <w:r>
        <w:rPr>
          <w:rFonts w:ascii="Times New Roman" w:hAnsi="Times New Roman"/>
          <w:sz w:val="26"/>
          <w:szCs w:val="26"/>
          <w:lang w:val="en"/>
        </w:rPr>
        <w:t xml:space="preserve">“to improve our society by </w:t>
      </w:r>
      <w:r w:rsidRPr="00E96251">
        <w:rPr>
          <w:rFonts w:ascii="Times New Roman" w:hAnsi="Times New Roman"/>
          <w:i/>
          <w:sz w:val="26"/>
          <w:szCs w:val="26"/>
          <w:lang w:val="en"/>
        </w:rPr>
        <w:t>raising the moral and ethical standards</w:t>
      </w:r>
      <w:r>
        <w:rPr>
          <w:rFonts w:ascii="Times New Roman" w:hAnsi="Times New Roman"/>
          <w:sz w:val="26"/>
          <w:szCs w:val="26"/>
          <w:lang w:val="en"/>
        </w:rPr>
        <w:t xml:space="preserve"> of the Banking and Finance industry through the implementation of the BFO.”</w:t>
      </w:r>
      <w:r w:rsidR="0027307C">
        <w:rPr>
          <w:rStyle w:val="FootnoteReference"/>
          <w:rFonts w:ascii="Times New Roman" w:hAnsi="Times New Roman"/>
          <w:sz w:val="26"/>
          <w:szCs w:val="26"/>
          <w:lang w:val="en"/>
        </w:rPr>
        <w:footnoteReference w:id="51"/>
      </w:r>
    </w:p>
    <w:p w14:paraId="39A21445" w14:textId="596BDCF5" w:rsidR="00543492" w:rsidRPr="00543492" w:rsidRDefault="00543492" w:rsidP="00745188">
      <w:pPr>
        <w:pStyle w:val="Quote1"/>
        <w:spacing w:after="240"/>
        <w:ind w:left="0"/>
        <w:rPr>
          <w:rFonts w:ascii="Times New Roman" w:hAnsi="Times New Roman"/>
          <w:sz w:val="26"/>
          <w:szCs w:val="26"/>
          <w:lang w:val="en"/>
        </w:rPr>
      </w:pPr>
      <w:r>
        <w:rPr>
          <w:rFonts w:ascii="Times New Roman" w:hAnsi="Times New Roman"/>
          <w:sz w:val="26"/>
          <w:szCs w:val="26"/>
          <w:lang w:val="en"/>
        </w:rPr>
        <w:t>The Oath is in these terms:</w:t>
      </w:r>
    </w:p>
    <w:p w14:paraId="2FF6DCDD" w14:textId="73E1DBA6" w:rsidR="00EF550A" w:rsidRDefault="00F846E3"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EF550A">
        <w:rPr>
          <w:rFonts w:ascii="Times New Roman" w:hAnsi="Times New Roman"/>
          <w:b/>
          <w:sz w:val="26"/>
          <w:szCs w:val="26"/>
        </w:rPr>
        <w:t>The Oath</w:t>
      </w:r>
    </w:p>
    <w:p w14:paraId="4C336444" w14:textId="2A5EBFF7"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Trust is the foundation of my profession.</w:t>
      </w:r>
    </w:p>
    <w:p w14:paraId="0FF73D20" w14:textId="5FCFBCBB"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I will serve all interests in good faith.</w:t>
      </w:r>
    </w:p>
    <w:p w14:paraId="5140539B" w14:textId="1CDE564D"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I will compete with honour.</w:t>
      </w:r>
    </w:p>
    <w:p w14:paraId="18A1930E" w14:textId="646F6157" w:rsidR="00EF550A" w:rsidRPr="00A32DBB" w:rsidRDefault="00EF550A" w:rsidP="0027307C">
      <w:pPr>
        <w:pStyle w:val="Normal-Indent"/>
        <w:spacing w:line="240" w:lineRule="auto"/>
        <w:ind w:right="720"/>
        <w:rPr>
          <w:rFonts w:ascii="Times New Roman" w:hAnsi="Times New Roman"/>
          <w:i/>
          <w:sz w:val="26"/>
          <w:szCs w:val="26"/>
        </w:rPr>
      </w:pPr>
      <w:r w:rsidRPr="00A32DBB">
        <w:rPr>
          <w:rFonts w:ascii="Times New Roman" w:hAnsi="Times New Roman"/>
          <w:i/>
          <w:sz w:val="26"/>
          <w:szCs w:val="26"/>
        </w:rPr>
        <w:t>I will pursue my ends with ethical restraint.</w:t>
      </w:r>
    </w:p>
    <w:p w14:paraId="1FF62325" w14:textId="106E42D6"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I will help create a sustainable future.</w:t>
      </w:r>
    </w:p>
    <w:p w14:paraId="7106CA88" w14:textId="650999FF"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I will help create a more just society.</w:t>
      </w:r>
    </w:p>
    <w:p w14:paraId="3C65C1E0" w14:textId="432BA309"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I will speak out against wrongdoing and support others who do the same.</w:t>
      </w:r>
    </w:p>
    <w:p w14:paraId="7C1A61B7" w14:textId="5ABCE555" w:rsid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I will accept responsibility for my actions.</w:t>
      </w:r>
    </w:p>
    <w:p w14:paraId="1BB6DF9F" w14:textId="01530B6E" w:rsidR="00EF550A" w:rsidRDefault="00EF550A" w:rsidP="0027307C">
      <w:pPr>
        <w:pStyle w:val="Normal-Indent"/>
        <w:spacing w:line="240" w:lineRule="auto"/>
        <w:ind w:left="0" w:right="720" w:firstLine="720"/>
        <w:rPr>
          <w:rFonts w:ascii="Times New Roman" w:hAnsi="Times New Roman"/>
          <w:sz w:val="26"/>
          <w:szCs w:val="26"/>
        </w:rPr>
      </w:pPr>
      <w:r>
        <w:rPr>
          <w:rFonts w:ascii="Times New Roman" w:hAnsi="Times New Roman"/>
          <w:sz w:val="26"/>
          <w:szCs w:val="26"/>
        </w:rPr>
        <w:t>In these and all other matters;</w:t>
      </w:r>
    </w:p>
    <w:p w14:paraId="5507ABDD" w14:textId="749F239E" w:rsidR="00EF550A" w:rsidRPr="00EF550A" w:rsidRDefault="00EF550A" w:rsidP="0027307C">
      <w:pPr>
        <w:pStyle w:val="Normal-Indent"/>
        <w:spacing w:line="240" w:lineRule="auto"/>
        <w:ind w:right="720"/>
        <w:rPr>
          <w:rFonts w:ascii="Times New Roman" w:hAnsi="Times New Roman"/>
          <w:sz w:val="26"/>
          <w:szCs w:val="26"/>
        </w:rPr>
      </w:pPr>
      <w:r>
        <w:rPr>
          <w:rFonts w:ascii="Times New Roman" w:hAnsi="Times New Roman"/>
          <w:sz w:val="26"/>
          <w:szCs w:val="26"/>
        </w:rPr>
        <w:t>My word is my bond.</w:t>
      </w:r>
      <w:r w:rsidR="00F846E3">
        <w:rPr>
          <w:rFonts w:ascii="Times New Roman" w:hAnsi="Times New Roman"/>
          <w:sz w:val="26"/>
          <w:szCs w:val="26"/>
        </w:rPr>
        <w:t>”</w:t>
      </w:r>
      <w:r w:rsidR="0027307C">
        <w:rPr>
          <w:rStyle w:val="FootnoteReference"/>
          <w:rFonts w:ascii="Times New Roman" w:hAnsi="Times New Roman"/>
          <w:sz w:val="26"/>
          <w:szCs w:val="26"/>
        </w:rPr>
        <w:footnoteReference w:id="52"/>
      </w:r>
    </w:p>
    <w:p w14:paraId="07E775C6" w14:textId="13333EA4" w:rsidR="00C17FFA"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 xml:space="preserve">Again very recently, I noticed a report in the Financial Review headed:  </w:t>
      </w:r>
      <w:r>
        <w:rPr>
          <w:rFonts w:ascii="Times New Roman" w:hAnsi="Times New Roman"/>
          <w:sz w:val="26"/>
          <w:szCs w:val="26"/>
        </w:rPr>
        <w:t>“</w:t>
      </w:r>
      <w:r w:rsidRPr="00CC0A57">
        <w:rPr>
          <w:rFonts w:ascii="Times New Roman" w:hAnsi="Times New Roman"/>
          <w:sz w:val="26"/>
          <w:szCs w:val="26"/>
        </w:rPr>
        <w:t>Hayne prompts rethink on ethics in MBA curriculum</w:t>
      </w:r>
      <w:r>
        <w:rPr>
          <w:rFonts w:ascii="Times New Roman" w:hAnsi="Times New Roman"/>
          <w:sz w:val="26"/>
          <w:szCs w:val="26"/>
        </w:rPr>
        <w:t>”</w:t>
      </w:r>
      <w:r w:rsidRPr="00CC0A57">
        <w:rPr>
          <w:rFonts w:ascii="Times New Roman" w:hAnsi="Times New Roman"/>
          <w:sz w:val="26"/>
          <w:szCs w:val="26"/>
        </w:rPr>
        <w:t>.  The story began:</w:t>
      </w:r>
    </w:p>
    <w:p w14:paraId="559DD072" w14:textId="77777777" w:rsidR="00C17FFA" w:rsidRDefault="007E0879"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w:t>
      </w:r>
      <w:r w:rsidR="00C17FFA" w:rsidRPr="00CC0A57">
        <w:rPr>
          <w:rFonts w:ascii="Times New Roman" w:hAnsi="Times New Roman"/>
          <w:sz w:val="26"/>
          <w:szCs w:val="26"/>
        </w:rPr>
        <w:t>One year after rocking the banking industry, the Hayne commission has inspired a quiet revolution in the breeding ground of Australia’s next generation of corporate leaders:  business schools.</w:t>
      </w:r>
    </w:p>
    <w:p w14:paraId="22528300" w14:textId="77777777" w:rsidR="00C17FFA" w:rsidRPr="00CC0A57" w:rsidRDefault="00C17FFA" w:rsidP="00745188">
      <w:pPr>
        <w:pStyle w:val="Normal-Indent"/>
        <w:spacing w:before="240" w:after="240" w:line="240" w:lineRule="auto"/>
        <w:ind w:right="720"/>
        <w:rPr>
          <w:rFonts w:ascii="Times New Roman" w:hAnsi="Times New Roman"/>
          <w:sz w:val="26"/>
          <w:szCs w:val="26"/>
        </w:rPr>
      </w:pPr>
      <w:r w:rsidRPr="00CC0A57">
        <w:rPr>
          <w:rFonts w:ascii="Times New Roman" w:hAnsi="Times New Roman"/>
          <w:sz w:val="26"/>
          <w:szCs w:val="26"/>
        </w:rPr>
        <w:t>Australian Graduate School of Management (AGSM) at UNSW has accelerated plans and introduced a mandatory course on ‘law, regulation and ethics’ for MBA students.</w:t>
      </w:r>
      <w:r>
        <w:rPr>
          <w:rFonts w:ascii="Times New Roman" w:hAnsi="Times New Roman"/>
          <w:sz w:val="26"/>
          <w:szCs w:val="26"/>
        </w:rPr>
        <w:t>”</w:t>
      </w:r>
    </w:p>
    <w:p w14:paraId="7EF5605D" w14:textId="3F68308B" w:rsidR="00543492" w:rsidRDefault="00E96251"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The paper</w:t>
      </w:r>
      <w:r w:rsidR="00C17FFA" w:rsidRPr="00CC0A57">
        <w:rPr>
          <w:rFonts w:ascii="Times New Roman" w:hAnsi="Times New Roman"/>
          <w:sz w:val="26"/>
          <w:szCs w:val="26"/>
        </w:rPr>
        <w:t xml:space="preserve"> also reported that, in March this year, </w:t>
      </w:r>
      <w:r w:rsidR="00543492">
        <w:rPr>
          <w:rFonts w:ascii="Times New Roman" w:hAnsi="Times New Roman"/>
          <w:sz w:val="26"/>
          <w:szCs w:val="26"/>
        </w:rPr>
        <w:t xml:space="preserve">Dr </w:t>
      </w:r>
      <w:r w:rsidR="00C17FFA" w:rsidRPr="00CC0A57">
        <w:rPr>
          <w:rFonts w:ascii="Times New Roman" w:hAnsi="Times New Roman"/>
          <w:sz w:val="26"/>
          <w:szCs w:val="26"/>
        </w:rPr>
        <w:t>Rosemary Sainty of the UTS</w:t>
      </w:r>
      <w:r w:rsidR="00543492">
        <w:rPr>
          <w:rFonts w:ascii="Times New Roman" w:hAnsi="Times New Roman"/>
          <w:sz w:val="26"/>
          <w:szCs w:val="26"/>
        </w:rPr>
        <w:t xml:space="preserve"> Business School in Sydney</w:t>
      </w:r>
      <w:r w:rsidR="00C17FFA" w:rsidRPr="00CC0A57">
        <w:rPr>
          <w:rFonts w:ascii="Times New Roman" w:hAnsi="Times New Roman"/>
          <w:sz w:val="26"/>
          <w:szCs w:val="26"/>
        </w:rPr>
        <w:t xml:space="preserve"> convened a </w:t>
      </w:r>
      <w:r w:rsidR="00543492">
        <w:rPr>
          <w:rFonts w:ascii="Times New Roman" w:hAnsi="Times New Roman"/>
          <w:sz w:val="26"/>
          <w:szCs w:val="26"/>
        </w:rPr>
        <w:t xml:space="preserve">deliberative forum to consider the role of business schools in response to </w:t>
      </w:r>
      <w:r w:rsidR="00C17FFA" w:rsidRPr="00CC0A57">
        <w:rPr>
          <w:rFonts w:ascii="Times New Roman" w:hAnsi="Times New Roman"/>
          <w:sz w:val="26"/>
          <w:szCs w:val="26"/>
        </w:rPr>
        <w:t xml:space="preserve">the Royal Commission Report.  </w:t>
      </w:r>
      <w:r w:rsidR="00543492">
        <w:rPr>
          <w:rFonts w:ascii="Times New Roman" w:hAnsi="Times New Roman"/>
          <w:sz w:val="26"/>
          <w:szCs w:val="26"/>
        </w:rPr>
        <w:t>Dr Sainty</w:t>
      </w:r>
      <w:r w:rsidR="0027307C">
        <w:rPr>
          <w:rFonts w:ascii="Times New Roman" w:hAnsi="Times New Roman"/>
          <w:sz w:val="26"/>
          <w:szCs w:val="26"/>
        </w:rPr>
        <w:t xml:space="preserve"> subsequently</w:t>
      </w:r>
      <w:r w:rsidR="00543492">
        <w:rPr>
          <w:rFonts w:ascii="Times New Roman" w:hAnsi="Times New Roman"/>
          <w:sz w:val="26"/>
          <w:szCs w:val="26"/>
        </w:rPr>
        <w:t xml:space="preserve"> reported that the </w:t>
      </w:r>
      <w:r w:rsidR="00543492">
        <w:rPr>
          <w:rFonts w:ascii="Times New Roman" w:hAnsi="Times New Roman"/>
          <w:sz w:val="26"/>
          <w:szCs w:val="26"/>
        </w:rPr>
        <w:lastRenderedPageBreak/>
        <w:t>themes which emerged included:</w:t>
      </w:r>
    </w:p>
    <w:p w14:paraId="2EF6544E" w14:textId="7BBBA925" w:rsidR="00543492" w:rsidRPr="00543492" w:rsidRDefault="00543492" w:rsidP="00745188">
      <w:pPr>
        <w:pStyle w:val="Normal-Indent"/>
        <w:spacing w:before="240" w:after="240" w:line="240" w:lineRule="auto"/>
        <w:ind w:right="720"/>
        <w:rPr>
          <w:rFonts w:ascii="Times New Roman" w:hAnsi="Times New Roman"/>
          <w:sz w:val="26"/>
          <w:szCs w:val="26"/>
        </w:rPr>
      </w:pPr>
      <w:r>
        <w:rPr>
          <w:rFonts w:ascii="Times New Roman" w:hAnsi="Times New Roman"/>
          <w:sz w:val="26"/>
          <w:szCs w:val="26"/>
        </w:rPr>
        <w:t>“the responsibility of business schools to cultivate critical reasoning and individual moral accountability in our students, and to challenge taken for granted amoral assumption</w:t>
      </w:r>
      <w:r w:rsidR="00AF7CC4">
        <w:rPr>
          <w:rFonts w:ascii="Times New Roman" w:hAnsi="Times New Roman"/>
          <w:sz w:val="26"/>
          <w:szCs w:val="26"/>
        </w:rPr>
        <w:t>s in traditional business school curriculum and practices.  These include an overemphasis on cost/benefit analysis and the marketization of business school education itself.”</w:t>
      </w:r>
    </w:p>
    <w:p w14:paraId="1A25A232" w14:textId="77777777" w:rsidR="00A32DBB"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The question for this audience, I think, is</w:t>
      </w:r>
      <w:r w:rsidR="00E0764D">
        <w:rPr>
          <w:rFonts w:ascii="Times New Roman" w:hAnsi="Times New Roman"/>
          <w:sz w:val="26"/>
          <w:szCs w:val="26"/>
        </w:rPr>
        <w:t xml:space="preserve"> whether we as judges and practitioners need to do more or do better</w:t>
      </w:r>
      <w:r w:rsidRPr="00CC0A57">
        <w:rPr>
          <w:rFonts w:ascii="Times New Roman" w:hAnsi="Times New Roman"/>
          <w:sz w:val="26"/>
          <w:szCs w:val="26"/>
        </w:rPr>
        <w:t>.</w:t>
      </w:r>
      <w:r w:rsidR="00E0764D">
        <w:rPr>
          <w:rFonts w:ascii="Times New Roman" w:hAnsi="Times New Roman"/>
          <w:sz w:val="26"/>
          <w:szCs w:val="26"/>
        </w:rPr>
        <w:t xml:space="preserve"> </w:t>
      </w:r>
      <w:r w:rsidR="00A56913">
        <w:rPr>
          <w:rFonts w:ascii="Times New Roman" w:hAnsi="Times New Roman"/>
          <w:sz w:val="26"/>
          <w:szCs w:val="26"/>
        </w:rPr>
        <w:t>Should we be rethinking how we teach c</w:t>
      </w:r>
      <w:r w:rsidR="00A32DBB">
        <w:rPr>
          <w:rFonts w:ascii="Times New Roman" w:hAnsi="Times New Roman"/>
          <w:sz w:val="26"/>
          <w:szCs w:val="26"/>
        </w:rPr>
        <w:t>ommercial law, or how we practis</w:t>
      </w:r>
      <w:r w:rsidR="00A56913">
        <w:rPr>
          <w:rFonts w:ascii="Times New Roman" w:hAnsi="Times New Roman"/>
          <w:sz w:val="26"/>
          <w:szCs w:val="26"/>
        </w:rPr>
        <w:t>e it, or how we adjudicate it?</w:t>
      </w:r>
      <w:r w:rsidR="00E0764D">
        <w:rPr>
          <w:rFonts w:ascii="Times New Roman" w:hAnsi="Times New Roman"/>
          <w:sz w:val="26"/>
          <w:szCs w:val="26"/>
        </w:rPr>
        <w:t xml:space="preserve"> </w:t>
      </w:r>
    </w:p>
    <w:p w14:paraId="51DD7615" w14:textId="5D3A218A" w:rsidR="00E0764D" w:rsidRDefault="00E0764D"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In his dissenting judgment in </w:t>
      </w:r>
      <w:r>
        <w:rPr>
          <w:rFonts w:ascii="Times New Roman" w:hAnsi="Times New Roman"/>
          <w:i/>
          <w:sz w:val="26"/>
          <w:szCs w:val="26"/>
        </w:rPr>
        <w:t>Kobelt</w:t>
      </w:r>
      <w:r>
        <w:rPr>
          <w:rFonts w:ascii="Times New Roman" w:hAnsi="Times New Roman"/>
          <w:sz w:val="26"/>
          <w:szCs w:val="26"/>
        </w:rPr>
        <w:t>, Edelman J set out the legislative history of the unconscionability provisions.  In his Honour’s view:</w:t>
      </w:r>
      <w:r w:rsidR="00C17FFA" w:rsidRPr="00CC0A57">
        <w:rPr>
          <w:rFonts w:ascii="Times New Roman" w:hAnsi="Times New Roman"/>
          <w:sz w:val="26"/>
          <w:szCs w:val="26"/>
        </w:rPr>
        <w:t xml:space="preserve"> </w:t>
      </w:r>
    </w:p>
    <w:p w14:paraId="2500DB9B" w14:textId="40BB5023" w:rsidR="005C56C4" w:rsidRPr="005C56C4" w:rsidRDefault="005C56C4" w:rsidP="00745188">
      <w:pPr>
        <w:autoSpaceDE w:val="0"/>
        <w:autoSpaceDN w:val="0"/>
        <w:adjustRightInd w:val="0"/>
        <w:spacing w:before="240" w:after="240"/>
        <w:ind w:left="720" w:right="630"/>
        <w:jc w:val="both"/>
        <w:rPr>
          <w:rFonts w:ascii="Times New Roman" w:hAnsi="Times New Roman" w:cs="Times New Roman"/>
          <w:sz w:val="26"/>
          <w:szCs w:val="26"/>
        </w:rPr>
      </w:pPr>
      <w:r>
        <w:rPr>
          <w:rFonts w:ascii="Times New Roman" w:hAnsi="Times New Roman" w:cs="Times New Roman"/>
          <w:sz w:val="26"/>
          <w:szCs w:val="26"/>
        </w:rPr>
        <w:t>“</w:t>
      </w:r>
      <w:r w:rsidRPr="005C56C4">
        <w:rPr>
          <w:rFonts w:ascii="Times New Roman" w:hAnsi="Times New Roman" w:cs="Times New Roman"/>
          <w:sz w:val="26"/>
          <w:szCs w:val="26"/>
        </w:rPr>
        <w:t>This legislative history clearly demonstrates that although Parliament’s</w:t>
      </w:r>
      <w:r>
        <w:rPr>
          <w:rFonts w:ascii="Times New Roman" w:hAnsi="Times New Roman" w:cs="Times New Roman"/>
          <w:sz w:val="26"/>
          <w:szCs w:val="26"/>
        </w:rPr>
        <w:t xml:space="preserve"> </w:t>
      </w:r>
      <w:r w:rsidRPr="005C56C4">
        <w:rPr>
          <w:rFonts w:ascii="Times New Roman" w:hAnsi="Times New Roman" w:cs="Times New Roman"/>
          <w:sz w:val="26"/>
          <w:szCs w:val="26"/>
        </w:rPr>
        <w:t>proscriptions against unconscionable conduct initially built upon the equitable</w:t>
      </w:r>
      <w:r>
        <w:rPr>
          <w:rFonts w:ascii="Times New Roman" w:hAnsi="Times New Roman" w:cs="Times New Roman"/>
          <w:sz w:val="26"/>
          <w:szCs w:val="26"/>
        </w:rPr>
        <w:t xml:space="preserve"> </w:t>
      </w:r>
      <w:r w:rsidRPr="005C56C4">
        <w:rPr>
          <w:rFonts w:ascii="Times New Roman" w:hAnsi="Times New Roman" w:cs="Times New Roman"/>
          <w:sz w:val="26"/>
          <w:szCs w:val="26"/>
        </w:rPr>
        <w:t>foundations of that concept, over the last two decades Parliament has repeatedly</w:t>
      </w:r>
      <w:r>
        <w:rPr>
          <w:rFonts w:ascii="Times New Roman" w:hAnsi="Times New Roman" w:cs="Times New Roman"/>
          <w:sz w:val="26"/>
          <w:szCs w:val="26"/>
        </w:rPr>
        <w:t xml:space="preserve"> </w:t>
      </w:r>
      <w:r w:rsidRPr="005C56C4">
        <w:rPr>
          <w:rFonts w:ascii="Times New Roman" w:hAnsi="Times New Roman" w:cs="Times New Roman"/>
          <w:sz w:val="26"/>
          <w:szCs w:val="26"/>
        </w:rPr>
        <w:t xml:space="preserve">amended the statutory proscription against unconscionable conduct </w:t>
      </w:r>
      <w:r w:rsidRPr="00CE4F12">
        <w:rPr>
          <w:rFonts w:ascii="Times New Roman" w:hAnsi="Times New Roman" w:cs="Times New Roman"/>
          <w:i/>
          <w:sz w:val="26"/>
          <w:szCs w:val="26"/>
        </w:rPr>
        <w:t>in continued efforts to require courts to take a less restrictive approach</w:t>
      </w:r>
      <w:r w:rsidRPr="005C56C4">
        <w:rPr>
          <w:rFonts w:ascii="Times New Roman" w:hAnsi="Times New Roman" w:cs="Times New Roman"/>
          <w:sz w:val="26"/>
          <w:szCs w:val="26"/>
        </w:rPr>
        <w:t xml:space="preserve"> shorn from either of the</w:t>
      </w:r>
      <w:r>
        <w:rPr>
          <w:rFonts w:ascii="Times New Roman" w:hAnsi="Times New Roman" w:cs="Times New Roman"/>
          <w:sz w:val="26"/>
          <w:szCs w:val="26"/>
        </w:rPr>
        <w:t xml:space="preserve"> </w:t>
      </w:r>
      <w:r w:rsidRPr="005C56C4">
        <w:rPr>
          <w:rFonts w:ascii="Times New Roman" w:hAnsi="Times New Roman" w:cs="Times New Roman"/>
          <w:sz w:val="26"/>
          <w:szCs w:val="26"/>
        </w:rPr>
        <w:t>equitable preconditions imposed in the twentieth century, by which equity had</w:t>
      </w:r>
      <w:r>
        <w:rPr>
          <w:rFonts w:ascii="Times New Roman" w:hAnsi="Times New Roman" w:cs="Times New Roman"/>
          <w:sz w:val="26"/>
          <w:szCs w:val="26"/>
        </w:rPr>
        <w:t xml:space="preserve"> </w:t>
      </w:r>
      <w:r w:rsidRPr="005C56C4">
        <w:rPr>
          <w:rFonts w:ascii="Times New Roman" w:hAnsi="Times New Roman" w:cs="Times New Roman"/>
          <w:sz w:val="26"/>
          <w:szCs w:val="26"/>
        </w:rPr>
        <w:t>raised the required bar of moral disapprobation.</w:t>
      </w:r>
      <w:r>
        <w:rPr>
          <w:rFonts w:ascii="Times New Roman" w:hAnsi="Times New Roman" w:cs="Times New Roman"/>
          <w:sz w:val="26"/>
          <w:szCs w:val="26"/>
        </w:rPr>
        <w:t>”</w:t>
      </w:r>
      <w:r w:rsidR="00CE4F12">
        <w:rPr>
          <w:rStyle w:val="FootnoteReference"/>
          <w:rFonts w:ascii="Times New Roman" w:hAnsi="Times New Roman" w:cs="Times New Roman"/>
          <w:sz w:val="26"/>
          <w:szCs w:val="26"/>
        </w:rPr>
        <w:footnoteReference w:id="53"/>
      </w:r>
    </w:p>
    <w:p w14:paraId="7C9F7A54" w14:textId="20A0F3E4" w:rsidR="00A56913" w:rsidRDefault="00CE4F12"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Now, if that i</w:t>
      </w:r>
      <w:r w:rsidR="00A56913">
        <w:rPr>
          <w:rFonts w:ascii="Times New Roman" w:hAnsi="Times New Roman"/>
          <w:sz w:val="26"/>
          <w:szCs w:val="26"/>
        </w:rPr>
        <w:t xml:space="preserve">s right, why are courts taking a restrictive approach? Are we not understanding, recognising, enforcing the moral aspirations of this law? Are we not recognising that Parliament wants </w:t>
      </w:r>
      <w:r>
        <w:rPr>
          <w:rFonts w:ascii="Times New Roman" w:hAnsi="Times New Roman"/>
          <w:sz w:val="26"/>
          <w:szCs w:val="26"/>
        </w:rPr>
        <w:t>these provisions</w:t>
      </w:r>
      <w:r w:rsidR="00A56913">
        <w:rPr>
          <w:rFonts w:ascii="Times New Roman" w:hAnsi="Times New Roman"/>
          <w:sz w:val="26"/>
          <w:szCs w:val="26"/>
        </w:rPr>
        <w:t xml:space="preserve"> to apply with </w:t>
      </w:r>
      <w:r w:rsidR="00A56913" w:rsidRPr="00644B6A">
        <w:rPr>
          <w:rFonts w:ascii="Times New Roman" w:hAnsi="Times New Roman"/>
          <w:sz w:val="26"/>
          <w:szCs w:val="26"/>
        </w:rPr>
        <w:t>real</w:t>
      </w:r>
      <w:r w:rsidR="00A56913">
        <w:rPr>
          <w:rFonts w:ascii="Times New Roman" w:hAnsi="Times New Roman"/>
          <w:i/>
          <w:sz w:val="26"/>
          <w:szCs w:val="26"/>
        </w:rPr>
        <w:t xml:space="preserve"> </w:t>
      </w:r>
      <w:r w:rsidR="00A56913" w:rsidRPr="00A56913">
        <w:rPr>
          <w:rFonts w:ascii="Times New Roman" w:hAnsi="Times New Roman"/>
          <w:sz w:val="26"/>
          <w:szCs w:val="26"/>
        </w:rPr>
        <w:t>force</w:t>
      </w:r>
      <w:r>
        <w:rPr>
          <w:rFonts w:ascii="Times New Roman" w:hAnsi="Times New Roman"/>
          <w:sz w:val="26"/>
          <w:szCs w:val="26"/>
        </w:rPr>
        <w:t>?</w:t>
      </w:r>
    </w:p>
    <w:p w14:paraId="70CD2271" w14:textId="05515F99" w:rsidR="00C17FFA" w:rsidRPr="00CC0A57" w:rsidRDefault="00C17FFA" w:rsidP="00745188">
      <w:pPr>
        <w:pStyle w:val="Normal-Indent"/>
        <w:spacing w:before="240" w:after="240" w:line="240" w:lineRule="auto"/>
        <w:ind w:left="0"/>
        <w:rPr>
          <w:rFonts w:ascii="Times New Roman" w:hAnsi="Times New Roman"/>
          <w:sz w:val="26"/>
          <w:szCs w:val="26"/>
        </w:rPr>
      </w:pPr>
      <w:r w:rsidRPr="00CC0A57">
        <w:rPr>
          <w:rFonts w:ascii="Times New Roman" w:hAnsi="Times New Roman"/>
          <w:sz w:val="26"/>
          <w:szCs w:val="26"/>
        </w:rPr>
        <w:t>It may be that the training of lawyers in, or aiming for, commercial law practice should give much greater emphasis to these notions of good conscience.  We would not be expecting lawyers to stand in moral judgment of their clients but rather to make sure that their clients have a good appreciation of the</w:t>
      </w:r>
      <w:r w:rsidR="00AF7CC4">
        <w:rPr>
          <w:rFonts w:ascii="Times New Roman" w:hAnsi="Times New Roman"/>
          <w:sz w:val="26"/>
          <w:szCs w:val="26"/>
        </w:rPr>
        <w:t xml:space="preserve"> moral dimensions of</w:t>
      </w:r>
      <w:r w:rsidRPr="00CC0A57">
        <w:rPr>
          <w:rFonts w:ascii="Times New Roman" w:hAnsi="Times New Roman"/>
          <w:sz w:val="26"/>
          <w:szCs w:val="26"/>
        </w:rPr>
        <w:t xml:space="preserve"> </w:t>
      </w:r>
      <w:r w:rsidR="00352A3B">
        <w:rPr>
          <w:rFonts w:ascii="Times New Roman" w:hAnsi="Times New Roman"/>
          <w:sz w:val="26"/>
          <w:szCs w:val="26"/>
        </w:rPr>
        <w:t xml:space="preserve">the </w:t>
      </w:r>
      <w:r w:rsidRPr="00CC0A57">
        <w:rPr>
          <w:rFonts w:ascii="Times New Roman" w:hAnsi="Times New Roman"/>
          <w:sz w:val="26"/>
          <w:szCs w:val="26"/>
        </w:rPr>
        <w:t>legal prohibition of conduct which is against conscience.  Given the centrality of this moral concept in the framework of business regulation, commercial lawyers should be making sure that the moral dimension is quite explicit in the advice they give.</w:t>
      </w:r>
    </w:p>
    <w:p w14:paraId="077CB675" w14:textId="20A424BF" w:rsidR="00BF0D4E" w:rsidRPr="00745188" w:rsidRDefault="005C56C4" w:rsidP="00745188">
      <w:pPr>
        <w:pStyle w:val="Normal-Indent"/>
        <w:spacing w:before="240" w:after="240" w:line="240" w:lineRule="auto"/>
        <w:ind w:left="0"/>
        <w:rPr>
          <w:rFonts w:ascii="Times New Roman" w:hAnsi="Times New Roman"/>
          <w:sz w:val="26"/>
          <w:szCs w:val="26"/>
        </w:rPr>
      </w:pPr>
      <w:r>
        <w:rPr>
          <w:rFonts w:ascii="Times New Roman" w:hAnsi="Times New Roman"/>
          <w:sz w:val="26"/>
          <w:szCs w:val="26"/>
        </w:rPr>
        <w:t xml:space="preserve">Are the courts still being too restrictive?  Or is the problem with the standard?  Adoption of fairness as a test </w:t>
      </w:r>
      <w:r w:rsidR="00F846E3">
        <w:rPr>
          <w:rFonts w:ascii="Times New Roman" w:hAnsi="Times New Roman"/>
          <w:sz w:val="26"/>
          <w:szCs w:val="26"/>
        </w:rPr>
        <w:t>might</w:t>
      </w:r>
      <w:r>
        <w:rPr>
          <w:rFonts w:ascii="Times New Roman" w:hAnsi="Times New Roman"/>
          <w:sz w:val="26"/>
          <w:szCs w:val="26"/>
        </w:rPr>
        <w:t xml:space="preserve"> not be conducive to greater certaint</w:t>
      </w:r>
      <w:r w:rsidR="00F846E3">
        <w:rPr>
          <w:rFonts w:ascii="Times New Roman" w:hAnsi="Times New Roman"/>
          <w:sz w:val="26"/>
          <w:szCs w:val="26"/>
        </w:rPr>
        <w:t>y.  B</w:t>
      </w:r>
      <w:r>
        <w:rPr>
          <w:rFonts w:ascii="Times New Roman" w:hAnsi="Times New Roman"/>
          <w:sz w:val="26"/>
          <w:szCs w:val="26"/>
        </w:rPr>
        <w:t>ut it would certainly promote better understanding by all concerned</w:t>
      </w:r>
      <w:r w:rsidR="00AF7CC4">
        <w:rPr>
          <w:rFonts w:ascii="Times New Roman" w:hAnsi="Times New Roman"/>
          <w:sz w:val="26"/>
          <w:szCs w:val="26"/>
        </w:rPr>
        <w:t xml:space="preserve"> — and, it might be hoped, higher standards of conduct —</w:t>
      </w:r>
      <w:r>
        <w:rPr>
          <w:rFonts w:ascii="Times New Roman" w:hAnsi="Times New Roman"/>
          <w:sz w:val="26"/>
          <w:szCs w:val="26"/>
        </w:rPr>
        <w:t xml:space="preserve"> if we had a prohibition on conduct which was “in all the circumstances</w:t>
      </w:r>
      <w:r w:rsidR="00E96251">
        <w:rPr>
          <w:rFonts w:ascii="Times New Roman" w:hAnsi="Times New Roman"/>
          <w:sz w:val="26"/>
          <w:szCs w:val="26"/>
        </w:rPr>
        <w:t>,</w:t>
      </w:r>
      <w:r>
        <w:rPr>
          <w:rFonts w:ascii="Times New Roman" w:hAnsi="Times New Roman"/>
          <w:sz w:val="26"/>
          <w:szCs w:val="26"/>
        </w:rPr>
        <w:t xml:space="preserve"> unfair”.</w:t>
      </w:r>
    </w:p>
    <w:sectPr w:rsidR="00BF0D4E" w:rsidRPr="00745188" w:rsidSect="007E0879">
      <w:headerReference w:type="default" r:id="rId13"/>
      <w:footerReference w:type="default" r:id="rId14"/>
      <w:pgSz w:w="11909" w:h="16834"/>
      <w:pgMar w:top="864" w:right="1289" w:bottom="1152" w:left="1350" w:header="70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F21ED" w14:textId="77777777" w:rsidR="007A3343" w:rsidRDefault="007A3343" w:rsidP="00C17FFA">
      <w:r>
        <w:separator/>
      </w:r>
    </w:p>
  </w:endnote>
  <w:endnote w:type="continuationSeparator" w:id="0">
    <w:p w14:paraId="322B7A08" w14:textId="77777777" w:rsidR="007A3343" w:rsidRDefault="007A3343" w:rsidP="00C17FFA">
      <w:r>
        <w:continuationSeparator/>
      </w:r>
    </w:p>
  </w:endnote>
  <w:endnote w:type="continuationNotice" w:id="1">
    <w:p w14:paraId="080439C7" w14:textId="77777777" w:rsidR="007A3343" w:rsidRDefault="007A3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64F9" w14:textId="77777777" w:rsidR="00E47B28" w:rsidRDefault="00E47B28" w:rsidP="00543492">
    <w:pPr>
      <w:ind w:right="360"/>
    </w:pPr>
  </w:p>
  <w:p w14:paraId="31ECA675" w14:textId="77777777" w:rsidR="00E47B28" w:rsidRDefault="00E47B28" w:rsidP="00543492">
    <w:pPr>
      <w:pStyle w:val="Footer"/>
      <w:jc w:val="center"/>
      <w:rPr>
        <w:sz w:val="2"/>
      </w:rPr>
    </w:pPr>
    <w:bookmarkStart w:id="2" w:name="FcaseName"/>
    <w:bookmarkEnd w:id="2"/>
  </w:p>
  <w:p w14:paraId="5EBAB609" w14:textId="77777777" w:rsidR="00E47B28" w:rsidRPr="0039308B" w:rsidRDefault="00E47B28" w:rsidP="00543492">
    <w:pPr>
      <w:pStyle w:val="Foote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4A1C" w14:textId="77777777" w:rsidR="007A3343" w:rsidRDefault="007A3343" w:rsidP="00C17FFA">
      <w:r>
        <w:separator/>
      </w:r>
    </w:p>
  </w:footnote>
  <w:footnote w:type="continuationSeparator" w:id="0">
    <w:p w14:paraId="3BA4A1E0" w14:textId="77777777" w:rsidR="007A3343" w:rsidRDefault="007A3343" w:rsidP="00C17FFA">
      <w:r>
        <w:continuationSeparator/>
      </w:r>
    </w:p>
  </w:footnote>
  <w:footnote w:type="continuationNotice" w:id="1">
    <w:p w14:paraId="5C5AFE81" w14:textId="77777777" w:rsidR="007A3343" w:rsidRDefault="007A3343"/>
  </w:footnote>
  <w:footnote w:id="2">
    <w:p w14:paraId="7CC73CBA" w14:textId="15E7AD62"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r>
      <w:r w:rsidRPr="00612963">
        <w:rPr>
          <w:rFonts w:ascii="Times New Roman" w:hAnsi="Times New Roman"/>
          <w:i/>
          <w:sz w:val="22"/>
          <w:szCs w:val="22"/>
        </w:rPr>
        <w:t>Commercial Bank of Australia v Amadio</w:t>
      </w:r>
      <w:r w:rsidRPr="00612963">
        <w:rPr>
          <w:rFonts w:ascii="Times New Roman" w:hAnsi="Times New Roman"/>
          <w:sz w:val="22"/>
          <w:szCs w:val="22"/>
        </w:rPr>
        <w:t xml:space="preserve"> (1983) 151 CLR 447, 461.</w:t>
      </w:r>
    </w:p>
  </w:footnote>
  <w:footnote w:id="3">
    <w:p w14:paraId="02719E97" w14:textId="0C363B22"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r>
      <w:r w:rsidR="009B5867">
        <w:rPr>
          <w:rFonts w:ascii="Times New Roman" w:hAnsi="Times New Roman"/>
          <w:sz w:val="22"/>
          <w:szCs w:val="22"/>
        </w:rPr>
        <w:t>P A Keane, “The Conscience of Equity”</w:t>
      </w:r>
      <w:r w:rsidRPr="00612963">
        <w:rPr>
          <w:rFonts w:ascii="Times New Roman" w:hAnsi="Times New Roman"/>
          <w:sz w:val="22"/>
          <w:szCs w:val="22"/>
        </w:rPr>
        <w:t xml:space="preserve"> (2010) 84 </w:t>
      </w:r>
      <w:r w:rsidRPr="00612963">
        <w:rPr>
          <w:rFonts w:ascii="Times New Roman" w:hAnsi="Times New Roman"/>
          <w:i/>
          <w:sz w:val="22"/>
          <w:szCs w:val="22"/>
        </w:rPr>
        <w:t>Australian Law Journal</w:t>
      </w:r>
      <w:r w:rsidRPr="00612963">
        <w:rPr>
          <w:rFonts w:ascii="Times New Roman" w:hAnsi="Times New Roman"/>
          <w:sz w:val="22"/>
          <w:szCs w:val="22"/>
        </w:rPr>
        <w:t xml:space="preserve"> 92, 95.</w:t>
      </w:r>
    </w:p>
  </w:footnote>
  <w:footnote w:id="4">
    <w:p w14:paraId="48548037" w14:textId="13957975" w:rsidR="00E47B28" w:rsidRPr="00612963" w:rsidRDefault="00E47B28" w:rsidP="00EF3077">
      <w:pPr>
        <w:pStyle w:val="FootnoteText"/>
        <w:ind w:left="720"/>
        <w:rPr>
          <w:rFonts w:ascii="Times New Roman" w:hAnsi="Times New Roman"/>
          <w:sz w:val="22"/>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r>
      <w:r w:rsidRPr="00612963">
        <w:rPr>
          <w:rFonts w:ascii="Times New Roman" w:hAnsi="Times New Roman"/>
          <w:i/>
          <w:sz w:val="22"/>
        </w:rPr>
        <w:t xml:space="preserve">Australian Securities and Investments Commission Act 2001 </w:t>
      </w:r>
      <w:r w:rsidRPr="00612963">
        <w:rPr>
          <w:rFonts w:ascii="Times New Roman" w:hAnsi="Times New Roman"/>
          <w:sz w:val="22"/>
        </w:rPr>
        <w:t>s 12CA (</w:t>
      </w:r>
      <w:r w:rsidR="009B5867">
        <w:rPr>
          <w:rFonts w:ascii="Times New Roman" w:hAnsi="Times New Roman"/>
          <w:sz w:val="22"/>
        </w:rPr>
        <w:t>“</w:t>
      </w:r>
      <w:r w:rsidRPr="00612963">
        <w:rPr>
          <w:rFonts w:ascii="Times New Roman" w:hAnsi="Times New Roman"/>
          <w:i/>
          <w:sz w:val="22"/>
        </w:rPr>
        <w:t>ASIC Act</w:t>
      </w:r>
      <w:r w:rsidR="009B5867">
        <w:rPr>
          <w:rFonts w:ascii="Times New Roman" w:hAnsi="Times New Roman"/>
          <w:i/>
          <w:sz w:val="22"/>
        </w:rPr>
        <w:t>”</w:t>
      </w:r>
      <w:r w:rsidRPr="00612963">
        <w:rPr>
          <w:rFonts w:ascii="Times New Roman" w:hAnsi="Times New Roman"/>
          <w:sz w:val="22"/>
        </w:rPr>
        <w:t xml:space="preserve">);  </w:t>
      </w:r>
      <w:r w:rsidRPr="00612963">
        <w:rPr>
          <w:rFonts w:ascii="Times New Roman" w:hAnsi="Times New Roman"/>
          <w:i/>
          <w:sz w:val="22"/>
        </w:rPr>
        <w:t xml:space="preserve">Competition and Consumer Act 2010 </w:t>
      </w:r>
      <w:r w:rsidRPr="00612963">
        <w:rPr>
          <w:rFonts w:ascii="Times New Roman" w:hAnsi="Times New Roman"/>
          <w:sz w:val="22"/>
        </w:rPr>
        <w:t>(Cth) sch 2, s 20 (</w:t>
      </w:r>
      <w:r w:rsidR="009B5867">
        <w:rPr>
          <w:rFonts w:ascii="Times New Roman" w:hAnsi="Times New Roman"/>
          <w:sz w:val="22"/>
        </w:rPr>
        <w:t>“</w:t>
      </w:r>
      <w:r w:rsidRPr="00612963">
        <w:rPr>
          <w:rFonts w:ascii="Times New Roman" w:hAnsi="Times New Roman"/>
          <w:i/>
          <w:sz w:val="22"/>
        </w:rPr>
        <w:t>ACL</w:t>
      </w:r>
      <w:r w:rsidR="009B5867">
        <w:rPr>
          <w:rFonts w:ascii="Times New Roman" w:hAnsi="Times New Roman"/>
          <w:sz w:val="22"/>
        </w:rPr>
        <w:t>”</w:t>
      </w:r>
      <w:r w:rsidRPr="00612963">
        <w:rPr>
          <w:rFonts w:ascii="Times New Roman" w:hAnsi="Times New Roman"/>
          <w:sz w:val="22"/>
        </w:rPr>
        <w:t>).</w:t>
      </w:r>
    </w:p>
  </w:footnote>
  <w:footnote w:id="5">
    <w:p w14:paraId="0D876604" w14:textId="5802967C" w:rsidR="00E47B28" w:rsidRPr="00612963" w:rsidRDefault="00E47B28" w:rsidP="00B41E0F">
      <w:pPr>
        <w:pStyle w:val="FootnoteText"/>
        <w:ind w:left="720"/>
        <w:rPr>
          <w:rFonts w:ascii="Times New Roman" w:hAnsi="Times New Roman"/>
          <w:sz w:val="22"/>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r>
      <w:r w:rsidRPr="00612963">
        <w:rPr>
          <w:rFonts w:ascii="Times New Roman" w:hAnsi="Times New Roman"/>
          <w:i/>
          <w:sz w:val="22"/>
        </w:rPr>
        <w:t xml:space="preserve">ACCC v C G Berbatis Holdings Pty Ltd </w:t>
      </w:r>
      <w:r w:rsidRPr="00612963">
        <w:rPr>
          <w:rFonts w:ascii="Times New Roman" w:hAnsi="Times New Roman"/>
          <w:sz w:val="22"/>
        </w:rPr>
        <w:t>(2003) 214 CLR 51, 70–1 [37]–[38].</w:t>
      </w:r>
    </w:p>
  </w:footnote>
  <w:footnote w:id="6">
    <w:p w14:paraId="5685F04B" w14:textId="706792DE" w:rsidR="00E47B28" w:rsidRPr="00612963" w:rsidRDefault="00E47B28" w:rsidP="00EF3077">
      <w:pPr>
        <w:pStyle w:val="FootnoteText"/>
        <w:ind w:left="720"/>
        <w:rPr>
          <w:rFonts w:ascii="Times New Roman" w:hAnsi="Times New Roman"/>
          <w:sz w:val="22"/>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r>
      <w:r w:rsidRPr="00612963">
        <w:rPr>
          <w:rFonts w:ascii="Times New Roman" w:hAnsi="Times New Roman"/>
          <w:i/>
          <w:sz w:val="22"/>
        </w:rPr>
        <w:t>ASIC Act</w:t>
      </w:r>
      <w:r w:rsidRPr="00612963">
        <w:rPr>
          <w:rFonts w:ascii="Times New Roman" w:hAnsi="Times New Roman"/>
          <w:sz w:val="22"/>
        </w:rPr>
        <w:t xml:space="preserve"> s 12CB;  </w:t>
      </w:r>
      <w:r w:rsidRPr="00612963">
        <w:rPr>
          <w:rFonts w:ascii="Times New Roman" w:hAnsi="Times New Roman"/>
          <w:i/>
          <w:sz w:val="22"/>
        </w:rPr>
        <w:t>ACL</w:t>
      </w:r>
      <w:r w:rsidRPr="00612963">
        <w:rPr>
          <w:rFonts w:ascii="Times New Roman" w:hAnsi="Times New Roman"/>
          <w:sz w:val="22"/>
        </w:rPr>
        <w:t xml:space="preserve"> s 21.</w:t>
      </w:r>
      <w:r w:rsidRPr="00612963">
        <w:rPr>
          <w:rFonts w:ascii="Times New Roman" w:hAnsi="Times New Roman"/>
          <w:sz w:val="26"/>
          <w:szCs w:val="26"/>
        </w:rPr>
        <w:t xml:space="preserve"> </w:t>
      </w:r>
      <w:r w:rsidRPr="00612963">
        <w:rPr>
          <w:rFonts w:ascii="Times New Roman" w:hAnsi="Times New Roman"/>
          <w:sz w:val="22"/>
          <w:szCs w:val="26"/>
        </w:rPr>
        <w:t xml:space="preserve">The </w:t>
      </w:r>
      <w:r w:rsidRPr="00612963">
        <w:rPr>
          <w:rFonts w:ascii="Times New Roman" w:hAnsi="Times New Roman"/>
          <w:i/>
          <w:sz w:val="22"/>
          <w:szCs w:val="26"/>
        </w:rPr>
        <w:t>ASIC Act</w:t>
      </w:r>
      <w:r w:rsidRPr="00612963">
        <w:rPr>
          <w:rFonts w:ascii="Times New Roman" w:hAnsi="Times New Roman"/>
          <w:sz w:val="22"/>
          <w:szCs w:val="26"/>
        </w:rPr>
        <w:t xml:space="preserve"> prohibits unconscionable conduct “in connection with the supply or possible supply of financial services” and the Australian Consumer Law prohibits unconscionable conduct in connection with the supply of any goods or services other than financial services.</w:t>
      </w:r>
    </w:p>
  </w:footnote>
  <w:footnote w:id="7">
    <w:p w14:paraId="73C1AC44" w14:textId="310D0EAE" w:rsidR="00E47B28" w:rsidRPr="00612963" w:rsidRDefault="00E47B28" w:rsidP="00B41E0F">
      <w:pPr>
        <w:pStyle w:val="FootnoteText"/>
        <w:ind w:left="720"/>
        <w:rPr>
          <w:rFonts w:ascii="Times New Roman" w:hAnsi="Times New Roman"/>
          <w:sz w:val="22"/>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r>
      <w:r w:rsidRPr="00612963">
        <w:rPr>
          <w:rFonts w:ascii="Times New Roman" w:hAnsi="Times New Roman"/>
          <w:i/>
          <w:sz w:val="22"/>
        </w:rPr>
        <w:t>ASIC Act</w:t>
      </w:r>
      <w:r w:rsidRPr="00612963">
        <w:rPr>
          <w:rFonts w:ascii="Times New Roman" w:hAnsi="Times New Roman"/>
          <w:sz w:val="22"/>
        </w:rPr>
        <w:t xml:space="preserve"> s 12CB(4)(a);  </w:t>
      </w:r>
      <w:r w:rsidRPr="00612963">
        <w:rPr>
          <w:rFonts w:ascii="Times New Roman" w:hAnsi="Times New Roman"/>
          <w:i/>
          <w:sz w:val="22"/>
        </w:rPr>
        <w:t>ACL</w:t>
      </w:r>
      <w:r w:rsidRPr="00612963">
        <w:rPr>
          <w:rFonts w:ascii="Times New Roman" w:hAnsi="Times New Roman"/>
          <w:sz w:val="22"/>
        </w:rPr>
        <w:t xml:space="preserve"> s 21(4)(a).</w:t>
      </w:r>
    </w:p>
  </w:footnote>
  <w:footnote w:id="8">
    <w:p w14:paraId="5BDDB370" w14:textId="56AE8A63"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 xml:space="preserve">Paul Finn, </w:t>
      </w:r>
      <w:r w:rsidR="009B5867">
        <w:rPr>
          <w:rFonts w:ascii="Times New Roman" w:hAnsi="Times New Roman"/>
          <w:sz w:val="22"/>
          <w:szCs w:val="22"/>
        </w:rPr>
        <w:t>“</w:t>
      </w:r>
      <w:r w:rsidRPr="00612963">
        <w:rPr>
          <w:rFonts w:ascii="Times New Roman" w:hAnsi="Times New Roman"/>
          <w:sz w:val="22"/>
          <w:szCs w:val="22"/>
        </w:rPr>
        <w:t>Commerce, The Common Law and Morality</w:t>
      </w:r>
      <w:r w:rsidR="009B5867">
        <w:rPr>
          <w:rFonts w:ascii="Times New Roman" w:hAnsi="Times New Roman"/>
          <w:sz w:val="22"/>
          <w:szCs w:val="22"/>
        </w:rPr>
        <w:t>”</w:t>
      </w:r>
      <w:r w:rsidRPr="00612963">
        <w:rPr>
          <w:rFonts w:ascii="Times New Roman" w:hAnsi="Times New Roman"/>
          <w:sz w:val="22"/>
          <w:szCs w:val="22"/>
        </w:rPr>
        <w:t xml:space="preserve"> (1989) 17 </w:t>
      </w:r>
      <w:r w:rsidRPr="00612963">
        <w:rPr>
          <w:rFonts w:ascii="Times New Roman" w:hAnsi="Times New Roman"/>
          <w:i/>
          <w:sz w:val="22"/>
          <w:szCs w:val="22"/>
        </w:rPr>
        <w:t>Melbourne University Law Review</w:t>
      </w:r>
      <w:r w:rsidRPr="00612963">
        <w:rPr>
          <w:rFonts w:ascii="Times New Roman" w:hAnsi="Times New Roman"/>
          <w:sz w:val="22"/>
          <w:szCs w:val="22"/>
        </w:rPr>
        <w:t xml:space="preserve"> 87. </w:t>
      </w:r>
    </w:p>
  </w:footnote>
  <w:footnote w:id="9">
    <w:p w14:paraId="6339AC73" w14:textId="678AD9E4"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 xml:space="preserve">Irit Samet, </w:t>
      </w:r>
      <w:r w:rsidRPr="00612963">
        <w:rPr>
          <w:rFonts w:ascii="Times New Roman" w:hAnsi="Times New Roman"/>
          <w:i/>
          <w:sz w:val="22"/>
          <w:szCs w:val="22"/>
        </w:rPr>
        <w:t>Equity — Conscience Goes to Market</w:t>
      </w:r>
      <w:r w:rsidRPr="00612963">
        <w:rPr>
          <w:rFonts w:ascii="Times New Roman" w:hAnsi="Times New Roman"/>
          <w:sz w:val="22"/>
          <w:szCs w:val="22"/>
        </w:rPr>
        <w:t xml:space="preserve"> (Oxford, 2018).</w:t>
      </w:r>
    </w:p>
  </w:footnote>
  <w:footnote w:id="10">
    <w:p w14:paraId="3699A3AD" w14:textId="75FF7392"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 xml:space="preserve">Sinead Agnew, </w:t>
      </w:r>
      <w:r w:rsidR="009B5867">
        <w:rPr>
          <w:rFonts w:ascii="Times New Roman" w:hAnsi="Times New Roman"/>
          <w:sz w:val="22"/>
          <w:szCs w:val="22"/>
        </w:rPr>
        <w:t>“</w:t>
      </w:r>
      <w:r w:rsidRPr="00612963">
        <w:rPr>
          <w:rFonts w:ascii="Times New Roman" w:hAnsi="Times New Roman"/>
          <w:sz w:val="22"/>
          <w:szCs w:val="22"/>
        </w:rPr>
        <w:t>The Meaning and Significance of Conscience in Private Law</w:t>
      </w:r>
      <w:r w:rsidR="009B5867">
        <w:rPr>
          <w:rFonts w:ascii="Times New Roman" w:hAnsi="Times New Roman"/>
          <w:sz w:val="22"/>
          <w:szCs w:val="22"/>
        </w:rPr>
        <w:t>”</w:t>
      </w:r>
      <w:r w:rsidRPr="00612963">
        <w:rPr>
          <w:rFonts w:ascii="Times New Roman" w:hAnsi="Times New Roman"/>
          <w:sz w:val="22"/>
          <w:szCs w:val="22"/>
        </w:rPr>
        <w:t xml:space="preserve"> (2018) 77 </w:t>
      </w:r>
      <w:r w:rsidRPr="00612963">
        <w:rPr>
          <w:rFonts w:ascii="Times New Roman" w:hAnsi="Times New Roman"/>
          <w:i/>
          <w:sz w:val="22"/>
          <w:szCs w:val="22"/>
        </w:rPr>
        <w:t xml:space="preserve">Cambridge Law Journal </w:t>
      </w:r>
      <w:r w:rsidRPr="00612963">
        <w:rPr>
          <w:rFonts w:ascii="Times New Roman" w:hAnsi="Times New Roman"/>
          <w:sz w:val="22"/>
          <w:szCs w:val="22"/>
        </w:rPr>
        <w:t>479.</w:t>
      </w:r>
    </w:p>
  </w:footnote>
  <w:footnote w:id="11">
    <w:p w14:paraId="5B0F3352" w14:textId="79FBB369" w:rsidR="00E47B28" w:rsidRPr="00612963" w:rsidRDefault="00E47B28" w:rsidP="00745188">
      <w:pPr>
        <w:pStyle w:val="FootnoteText"/>
        <w:ind w:left="720"/>
        <w:rPr>
          <w:rFonts w:ascii="Times New Roman" w:hAnsi="Times New Roman"/>
          <w:i/>
          <w:sz w:val="22"/>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r>
      <w:r w:rsidRPr="00612963">
        <w:rPr>
          <w:rFonts w:ascii="Times New Roman" w:hAnsi="Times New Roman"/>
          <w:i/>
          <w:sz w:val="22"/>
        </w:rPr>
        <w:t xml:space="preserve">Sell Your Gold Pty Ltd v Australian Diamond Trading Corporation Pty Ltd </w:t>
      </w:r>
      <w:r w:rsidRPr="00612963">
        <w:rPr>
          <w:rFonts w:ascii="Times New Roman" w:hAnsi="Times New Roman"/>
          <w:sz w:val="22"/>
        </w:rPr>
        <w:t>[2018] VSCA 355</w:t>
      </w:r>
      <w:r w:rsidRPr="00612963">
        <w:rPr>
          <w:rFonts w:ascii="Times New Roman" w:hAnsi="Times New Roman"/>
          <w:i/>
          <w:sz w:val="22"/>
        </w:rPr>
        <w:t>.</w:t>
      </w:r>
    </w:p>
  </w:footnote>
  <w:footnote w:id="12">
    <w:p w14:paraId="3F28ECE7" w14:textId="100549C6"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Samet, above n 8, 43.</w:t>
      </w:r>
    </w:p>
  </w:footnote>
  <w:footnote w:id="13">
    <w:p w14:paraId="20153795" w14:textId="40B6182F"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62.</w:t>
      </w:r>
    </w:p>
  </w:footnote>
  <w:footnote w:id="14">
    <w:p w14:paraId="6902048D" w14:textId="1B6C4AC0"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63.</w:t>
      </w:r>
    </w:p>
  </w:footnote>
  <w:footnote w:id="15">
    <w:p w14:paraId="0D75829F" w14:textId="3ECBB2BB"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Agnew, above n 9, 480.</w:t>
      </w:r>
    </w:p>
  </w:footnote>
  <w:footnote w:id="16">
    <w:p w14:paraId="7020C8BA" w14:textId="7408A617"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487.</w:t>
      </w:r>
    </w:p>
  </w:footnote>
  <w:footnote w:id="17">
    <w:p w14:paraId="34C185E7" w14:textId="54441112"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M</w:t>
      </w:r>
      <w:r>
        <w:rPr>
          <w:rFonts w:ascii="Times New Roman" w:hAnsi="Times New Roman"/>
          <w:sz w:val="22"/>
          <w:szCs w:val="22"/>
        </w:rPr>
        <w:t>atthew</w:t>
      </w:r>
      <w:r w:rsidRPr="00612963">
        <w:rPr>
          <w:rFonts w:ascii="Times New Roman" w:hAnsi="Times New Roman"/>
          <w:sz w:val="22"/>
          <w:szCs w:val="22"/>
        </w:rPr>
        <w:t xml:space="preserve"> Harding, </w:t>
      </w:r>
      <w:r w:rsidR="009B5867">
        <w:rPr>
          <w:rFonts w:ascii="Times New Roman" w:hAnsi="Times New Roman"/>
          <w:sz w:val="22"/>
          <w:szCs w:val="22"/>
        </w:rPr>
        <w:t>“</w:t>
      </w:r>
      <w:r w:rsidRPr="00612963">
        <w:rPr>
          <w:rFonts w:ascii="Times New Roman" w:hAnsi="Times New Roman"/>
          <w:sz w:val="22"/>
          <w:szCs w:val="22"/>
        </w:rPr>
        <w:t>Equity and the Rule of Law</w:t>
      </w:r>
      <w:r w:rsidR="009B5867">
        <w:rPr>
          <w:rFonts w:ascii="Times New Roman" w:hAnsi="Times New Roman"/>
          <w:sz w:val="22"/>
          <w:szCs w:val="22"/>
        </w:rPr>
        <w:t>”</w:t>
      </w:r>
      <w:r w:rsidRPr="00612963">
        <w:rPr>
          <w:rFonts w:ascii="Times New Roman" w:hAnsi="Times New Roman"/>
          <w:sz w:val="22"/>
          <w:szCs w:val="22"/>
        </w:rPr>
        <w:t xml:space="preserve"> (2016) 132 </w:t>
      </w:r>
      <w:r w:rsidRPr="00612963">
        <w:rPr>
          <w:rFonts w:ascii="Times New Roman" w:hAnsi="Times New Roman"/>
          <w:i/>
          <w:sz w:val="22"/>
          <w:szCs w:val="22"/>
        </w:rPr>
        <w:t>Law Quarterly Review</w:t>
      </w:r>
      <w:r w:rsidRPr="00612963">
        <w:rPr>
          <w:rFonts w:ascii="Times New Roman" w:hAnsi="Times New Roman"/>
          <w:sz w:val="22"/>
          <w:szCs w:val="22"/>
        </w:rPr>
        <w:t xml:space="preserve"> 278, 295.</w:t>
      </w:r>
    </w:p>
  </w:footnote>
  <w:footnote w:id="18">
    <w:p w14:paraId="3AEBA423" w14:textId="27AA05E4" w:rsidR="00E47B28" w:rsidRPr="00612963" w:rsidRDefault="00E47B28" w:rsidP="00612963">
      <w:pPr>
        <w:pStyle w:val="FootnoteText"/>
        <w:ind w:left="0" w:firstLine="0"/>
        <w:rPr>
          <w:rFonts w:ascii="Times New Roman" w:hAnsi="Times New Roman"/>
          <w:sz w:val="22"/>
          <w:szCs w:val="22"/>
        </w:rPr>
      </w:pPr>
      <w:r w:rsidRPr="00612963">
        <w:rPr>
          <w:rStyle w:val="FootnoteReference"/>
          <w:rFonts w:ascii="Times New Roman" w:hAnsi="Times New Roman"/>
          <w:sz w:val="22"/>
          <w:szCs w:val="22"/>
        </w:rPr>
        <w:footnoteRef/>
      </w:r>
      <w:r w:rsidRPr="00612963">
        <w:rPr>
          <w:rStyle w:val="FootnoteReference"/>
          <w:rFonts w:ascii="Times New Roman" w:hAnsi="Times New Roman"/>
          <w:sz w:val="22"/>
          <w:szCs w:val="22"/>
        </w:rPr>
        <w:t xml:space="preserve"> </w:t>
      </w:r>
      <w:r w:rsidRPr="00612963">
        <w:rPr>
          <w:rFonts w:ascii="Times New Roman" w:hAnsi="Times New Roman"/>
        </w:rPr>
        <w:tab/>
      </w:r>
      <w:r w:rsidRPr="00612963">
        <w:rPr>
          <w:rFonts w:ascii="Times New Roman" w:hAnsi="Times New Roman"/>
          <w:i/>
          <w:sz w:val="22"/>
          <w:szCs w:val="22"/>
        </w:rPr>
        <w:t>Kakavas v Crown Melbourne Ltd</w:t>
      </w:r>
      <w:r w:rsidRPr="00612963">
        <w:rPr>
          <w:rFonts w:ascii="Times New Roman" w:hAnsi="Times New Roman"/>
          <w:sz w:val="22"/>
          <w:szCs w:val="22"/>
        </w:rPr>
        <w:t xml:space="preserve"> (2013) 250 CLR 392, 425 [118]</w:t>
      </w:r>
      <w:r w:rsidR="009C36D6">
        <w:rPr>
          <w:rFonts w:ascii="Times New Roman" w:hAnsi="Times New Roman"/>
          <w:sz w:val="22"/>
          <w:szCs w:val="22"/>
        </w:rPr>
        <w:t xml:space="preserve"> (emphasis added)</w:t>
      </w:r>
      <w:r w:rsidRPr="00612963">
        <w:rPr>
          <w:rFonts w:ascii="Times New Roman" w:hAnsi="Times New Roman"/>
          <w:sz w:val="22"/>
          <w:szCs w:val="22"/>
        </w:rPr>
        <w:t>.</w:t>
      </w:r>
    </w:p>
  </w:footnote>
  <w:footnote w:id="19">
    <w:p w14:paraId="5D0CF89C" w14:textId="1B8BB3D3" w:rsidR="00E47B28" w:rsidRPr="00612963" w:rsidRDefault="00E47B28" w:rsidP="00612963">
      <w:pPr>
        <w:pStyle w:val="FootnoteText"/>
        <w:ind w:left="0" w:firstLine="0"/>
        <w:rPr>
          <w:rFonts w:ascii="Times New Roman" w:hAnsi="Times New Roman"/>
        </w:rPr>
      </w:pPr>
      <w:r w:rsidRPr="00612963">
        <w:rPr>
          <w:rStyle w:val="FootnoteReference"/>
          <w:rFonts w:ascii="Times New Roman" w:hAnsi="Times New Roman"/>
          <w:sz w:val="22"/>
          <w:szCs w:val="22"/>
        </w:rPr>
        <w:footnoteRef/>
      </w:r>
      <w:r w:rsidRPr="00612963">
        <w:rPr>
          <w:rStyle w:val="FootnoteReference"/>
          <w:rFonts w:ascii="Times New Roman" w:hAnsi="Times New Roman"/>
          <w:sz w:val="22"/>
          <w:szCs w:val="22"/>
        </w:rPr>
        <w:t xml:space="preserve"> </w:t>
      </w:r>
      <w:r w:rsidRPr="00612963">
        <w:rPr>
          <w:rFonts w:ascii="Times New Roman" w:hAnsi="Times New Roman"/>
          <w:sz w:val="22"/>
          <w:szCs w:val="22"/>
        </w:rPr>
        <w:tab/>
        <w:t>Ibid 439 [161].</w:t>
      </w:r>
    </w:p>
  </w:footnote>
  <w:footnote w:id="20">
    <w:p w14:paraId="08E4BDD0" w14:textId="67865997"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(2019) 368 ALR 1 (</w:t>
      </w:r>
      <w:r w:rsidR="009B5867">
        <w:rPr>
          <w:rFonts w:ascii="Times New Roman" w:hAnsi="Times New Roman"/>
          <w:sz w:val="22"/>
          <w:szCs w:val="22"/>
        </w:rPr>
        <w:t>“</w:t>
      </w:r>
      <w:r w:rsidRPr="00612963">
        <w:rPr>
          <w:rFonts w:ascii="Times New Roman" w:hAnsi="Times New Roman"/>
          <w:i/>
          <w:sz w:val="22"/>
          <w:szCs w:val="22"/>
        </w:rPr>
        <w:t>Kobelt</w:t>
      </w:r>
      <w:r w:rsidR="009B5867">
        <w:rPr>
          <w:rFonts w:ascii="Times New Roman" w:hAnsi="Times New Roman"/>
          <w:sz w:val="22"/>
          <w:szCs w:val="22"/>
        </w:rPr>
        <w:t>”</w:t>
      </w:r>
      <w:r w:rsidRPr="00612963">
        <w:rPr>
          <w:rFonts w:ascii="Times New Roman" w:hAnsi="Times New Roman"/>
          <w:sz w:val="22"/>
          <w:szCs w:val="22"/>
        </w:rPr>
        <w:t xml:space="preserve">).  </w:t>
      </w:r>
    </w:p>
  </w:footnote>
  <w:footnote w:id="21">
    <w:p w14:paraId="4A529154" w14:textId="3B26127D"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15 [49].</w:t>
      </w:r>
    </w:p>
  </w:footnote>
  <w:footnote w:id="22">
    <w:p w14:paraId="2E966532" w14:textId="2A8C8C55" w:rsidR="00461BFD" w:rsidRPr="00461BFD" w:rsidRDefault="00461BFD" w:rsidP="00461BFD">
      <w:pPr>
        <w:pStyle w:val="FootnoteText"/>
        <w:ind w:left="720"/>
        <w:rPr>
          <w:rFonts w:ascii="Times New Roman" w:hAnsi="Times New Roman"/>
          <w:sz w:val="22"/>
          <w:szCs w:val="22"/>
        </w:rPr>
      </w:pPr>
      <w:r w:rsidRPr="00461BFD">
        <w:rPr>
          <w:rStyle w:val="FootnoteReference"/>
          <w:rFonts w:ascii="Times New Roman" w:hAnsi="Times New Roman"/>
          <w:sz w:val="22"/>
          <w:szCs w:val="22"/>
        </w:rPr>
        <w:footnoteRef/>
      </w:r>
      <w:r w:rsidRPr="00461BFD">
        <w:rPr>
          <w:rFonts w:ascii="Times New Roman" w:hAnsi="Times New Roman"/>
          <w:sz w:val="22"/>
          <w:szCs w:val="22"/>
        </w:rPr>
        <w:t xml:space="preserve"> </w:t>
      </w:r>
      <w:r>
        <w:rPr>
          <w:rFonts w:ascii="Times New Roman" w:hAnsi="Times New Roman"/>
          <w:sz w:val="22"/>
          <w:szCs w:val="22"/>
        </w:rPr>
        <w:tab/>
        <w:t>Ibid 16 [60].</w:t>
      </w:r>
    </w:p>
  </w:footnote>
  <w:footnote w:id="23">
    <w:p w14:paraId="2CA3F6FB" w14:textId="5EF93A02" w:rsidR="00461BFD" w:rsidRPr="00461BFD" w:rsidRDefault="00461BFD" w:rsidP="00461BFD">
      <w:pPr>
        <w:pStyle w:val="FootnoteText"/>
        <w:ind w:left="0" w:firstLine="0"/>
        <w:rPr>
          <w:rFonts w:ascii="Times New Roman" w:hAnsi="Times New Roman"/>
          <w:sz w:val="22"/>
          <w:szCs w:val="22"/>
        </w:rPr>
      </w:pPr>
      <w:r w:rsidRPr="00461BFD">
        <w:rPr>
          <w:rStyle w:val="FootnoteReference"/>
          <w:rFonts w:ascii="Times New Roman" w:hAnsi="Times New Roman"/>
          <w:sz w:val="22"/>
          <w:szCs w:val="22"/>
        </w:rPr>
        <w:footnoteRef/>
      </w:r>
      <w:r>
        <w:tab/>
      </w:r>
      <w:r w:rsidRPr="00461BFD">
        <w:rPr>
          <w:rFonts w:ascii="Times New Roman" w:hAnsi="Times New Roman"/>
          <w:sz w:val="22"/>
          <w:szCs w:val="22"/>
        </w:rPr>
        <w:t xml:space="preserve">Ibid </w:t>
      </w:r>
      <w:r>
        <w:rPr>
          <w:rFonts w:ascii="Times New Roman" w:hAnsi="Times New Roman"/>
          <w:sz w:val="22"/>
          <w:szCs w:val="22"/>
        </w:rPr>
        <w:t>18 [59].</w:t>
      </w:r>
    </w:p>
  </w:footnote>
  <w:footnote w:id="24">
    <w:p w14:paraId="5C9E2944" w14:textId="507BC048"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6–7 [9], 21 [75]</w:t>
      </w:r>
      <w:r w:rsidR="00461BFD">
        <w:rPr>
          <w:rFonts w:ascii="Times New Roman" w:hAnsi="Times New Roman"/>
          <w:sz w:val="22"/>
          <w:szCs w:val="22"/>
        </w:rPr>
        <w:t>–[76],</w:t>
      </w:r>
      <w:r w:rsidRPr="00612963">
        <w:rPr>
          <w:rFonts w:ascii="Times New Roman" w:hAnsi="Times New Roman"/>
          <w:sz w:val="22"/>
          <w:szCs w:val="22"/>
        </w:rPr>
        <w:t xml:space="preserve"> 22 [79].</w:t>
      </w:r>
    </w:p>
  </w:footnote>
  <w:footnote w:id="25">
    <w:p w14:paraId="3AA2092B" w14:textId="171581C7"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30 [115]–[116].</w:t>
      </w:r>
    </w:p>
  </w:footnote>
  <w:footnote w:id="26">
    <w:p w14:paraId="75468CF0" w14:textId="030F67BB"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31 [118].</w:t>
      </w:r>
    </w:p>
  </w:footnote>
  <w:footnote w:id="27">
    <w:p w14:paraId="2E99B69E" w14:textId="579625F5"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25 [92] (emphasis added).</w:t>
      </w:r>
    </w:p>
  </w:footnote>
  <w:footnote w:id="28">
    <w:p w14:paraId="59FFA6BC" w14:textId="1DE3C3C9"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25 [93] (emphasis added).</w:t>
      </w:r>
    </w:p>
  </w:footnote>
  <w:footnote w:id="29">
    <w:p w14:paraId="3FAC643F" w14:textId="654A115B"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39 [153].</w:t>
      </w:r>
    </w:p>
  </w:footnote>
  <w:footnote w:id="30">
    <w:p w14:paraId="4A42D472" w14:textId="104753B7" w:rsidR="00461BFD" w:rsidRPr="00612963" w:rsidRDefault="00461BFD" w:rsidP="00461BFD">
      <w:pPr>
        <w:pStyle w:val="FootnoteText"/>
        <w:ind w:left="720"/>
        <w:rPr>
          <w:rFonts w:ascii="Times New Roman" w:hAnsi="Times New Roman"/>
          <w:sz w:val="22"/>
        </w:rPr>
      </w:pPr>
      <w:r w:rsidRPr="00612963">
        <w:rPr>
          <w:rStyle w:val="FootnoteReference"/>
          <w:rFonts w:ascii="Times New Roman" w:hAnsi="Times New Roman"/>
          <w:sz w:val="22"/>
        </w:rPr>
        <w:footnoteRef/>
      </w:r>
      <w:r w:rsidR="0027307C">
        <w:rPr>
          <w:rFonts w:ascii="Times New Roman" w:hAnsi="Times New Roman"/>
          <w:sz w:val="22"/>
        </w:rPr>
        <w:t xml:space="preserve"> </w:t>
      </w:r>
      <w:r w:rsidR="0027307C">
        <w:rPr>
          <w:rFonts w:ascii="Times New Roman" w:hAnsi="Times New Roman"/>
          <w:sz w:val="22"/>
        </w:rPr>
        <w:tab/>
        <w:t>See, eg,</w:t>
      </w:r>
      <w:r w:rsidRPr="00612963">
        <w:rPr>
          <w:rFonts w:ascii="Times New Roman" w:hAnsi="Times New Roman"/>
          <w:sz w:val="22"/>
        </w:rPr>
        <w:t xml:space="preserve"> </w:t>
      </w:r>
      <w:r w:rsidRPr="00612963">
        <w:rPr>
          <w:rFonts w:ascii="Times New Roman" w:hAnsi="Times New Roman"/>
          <w:i/>
          <w:sz w:val="22"/>
        </w:rPr>
        <w:t>Shirt v Wyong Shire Council</w:t>
      </w:r>
      <w:r w:rsidRPr="00612963">
        <w:rPr>
          <w:rFonts w:ascii="Times New Roman" w:hAnsi="Times New Roman"/>
          <w:sz w:val="22"/>
        </w:rPr>
        <w:t xml:space="preserve"> (1980) 146 CLR 40, 47–8;  </w:t>
      </w:r>
      <w:r w:rsidRPr="00612963">
        <w:rPr>
          <w:rFonts w:ascii="Times New Roman" w:hAnsi="Times New Roman"/>
          <w:i/>
          <w:sz w:val="22"/>
        </w:rPr>
        <w:t xml:space="preserve">Tame v New South Wales </w:t>
      </w:r>
      <w:r w:rsidRPr="00612963">
        <w:rPr>
          <w:rFonts w:ascii="Times New Roman" w:hAnsi="Times New Roman"/>
          <w:sz w:val="22"/>
        </w:rPr>
        <w:t>(2002) 211 CLR 317, 379 [185].</w:t>
      </w:r>
    </w:p>
  </w:footnote>
  <w:footnote w:id="31">
    <w:p w14:paraId="558FE59F" w14:textId="30E81828" w:rsidR="0027307C" w:rsidRPr="0027307C" w:rsidRDefault="0027307C" w:rsidP="0027307C">
      <w:pPr>
        <w:pStyle w:val="FootnoteText"/>
        <w:ind w:left="720"/>
        <w:rPr>
          <w:rStyle w:val="FootnoteReference"/>
          <w:rFonts w:ascii="Times New Roman" w:hAnsi="Times New Roman"/>
          <w:sz w:val="22"/>
        </w:rPr>
      </w:pPr>
      <w:r w:rsidRPr="0027307C">
        <w:rPr>
          <w:rStyle w:val="FootnoteReference"/>
          <w:rFonts w:ascii="Times New Roman" w:hAnsi="Times New Roman"/>
          <w:sz w:val="22"/>
        </w:rPr>
        <w:footnoteRef/>
      </w:r>
      <w:r w:rsidRPr="0027307C">
        <w:rPr>
          <w:rStyle w:val="FootnoteReference"/>
          <w:rFonts w:ascii="Times New Roman" w:hAnsi="Times New Roman"/>
          <w:sz w:val="22"/>
        </w:rPr>
        <w:t xml:space="preserve"> </w:t>
      </w:r>
      <w:r>
        <w:rPr>
          <w:rFonts w:ascii="Times New Roman" w:hAnsi="Times New Roman"/>
          <w:sz w:val="22"/>
        </w:rPr>
        <w:tab/>
        <w:t>See</w:t>
      </w:r>
      <w:r w:rsidRPr="0027307C">
        <w:rPr>
          <w:rFonts w:ascii="Times New Roman" w:hAnsi="Times New Roman"/>
          <w:sz w:val="22"/>
        </w:rPr>
        <w:t xml:space="preserve"> </w:t>
      </w:r>
      <w:r w:rsidRPr="00612963">
        <w:rPr>
          <w:rFonts w:ascii="Times New Roman" w:hAnsi="Times New Roman"/>
          <w:sz w:val="22"/>
        </w:rPr>
        <w:t xml:space="preserve">John Gardner, </w:t>
      </w:r>
      <w:r w:rsidR="009B5867">
        <w:rPr>
          <w:rFonts w:ascii="Times New Roman" w:hAnsi="Times New Roman"/>
          <w:sz w:val="22"/>
        </w:rPr>
        <w:t>“</w:t>
      </w:r>
      <w:r w:rsidRPr="00612963">
        <w:rPr>
          <w:rFonts w:ascii="Times New Roman" w:hAnsi="Times New Roman"/>
          <w:sz w:val="22"/>
        </w:rPr>
        <w:t>The Many Faces of the Reasonable Person</w:t>
      </w:r>
      <w:r w:rsidR="009B5867">
        <w:rPr>
          <w:rFonts w:ascii="Times New Roman" w:hAnsi="Times New Roman"/>
          <w:sz w:val="22"/>
        </w:rPr>
        <w:t>”</w:t>
      </w:r>
      <w:r w:rsidRPr="00612963">
        <w:rPr>
          <w:rFonts w:ascii="Times New Roman" w:hAnsi="Times New Roman"/>
          <w:sz w:val="22"/>
        </w:rPr>
        <w:t xml:space="preserve"> &lt;</w:t>
      </w:r>
      <w:r w:rsidRPr="00612963">
        <w:rPr>
          <w:rFonts w:ascii="Times New Roman" w:hAnsi="Times New Roman"/>
        </w:rPr>
        <w:t xml:space="preserve"> </w:t>
      </w:r>
      <w:hyperlink r:id="rId1" w:history="1">
        <w:r w:rsidRPr="002E455D">
          <w:rPr>
            <w:rStyle w:val="Hyperlink"/>
            <w:rFonts w:ascii="Times New Roman" w:hAnsi="Times New Roman"/>
            <w:sz w:val="22"/>
          </w:rPr>
          <w:t>https://www.law.nyu.edu/sites/default/files/upload_documents/The%20Many%20Faces%20of%20the%20Reasonable%20Person.pdf</w:t>
        </w:r>
      </w:hyperlink>
      <w:r w:rsidRPr="00612963">
        <w:rPr>
          <w:rFonts w:ascii="Times New Roman" w:hAnsi="Times New Roman"/>
          <w:sz w:val="22"/>
        </w:rPr>
        <w:t>&gt;</w:t>
      </w:r>
      <w:r>
        <w:rPr>
          <w:rFonts w:ascii="Times New Roman" w:hAnsi="Times New Roman"/>
          <w:sz w:val="22"/>
        </w:rPr>
        <w:t xml:space="preserve"> 34.</w:t>
      </w:r>
      <w:r w:rsidRPr="00612963">
        <w:rPr>
          <w:rFonts w:ascii="Times New Roman" w:hAnsi="Times New Roman"/>
          <w:sz w:val="22"/>
        </w:rPr>
        <w:t xml:space="preserve">  </w:t>
      </w:r>
    </w:p>
  </w:footnote>
  <w:footnote w:id="32">
    <w:p w14:paraId="208061D9" w14:textId="2A3DA658"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 xml:space="preserve">Lord Goff, </w:t>
      </w:r>
      <w:r w:rsidR="009B5867">
        <w:rPr>
          <w:rFonts w:ascii="Times New Roman" w:hAnsi="Times New Roman"/>
          <w:sz w:val="22"/>
          <w:szCs w:val="22"/>
        </w:rPr>
        <w:t>“</w:t>
      </w:r>
      <w:r w:rsidRPr="00612963">
        <w:rPr>
          <w:rFonts w:ascii="Times New Roman" w:hAnsi="Times New Roman"/>
          <w:sz w:val="22"/>
          <w:szCs w:val="22"/>
        </w:rPr>
        <w:t>The Future of the Law of Restitution</w:t>
      </w:r>
      <w:r w:rsidR="009B5867">
        <w:rPr>
          <w:rFonts w:ascii="Times New Roman" w:hAnsi="Times New Roman"/>
          <w:sz w:val="22"/>
          <w:szCs w:val="22"/>
        </w:rPr>
        <w:t>”</w:t>
      </w:r>
      <w:r w:rsidRPr="00612963">
        <w:rPr>
          <w:rFonts w:ascii="Times New Roman" w:hAnsi="Times New Roman"/>
          <w:sz w:val="22"/>
          <w:szCs w:val="22"/>
        </w:rPr>
        <w:t xml:space="preserve"> (1989) 12 </w:t>
      </w:r>
      <w:r w:rsidRPr="00612963">
        <w:rPr>
          <w:rFonts w:ascii="Times New Roman" w:hAnsi="Times New Roman"/>
          <w:i/>
          <w:sz w:val="22"/>
          <w:szCs w:val="22"/>
        </w:rPr>
        <w:t xml:space="preserve">Sydney Law Review </w:t>
      </w:r>
      <w:r w:rsidRPr="00612963">
        <w:rPr>
          <w:rFonts w:ascii="Times New Roman" w:hAnsi="Times New Roman"/>
          <w:sz w:val="22"/>
          <w:szCs w:val="22"/>
        </w:rPr>
        <w:t>1, 3.</w:t>
      </w:r>
    </w:p>
  </w:footnote>
  <w:footnote w:id="33">
    <w:p w14:paraId="783693E0" w14:textId="02709FA9"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 xml:space="preserve">John Tasioulas, </w:t>
      </w:r>
      <w:r w:rsidR="009B5867">
        <w:rPr>
          <w:rFonts w:ascii="Times New Roman" w:hAnsi="Times New Roman"/>
          <w:i/>
          <w:sz w:val="22"/>
          <w:szCs w:val="22"/>
        </w:rPr>
        <w:t>“</w:t>
      </w:r>
      <w:r w:rsidRPr="00612963">
        <w:rPr>
          <w:rFonts w:ascii="Times New Roman" w:hAnsi="Times New Roman"/>
          <w:sz w:val="22"/>
          <w:szCs w:val="22"/>
        </w:rPr>
        <w:t>Legal Relevance of Ethical Objectivity</w:t>
      </w:r>
      <w:r w:rsidR="009B5867">
        <w:rPr>
          <w:rFonts w:ascii="Times New Roman" w:hAnsi="Times New Roman"/>
          <w:sz w:val="22"/>
          <w:szCs w:val="22"/>
        </w:rPr>
        <w:t>”</w:t>
      </w:r>
      <w:r w:rsidRPr="00612963">
        <w:rPr>
          <w:rFonts w:ascii="Times New Roman" w:hAnsi="Times New Roman"/>
          <w:sz w:val="22"/>
          <w:szCs w:val="22"/>
        </w:rPr>
        <w:t xml:space="preserve"> (2002) 47 </w:t>
      </w:r>
      <w:r w:rsidRPr="00612963">
        <w:rPr>
          <w:rFonts w:ascii="Times New Roman" w:hAnsi="Times New Roman"/>
          <w:i/>
          <w:sz w:val="22"/>
          <w:szCs w:val="22"/>
        </w:rPr>
        <w:t xml:space="preserve">American Journal of Jurisprudence </w:t>
      </w:r>
      <w:r w:rsidRPr="00612963">
        <w:rPr>
          <w:rFonts w:ascii="Times New Roman" w:hAnsi="Times New Roman"/>
          <w:sz w:val="22"/>
          <w:szCs w:val="22"/>
        </w:rPr>
        <w:t>211, 233.</w:t>
      </w:r>
    </w:p>
  </w:footnote>
  <w:footnote w:id="34">
    <w:p w14:paraId="60D3F49B" w14:textId="12169550"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Samet, above n 8, 206-7.</w:t>
      </w:r>
    </w:p>
  </w:footnote>
  <w:footnote w:id="35">
    <w:p w14:paraId="66556C4A" w14:textId="2893C918" w:rsidR="00935FBD" w:rsidRPr="00E96251" w:rsidRDefault="00935FBD" w:rsidP="00935FBD">
      <w:pPr>
        <w:pStyle w:val="FootnoteText"/>
        <w:ind w:left="0" w:firstLine="0"/>
        <w:rPr>
          <w:rFonts w:ascii="Times New Roman" w:hAnsi="Times New Roman"/>
          <w:sz w:val="22"/>
          <w:szCs w:val="22"/>
        </w:rPr>
      </w:pPr>
      <w:r w:rsidRPr="00935FBD">
        <w:rPr>
          <w:rStyle w:val="FootnoteReference"/>
          <w:rFonts w:ascii="Times New Roman" w:hAnsi="Times New Roman"/>
          <w:sz w:val="22"/>
          <w:szCs w:val="22"/>
        </w:rPr>
        <w:footnoteRef/>
      </w:r>
      <w:r w:rsidRPr="00935FBD">
        <w:rPr>
          <w:rStyle w:val="FootnoteReference"/>
          <w:rFonts w:ascii="Times New Roman" w:hAnsi="Times New Roman"/>
          <w:sz w:val="22"/>
          <w:szCs w:val="22"/>
        </w:rPr>
        <w:t xml:space="preserve"> </w:t>
      </w:r>
      <w:r>
        <w:tab/>
      </w:r>
      <w:r w:rsidRPr="00E96251">
        <w:rPr>
          <w:rFonts w:ascii="Times New Roman" w:hAnsi="Times New Roman"/>
          <w:i/>
          <w:sz w:val="22"/>
          <w:szCs w:val="22"/>
        </w:rPr>
        <w:t>Ian Street Developer v Arrow International</w:t>
      </w:r>
      <w:r w:rsidRPr="00E96251">
        <w:rPr>
          <w:rFonts w:ascii="Times New Roman" w:hAnsi="Times New Roman"/>
          <w:sz w:val="22"/>
          <w:szCs w:val="22"/>
        </w:rPr>
        <w:t xml:space="preserve"> [2018] VSCA 294;  </w:t>
      </w:r>
      <w:r w:rsidRPr="00E96251">
        <w:rPr>
          <w:rFonts w:ascii="Times New Roman" w:hAnsi="Times New Roman"/>
          <w:i/>
          <w:sz w:val="22"/>
          <w:szCs w:val="22"/>
        </w:rPr>
        <w:t xml:space="preserve">Waterfront Place Pty Ltd v </w:t>
      </w:r>
      <w:r w:rsidRPr="00E96251">
        <w:rPr>
          <w:rFonts w:ascii="Times New Roman" w:hAnsi="Times New Roman"/>
          <w:i/>
          <w:sz w:val="22"/>
          <w:szCs w:val="22"/>
        </w:rPr>
        <w:tab/>
        <w:t xml:space="preserve">Minister for Planning </w:t>
      </w:r>
      <w:r w:rsidR="0027307C" w:rsidRPr="00E96251">
        <w:rPr>
          <w:rFonts w:ascii="Times New Roman" w:hAnsi="Times New Roman"/>
          <w:sz w:val="22"/>
          <w:szCs w:val="22"/>
        </w:rPr>
        <w:t>[2019] VSCA 156.</w:t>
      </w:r>
    </w:p>
  </w:footnote>
  <w:footnote w:id="36">
    <w:p w14:paraId="12825979" w14:textId="0C6046DD" w:rsidR="00A32DBB" w:rsidRPr="00A32DBB" w:rsidRDefault="00A32DBB" w:rsidP="0031658B">
      <w:pPr>
        <w:pStyle w:val="FootnoteText"/>
        <w:ind w:left="0" w:firstLine="0"/>
        <w:rPr>
          <w:i/>
        </w:rPr>
      </w:pPr>
      <w:r w:rsidRPr="00E96251">
        <w:rPr>
          <w:rStyle w:val="FootnoteReference"/>
          <w:rFonts w:ascii="Times New Roman" w:hAnsi="Times New Roman"/>
          <w:sz w:val="22"/>
          <w:szCs w:val="22"/>
        </w:rPr>
        <w:footnoteRef/>
      </w:r>
      <w:r w:rsidRPr="00E96251">
        <w:rPr>
          <w:rStyle w:val="FootnoteReference"/>
          <w:rFonts w:ascii="Times New Roman" w:hAnsi="Times New Roman"/>
          <w:sz w:val="22"/>
          <w:szCs w:val="22"/>
        </w:rPr>
        <w:t xml:space="preserve"> </w:t>
      </w:r>
      <w:r w:rsidRPr="00E96251">
        <w:tab/>
      </w:r>
      <w:r w:rsidR="0031658B" w:rsidRPr="00E96251">
        <w:rPr>
          <w:rFonts w:ascii="Times New Roman" w:hAnsi="Times New Roman"/>
          <w:sz w:val="22"/>
          <w:szCs w:val="22"/>
        </w:rPr>
        <w:t xml:space="preserve">Chris Maxwell, </w:t>
      </w:r>
      <w:r w:rsidR="009B5867">
        <w:rPr>
          <w:rFonts w:ascii="Times New Roman" w:hAnsi="Times New Roman"/>
          <w:sz w:val="22"/>
          <w:szCs w:val="22"/>
        </w:rPr>
        <w:t>“</w:t>
      </w:r>
      <w:r w:rsidR="0031658B" w:rsidRPr="00E96251">
        <w:rPr>
          <w:rFonts w:ascii="Times New Roman" w:hAnsi="Times New Roman"/>
          <w:sz w:val="22"/>
          <w:szCs w:val="22"/>
        </w:rPr>
        <w:t>The Quest for Certainty and the Limits of the Judicial Role</w:t>
      </w:r>
      <w:r w:rsidR="009B5867">
        <w:rPr>
          <w:rFonts w:ascii="Times New Roman" w:hAnsi="Times New Roman"/>
          <w:sz w:val="22"/>
          <w:szCs w:val="22"/>
        </w:rPr>
        <w:t>”</w:t>
      </w:r>
      <w:r w:rsidR="0031658B" w:rsidRPr="00E96251">
        <w:rPr>
          <w:rFonts w:ascii="Times New Roman" w:hAnsi="Times New Roman"/>
          <w:sz w:val="22"/>
          <w:szCs w:val="22"/>
        </w:rPr>
        <w:t xml:space="preserve"> in Jeffrey Barnes </w:t>
      </w:r>
      <w:r w:rsidR="000759A8" w:rsidRPr="00E96251">
        <w:rPr>
          <w:rFonts w:ascii="Times New Roman" w:hAnsi="Times New Roman"/>
          <w:sz w:val="22"/>
          <w:szCs w:val="22"/>
        </w:rPr>
        <w:tab/>
      </w:r>
      <w:r w:rsidR="0031658B" w:rsidRPr="00E96251">
        <w:rPr>
          <w:rFonts w:ascii="Times New Roman" w:hAnsi="Times New Roman"/>
          <w:sz w:val="22"/>
          <w:szCs w:val="22"/>
        </w:rPr>
        <w:t xml:space="preserve">(ed), </w:t>
      </w:r>
      <w:r w:rsidR="0031658B" w:rsidRPr="00E96251">
        <w:rPr>
          <w:rFonts w:ascii="Times New Roman" w:hAnsi="Times New Roman"/>
          <w:i/>
          <w:sz w:val="22"/>
          <w:szCs w:val="22"/>
        </w:rPr>
        <w:t xml:space="preserve">The Coherence of </w:t>
      </w:r>
      <w:r w:rsidR="0031658B" w:rsidRPr="00E96251">
        <w:rPr>
          <w:rFonts w:ascii="Times New Roman" w:hAnsi="Times New Roman"/>
          <w:i/>
          <w:sz w:val="22"/>
          <w:szCs w:val="22"/>
        </w:rPr>
        <w:tab/>
        <w:t>Statutory Interpretation</w:t>
      </w:r>
      <w:r w:rsidR="0031658B" w:rsidRPr="00E96251">
        <w:rPr>
          <w:rFonts w:ascii="Times New Roman" w:hAnsi="Times New Roman"/>
          <w:sz w:val="22"/>
          <w:szCs w:val="22"/>
        </w:rPr>
        <w:t xml:space="preserve"> (Federation Press, 2019)</w:t>
      </w:r>
      <w:r w:rsidR="000759A8" w:rsidRPr="00E96251">
        <w:rPr>
          <w:rFonts w:ascii="Times New Roman" w:hAnsi="Times New Roman"/>
          <w:sz w:val="22"/>
          <w:szCs w:val="22"/>
        </w:rPr>
        <w:t>.</w:t>
      </w:r>
    </w:p>
  </w:footnote>
  <w:footnote w:id="37">
    <w:p w14:paraId="19E54806" w14:textId="6A092639" w:rsidR="00E47B28" w:rsidRPr="00612963" w:rsidRDefault="00E47B28" w:rsidP="003C745F">
      <w:pPr>
        <w:pStyle w:val="FootnoteText"/>
        <w:ind w:left="720"/>
        <w:rPr>
          <w:rFonts w:ascii="Times New Roman" w:hAnsi="Times New Roman"/>
          <w:sz w:val="22"/>
          <w:szCs w:val="22"/>
        </w:rPr>
      </w:pPr>
      <w:r w:rsidRPr="00612963">
        <w:rPr>
          <w:rStyle w:val="FootnoteReference"/>
          <w:rFonts w:ascii="Times New Roman" w:hAnsi="Times New Roman"/>
        </w:rPr>
        <w:footnoteRef/>
      </w:r>
      <w:r w:rsidRPr="00612963">
        <w:rPr>
          <w:rStyle w:val="FootnoteReference"/>
          <w:rFonts w:ascii="Times New Roman" w:hAnsi="Times New Roman"/>
        </w:rPr>
        <w:t xml:space="preserve"> </w:t>
      </w:r>
      <w:r w:rsidRPr="00612963">
        <w:rPr>
          <w:rFonts w:ascii="Times New Roman" w:hAnsi="Times New Roman"/>
          <w:sz w:val="22"/>
          <w:szCs w:val="22"/>
        </w:rPr>
        <w:t xml:space="preserve">  </w:t>
      </w:r>
      <w:r w:rsidRPr="00612963">
        <w:rPr>
          <w:rFonts w:ascii="Times New Roman" w:hAnsi="Times New Roman"/>
          <w:sz w:val="22"/>
          <w:szCs w:val="22"/>
        </w:rPr>
        <w:tab/>
        <w:t xml:space="preserve">See M Harding, </w:t>
      </w:r>
      <w:r w:rsidR="009B5867">
        <w:rPr>
          <w:rFonts w:ascii="Times New Roman" w:hAnsi="Times New Roman"/>
          <w:sz w:val="22"/>
          <w:szCs w:val="22"/>
        </w:rPr>
        <w:t>“</w:t>
      </w:r>
      <w:r w:rsidRPr="00612963">
        <w:rPr>
          <w:rFonts w:ascii="Times New Roman" w:hAnsi="Times New Roman"/>
          <w:sz w:val="22"/>
          <w:szCs w:val="22"/>
        </w:rPr>
        <w:t>Equity and the Value of Certainty in Commercial Life</w:t>
      </w:r>
      <w:r w:rsidR="009B5867">
        <w:rPr>
          <w:rFonts w:ascii="Times New Roman" w:hAnsi="Times New Roman"/>
          <w:sz w:val="22"/>
          <w:szCs w:val="22"/>
        </w:rPr>
        <w:t>”</w:t>
      </w:r>
      <w:r w:rsidRPr="00612963">
        <w:rPr>
          <w:rFonts w:ascii="Times New Roman" w:hAnsi="Times New Roman"/>
          <w:sz w:val="22"/>
          <w:szCs w:val="22"/>
        </w:rPr>
        <w:t xml:space="preserve"> in P Devonshire and R Havelock (eds) </w:t>
      </w:r>
      <w:r w:rsidRPr="00612963">
        <w:rPr>
          <w:rFonts w:ascii="Times New Roman" w:hAnsi="Times New Roman"/>
          <w:i/>
          <w:sz w:val="22"/>
          <w:szCs w:val="22"/>
        </w:rPr>
        <w:t>The Impact of Equity and Restitution in Commerce</w:t>
      </w:r>
      <w:r w:rsidRPr="00612963">
        <w:rPr>
          <w:rFonts w:ascii="Times New Roman" w:hAnsi="Times New Roman"/>
          <w:sz w:val="22"/>
          <w:szCs w:val="22"/>
        </w:rPr>
        <w:t xml:space="preserve"> (Hart 2019) ch 7.</w:t>
      </w:r>
    </w:p>
  </w:footnote>
  <w:footnote w:id="38">
    <w:p w14:paraId="7969F17C" w14:textId="3D1A9E1F" w:rsidR="00E47B28" w:rsidRPr="00612963" w:rsidRDefault="00E47B28" w:rsidP="00CC5799">
      <w:pPr>
        <w:pStyle w:val="FootnoteText"/>
        <w:ind w:left="720"/>
        <w:rPr>
          <w:rFonts w:ascii="Times New Roman" w:hAnsi="Times New Roman"/>
          <w:sz w:val="22"/>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t xml:space="preserve">Peter Birks, </w:t>
      </w:r>
      <w:r w:rsidR="009B5867">
        <w:rPr>
          <w:rFonts w:ascii="Times New Roman" w:hAnsi="Times New Roman"/>
          <w:sz w:val="22"/>
        </w:rPr>
        <w:t>“</w:t>
      </w:r>
      <w:r w:rsidRPr="00612963">
        <w:rPr>
          <w:rFonts w:ascii="Times New Roman" w:hAnsi="Times New Roman"/>
          <w:sz w:val="22"/>
        </w:rPr>
        <w:t>Equity in the Modern Law: An Exercise in Taxonomy</w:t>
      </w:r>
      <w:r w:rsidR="009B5867">
        <w:rPr>
          <w:rFonts w:ascii="Times New Roman" w:hAnsi="Times New Roman"/>
          <w:sz w:val="22"/>
        </w:rPr>
        <w:t>”</w:t>
      </w:r>
      <w:r w:rsidRPr="00612963">
        <w:rPr>
          <w:rFonts w:ascii="Times New Roman" w:hAnsi="Times New Roman"/>
          <w:sz w:val="22"/>
        </w:rPr>
        <w:t xml:space="preserve"> (1996) </w:t>
      </w:r>
      <w:r w:rsidRPr="00612963">
        <w:rPr>
          <w:rFonts w:ascii="Times New Roman" w:hAnsi="Times New Roman"/>
          <w:i/>
          <w:sz w:val="22"/>
        </w:rPr>
        <w:t xml:space="preserve">Western Australian Law Review </w:t>
      </w:r>
      <w:r w:rsidRPr="00612963">
        <w:rPr>
          <w:rFonts w:ascii="Times New Roman" w:hAnsi="Times New Roman"/>
          <w:sz w:val="22"/>
        </w:rPr>
        <w:t>1, 17, 97.</w:t>
      </w:r>
    </w:p>
  </w:footnote>
  <w:footnote w:id="39">
    <w:p w14:paraId="3E5BBE71" w14:textId="03698953"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Samet, above n 8, 36, 42, Agnew, above n 9, 26.</w:t>
      </w:r>
    </w:p>
  </w:footnote>
  <w:footnote w:id="40">
    <w:p w14:paraId="60A5D09D" w14:textId="461C496B"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Harding, above n 16, 295.</w:t>
      </w:r>
    </w:p>
  </w:footnote>
  <w:footnote w:id="41">
    <w:p w14:paraId="05337A85" w14:textId="2643E92A" w:rsidR="00E47B28" w:rsidRPr="00612963" w:rsidRDefault="00E47B28" w:rsidP="00CC5799">
      <w:pPr>
        <w:pStyle w:val="FootnoteText"/>
        <w:ind w:left="720"/>
        <w:rPr>
          <w:rFonts w:ascii="Times New Roman" w:hAnsi="Times New Roman"/>
        </w:rPr>
      </w:pPr>
      <w:r w:rsidRPr="00612963">
        <w:rPr>
          <w:rStyle w:val="FootnoteReference"/>
          <w:rFonts w:ascii="Times New Roman" w:hAnsi="Times New Roman"/>
          <w:sz w:val="22"/>
        </w:rPr>
        <w:footnoteRef/>
      </w:r>
      <w:r w:rsidRPr="00612963">
        <w:rPr>
          <w:rFonts w:ascii="Times New Roman" w:hAnsi="Times New Roman"/>
          <w:sz w:val="22"/>
        </w:rPr>
        <w:t xml:space="preserve"> </w:t>
      </w:r>
      <w:r w:rsidRPr="00612963">
        <w:rPr>
          <w:rFonts w:ascii="Times New Roman" w:hAnsi="Times New Roman"/>
          <w:sz w:val="22"/>
        </w:rPr>
        <w:tab/>
      </w:r>
      <w:r w:rsidRPr="00612963">
        <w:rPr>
          <w:rFonts w:ascii="Times New Roman" w:hAnsi="Times New Roman"/>
          <w:sz w:val="22"/>
          <w:szCs w:val="22"/>
        </w:rPr>
        <w:t>(2019) 368 ALR 1</w:t>
      </w:r>
      <w:r w:rsidRPr="00612963">
        <w:rPr>
          <w:rFonts w:ascii="Times New Roman" w:hAnsi="Times New Roman"/>
          <w:sz w:val="22"/>
        </w:rPr>
        <w:t>, 32 [122].</w:t>
      </w:r>
    </w:p>
  </w:footnote>
  <w:footnote w:id="42">
    <w:p w14:paraId="26F10E99" w14:textId="53E6AD2D" w:rsidR="00A32DBB" w:rsidRPr="00935FBD" w:rsidRDefault="00A32DBB" w:rsidP="00935FBD">
      <w:pPr>
        <w:pStyle w:val="FootnoteText"/>
        <w:ind w:left="720"/>
        <w:jc w:val="left"/>
        <w:rPr>
          <w:rStyle w:val="FootnoteReference"/>
          <w:rFonts w:ascii="Times New Roman" w:hAnsi="Times New Roman"/>
          <w:sz w:val="22"/>
        </w:rPr>
      </w:pPr>
      <w:r w:rsidRPr="00935FBD">
        <w:rPr>
          <w:rStyle w:val="FootnoteReference"/>
          <w:rFonts w:ascii="Times New Roman" w:hAnsi="Times New Roman"/>
          <w:sz w:val="22"/>
        </w:rPr>
        <w:footnoteRef/>
      </w:r>
      <w:r w:rsidRPr="00935FBD">
        <w:rPr>
          <w:rStyle w:val="FootnoteReference"/>
          <w:rFonts w:ascii="Times New Roman" w:hAnsi="Times New Roman"/>
          <w:sz w:val="22"/>
        </w:rPr>
        <w:t xml:space="preserve"> </w:t>
      </w:r>
      <w:r w:rsidRPr="00935FBD">
        <w:rPr>
          <w:rStyle w:val="FootnoteReference"/>
          <w:rFonts w:ascii="Times New Roman" w:hAnsi="Times New Roman"/>
          <w:sz w:val="22"/>
        </w:rPr>
        <w:tab/>
      </w:r>
      <w:r w:rsidR="00935FBD" w:rsidRPr="00E96251">
        <w:rPr>
          <w:rFonts w:ascii="Times New Roman" w:hAnsi="Times New Roman"/>
          <w:sz w:val="22"/>
          <w:szCs w:val="22"/>
        </w:rPr>
        <w:t xml:space="preserve">Bryan Horrigan, </w:t>
      </w:r>
      <w:r w:rsidR="009B5867">
        <w:rPr>
          <w:rFonts w:ascii="Times New Roman" w:hAnsi="Times New Roman"/>
          <w:sz w:val="22"/>
          <w:szCs w:val="22"/>
        </w:rPr>
        <w:t>“</w:t>
      </w:r>
      <w:r w:rsidR="00935FBD" w:rsidRPr="00E96251">
        <w:rPr>
          <w:rFonts w:ascii="Times New Roman" w:hAnsi="Times New Roman"/>
          <w:sz w:val="22"/>
          <w:szCs w:val="22"/>
        </w:rPr>
        <w:t>Unconscionability Breaks New Ground -- Avoiding and Litigating Unfair Client Conduct After the ACCC Test Cases and Financial Services Reforms</w:t>
      </w:r>
      <w:r w:rsidR="009B5867">
        <w:rPr>
          <w:rFonts w:ascii="Times New Roman" w:hAnsi="Times New Roman"/>
          <w:sz w:val="22"/>
          <w:szCs w:val="22"/>
        </w:rPr>
        <w:t>”</w:t>
      </w:r>
      <w:r w:rsidR="00935FBD" w:rsidRPr="00E96251">
        <w:rPr>
          <w:rFonts w:ascii="Times New Roman" w:hAnsi="Times New Roman"/>
          <w:sz w:val="22"/>
          <w:szCs w:val="22"/>
        </w:rPr>
        <w:t xml:space="preserve"> (2002) 7 </w:t>
      </w:r>
      <w:r w:rsidR="00935FBD" w:rsidRPr="00E96251">
        <w:rPr>
          <w:rFonts w:ascii="Times New Roman" w:hAnsi="Times New Roman"/>
          <w:i/>
          <w:sz w:val="22"/>
          <w:szCs w:val="22"/>
        </w:rPr>
        <w:t>Deakin Law Review</w:t>
      </w:r>
      <w:r w:rsidR="00935FBD" w:rsidRPr="00E96251">
        <w:rPr>
          <w:rFonts w:ascii="Times New Roman" w:hAnsi="Times New Roman"/>
          <w:sz w:val="22"/>
          <w:szCs w:val="22"/>
        </w:rPr>
        <w:t xml:space="preserve"> 73, 85.</w:t>
      </w:r>
    </w:p>
  </w:footnote>
  <w:footnote w:id="43">
    <w:p w14:paraId="1F336EF5" w14:textId="02D4108A" w:rsidR="00E47B28" w:rsidRPr="00612963" w:rsidRDefault="00E47B28" w:rsidP="00EC0EF6">
      <w:pPr>
        <w:pStyle w:val="FootnoteText"/>
        <w:ind w:left="720"/>
        <w:jc w:val="left"/>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Australian Bankers’ Association Inc</w:t>
      </w:r>
      <w:r w:rsidRPr="00612963">
        <w:rPr>
          <w:rFonts w:ascii="Times New Roman" w:hAnsi="Times New Roman"/>
          <w:i/>
          <w:sz w:val="22"/>
          <w:szCs w:val="22"/>
        </w:rPr>
        <w:t xml:space="preserve">, Code of Banking Practice and Code Compliance Monitoring Committee Mandate </w:t>
      </w:r>
      <w:r w:rsidRPr="00612963">
        <w:rPr>
          <w:rFonts w:ascii="Times New Roman" w:hAnsi="Times New Roman"/>
          <w:sz w:val="22"/>
          <w:szCs w:val="22"/>
        </w:rPr>
        <w:t>(2003) 10 &lt;https://www.ausbanking.org.au/wp-content/uploads/2019/04/2013_ABA_CODE.pdf&gt;.</w:t>
      </w:r>
    </w:p>
  </w:footnote>
  <w:footnote w:id="44">
    <w:p w14:paraId="6FAB6314" w14:textId="77777777" w:rsidR="0027307C" w:rsidRPr="00612963" w:rsidRDefault="0027307C" w:rsidP="0027307C">
      <w:pPr>
        <w:pStyle w:val="FootnoteText"/>
        <w:ind w:left="720"/>
        <w:rPr>
          <w:rFonts w:ascii="Times New Roman" w:hAnsi="Times New Roman"/>
        </w:rPr>
      </w:pPr>
      <w:r w:rsidRPr="00612963">
        <w:rPr>
          <w:rStyle w:val="FootnoteReference"/>
          <w:rFonts w:ascii="Times New Roman" w:hAnsi="Times New Roman"/>
          <w:sz w:val="22"/>
          <w:szCs w:val="22"/>
        </w:rPr>
        <w:footnoteRef/>
      </w:r>
      <w:r w:rsidRPr="00612963">
        <w:rPr>
          <w:rStyle w:val="FootnoteReference"/>
          <w:rFonts w:ascii="Times New Roman" w:hAnsi="Times New Roman"/>
          <w:sz w:val="22"/>
          <w:szCs w:val="22"/>
        </w:rPr>
        <w:t xml:space="preserve"> </w:t>
      </w:r>
      <w:r w:rsidRPr="00612963">
        <w:rPr>
          <w:rFonts w:ascii="Times New Roman" w:hAnsi="Times New Roman"/>
          <w:sz w:val="22"/>
          <w:szCs w:val="22"/>
        </w:rPr>
        <w:tab/>
        <w:t xml:space="preserve">Law Reform Commission of Victoria, </w:t>
      </w:r>
      <w:r w:rsidRPr="00612963">
        <w:rPr>
          <w:rFonts w:ascii="Times New Roman" w:hAnsi="Times New Roman"/>
          <w:i/>
          <w:sz w:val="22"/>
          <w:szCs w:val="22"/>
        </w:rPr>
        <w:t>An Australian Contract Code</w:t>
      </w:r>
      <w:r w:rsidRPr="00612963">
        <w:rPr>
          <w:rFonts w:ascii="Times New Roman" w:hAnsi="Times New Roman"/>
          <w:sz w:val="22"/>
          <w:szCs w:val="22"/>
        </w:rPr>
        <w:t xml:space="preserve"> (Discussion Paper No 27, September 1992) 15–17.</w:t>
      </w:r>
    </w:p>
  </w:footnote>
  <w:footnote w:id="45">
    <w:p w14:paraId="44D39AB8" w14:textId="77777777"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Emphasis in original.</w:t>
      </w:r>
    </w:p>
  </w:footnote>
  <w:footnote w:id="46">
    <w:p w14:paraId="04E34C54" w14:textId="6E1C2D5D" w:rsidR="00E47B28" w:rsidRPr="00612963" w:rsidRDefault="00E47B28" w:rsidP="00C17FFA">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 xml:space="preserve">Adele Ferguson, </w:t>
      </w:r>
      <w:r w:rsidRPr="00612963">
        <w:rPr>
          <w:rFonts w:ascii="Times New Roman" w:hAnsi="Times New Roman"/>
          <w:i/>
          <w:sz w:val="22"/>
          <w:szCs w:val="22"/>
        </w:rPr>
        <w:t xml:space="preserve">Banking Bad </w:t>
      </w:r>
      <w:r w:rsidRPr="00612963">
        <w:rPr>
          <w:rFonts w:ascii="Times New Roman" w:hAnsi="Times New Roman"/>
          <w:sz w:val="22"/>
          <w:szCs w:val="22"/>
        </w:rPr>
        <w:t>(ABC Books, 2019) 298–9.</w:t>
      </w:r>
    </w:p>
  </w:footnote>
  <w:footnote w:id="47">
    <w:p w14:paraId="5C6DD9CE" w14:textId="76E963EE" w:rsidR="00E47B28" w:rsidRPr="00612963" w:rsidRDefault="00E47B28" w:rsidP="007865FD">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Keane, above n 2, 92, 98.</w:t>
      </w:r>
    </w:p>
  </w:footnote>
  <w:footnote w:id="48">
    <w:p w14:paraId="7D49892D" w14:textId="69595123" w:rsidR="00E47B28" w:rsidRPr="00612963" w:rsidRDefault="00E47B28" w:rsidP="007865FD">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Ibid 111.</w:t>
      </w:r>
    </w:p>
  </w:footnote>
  <w:footnote w:id="49">
    <w:p w14:paraId="09207F48" w14:textId="34A978E8" w:rsidR="00E47B28" w:rsidRPr="00612963" w:rsidRDefault="00E47B28" w:rsidP="007865FD">
      <w:pPr>
        <w:pStyle w:val="FootnoteText"/>
        <w:ind w:left="720"/>
        <w:rPr>
          <w:rFonts w:ascii="Times New Roman" w:hAnsi="Times New Roman"/>
          <w:sz w:val="22"/>
          <w:szCs w:val="22"/>
        </w:rPr>
      </w:pPr>
      <w:r w:rsidRPr="00612963">
        <w:rPr>
          <w:rStyle w:val="FootnoteReference"/>
          <w:rFonts w:ascii="Times New Roman" w:hAnsi="Times New Roman"/>
          <w:sz w:val="22"/>
          <w:szCs w:val="22"/>
        </w:rPr>
        <w:footnoteRef/>
      </w:r>
      <w:r w:rsidRPr="00612963">
        <w:rPr>
          <w:rFonts w:ascii="Times New Roman" w:hAnsi="Times New Roman"/>
          <w:sz w:val="22"/>
          <w:szCs w:val="22"/>
        </w:rPr>
        <w:t xml:space="preserve"> </w:t>
      </w:r>
      <w:r w:rsidRPr="00612963">
        <w:rPr>
          <w:rFonts w:ascii="Times New Roman" w:hAnsi="Times New Roman"/>
          <w:sz w:val="22"/>
          <w:szCs w:val="22"/>
        </w:rPr>
        <w:tab/>
        <w:t>(2019) 368 ALR 1, 30–1 [117].</w:t>
      </w:r>
    </w:p>
  </w:footnote>
  <w:footnote w:id="50">
    <w:p w14:paraId="17A3863D" w14:textId="50E58EAD" w:rsidR="0027307C" w:rsidRPr="0027307C" w:rsidRDefault="0027307C" w:rsidP="0027307C">
      <w:pPr>
        <w:pStyle w:val="FootnoteText"/>
        <w:ind w:left="720"/>
        <w:rPr>
          <w:rFonts w:ascii="Times New Roman" w:hAnsi="Times New Roman"/>
        </w:rPr>
      </w:pPr>
      <w:r w:rsidRPr="0027307C">
        <w:rPr>
          <w:rStyle w:val="FootnoteReference"/>
          <w:rFonts w:ascii="Times New Roman" w:hAnsi="Times New Roman"/>
          <w:sz w:val="22"/>
        </w:rPr>
        <w:footnoteRef/>
      </w:r>
      <w:r w:rsidRPr="0027307C">
        <w:rPr>
          <w:rFonts w:ascii="Times New Roman" w:hAnsi="Times New Roman"/>
          <w:sz w:val="22"/>
        </w:rPr>
        <w:t xml:space="preserve"> </w:t>
      </w:r>
      <w:r>
        <w:rPr>
          <w:rFonts w:ascii="Times New Roman" w:hAnsi="Times New Roman"/>
          <w:sz w:val="22"/>
        </w:rPr>
        <w:tab/>
        <w:t>Emphasis added.</w:t>
      </w:r>
    </w:p>
  </w:footnote>
  <w:footnote w:id="51">
    <w:p w14:paraId="48174BF4" w14:textId="414A794A" w:rsidR="0027307C" w:rsidRPr="0027307C" w:rsidRDefault="0027307C" w:rsidP="0027307C">
      <w:pPr>
        <w:pStyle w:val="FootnoteText"/>
        <w:ind w:left="720"/>
        <w:rPr>
          <w:rFonts w:ascii="Times New Roman" w:hAnsi="Times New Roman"/>
        </w:rPr>
      </w:pPr>
      <w:r w:rsidRPr="0027307C">
        <w:rPr>
          <w:rStyle w:val="FootnoteReference"/>
          <w:rFonts w:ascii="Times New Roman" w:hAnsi="Times New Roman"/>
          <w:sz w:val="22"/>
        </w:rPr>
        <w:footnoteRef/>
      </w:r>
      <w:r w:rsidRPr="0027307C">
        <w:rPr>
          <w:rFonts w:ascii="Times New Roman" w:hAnsi="Times New Roman"/>
          <w:sz w:val="22"/>
        </w:rPr>
        <w:t xml:space="preserve"> </w:t>
      </w:r>
      <w:r>
        <w:rPr>
          <w:rFonts w:ascii="Times New Roman" w:hAnsi="Times New Roman"/>
          <w:sz w:val="22"/>
        </w:rPr>
        <w:tab/>
        <w:t>Emphasis added.</w:t>
      </w:r>
    </w:p>
  </w:footnote>
  <w:footnote w:id="52">
    <w:p w14:paraId="18264A61" w14:textId="22C6C9E4" w:rsidR="0027307C" w:rsidRDefault="0027307C" w:rsidP="0027307C">
      <w:pPr>
        <w:pStyle w:val="FootnoteText"/>
        <w:ind w:left="720"/>
      </w:pPr>
      <w:r w:rsidRPr="0027307C">
        <w:rPr>
          <w:rStyle w:val="FootnoteReference"/>
          <w:rFonts w:ascii="Times New Roman" w:hAnsi="Times New Roman"/>
          <w:sz w:val="22"/>
        </w:rPr>
        <w:footnoteRef/>
      </w:r>
      <w:r w:rsidRPr="0027307C">
        <w:rPr>
          <w:rStyle w:val="FootnoteReference"/>
          <w:rFonts w:ascii="Times New Roman" w:hAnsi="Times New Roman"/>
          <w:sz w:val="22"/>
        </w:rPr>
        <w:t xml:space="preserve"> </w:t>
      </w:r>
      <w:r>
        <w:rPr>
          <w:rFonts w:ascii="Times New Roman" w:hAnsi="Times New Roman"/>
          <w:sz w:val="22"/>
        </w:rPr>
        <w:tab/>
        <w:t>Emphasis added.</w:t>
      </w:r>
    </w:p>
  </w:footnote>
  <w:footnote w:id="53">
    <w:p w14:paraId="6CFE2A5A" w14:textId="2B6016E8" w:rsidR="00CE4F12" w:rsidRDefault="00CE4F12" w:rsidP="00CE4F12">
      <w:pPr>
        <w:pStyle w:val="FootnoteText"/>
        <w:ind w:left="0" w:firstLine="0"/>
      </w:pPr>
      <w:r>
        <w:rPr>
          <w:rStyle w:val="FootnoteReference"/>
        </w:rPr>
        <w:footnoteRef/>
      </w:r>
      <w:r>
        <w:t xml:space="preserve"> </w:t>
      </w:r>
      <w:r>
        <w:tab/>
      </w:r>
      <w:r w:rsidR="00F46336">
        <w:rPr>
          <w:rFonts w:ascii="Times New Roman" w:hAnsi="Times New Roman"/>
          <w:sz w:val="22"/>
          <w:szCs w:val="22"/>
        </w:rPr>
        <w:t xml:space="preserve">(2019) 368 ALR 1, 295 [72] </w:t>
      </w:r>
      <w:r>
        <w:t xml:space="preserve">(emphasis added).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612206"/>
      <w:docPartObj>
        <w:docPartGallery w:val="Page Numbers (Top of Page)"/>
        <w:docPartUnique/>
      </w:docPartObj>
    </w:sdtPr>
    <w:sdtEndPr>
      <w:rPr>
        <w:rFonts w:ascii="Times New Roman" w:hAnsi="Times New Roman" w:cs="Times New Roman"/>
        <w:noProof/>
        <w:sz w:val="24"/>
        <w:szCs w:val="24"/>
      </w:rPr>
    </w:sdtEndPr>
    <w:sdtContent>
      <w:p w14:paraId="0DB6DD5E" w14:textId="181515F0" w:rsidR="00E47B28" w:rsidRPr="007E0879" w:rsidRDefault="00E47B28">
        <w:pPr>
          <w:pStyle w:val="Header"/>
          <w:jc w:val="center"/>
          <w:rPr>
            <w:rFonts w:ascii="Times New Roman" w:hAnsi="Times New Roman" w:cs="Times New Roman"/>
            <w:sz w:val="24"/>
            <w:szCs w:val="24"/>
          </w:rPr>
        </w:pPr>
        <w:r w:rsidRPr="007E0879">
          <w:rPr>
            <w:rFonts w:ascii="Times New Roman" w:hAnsi="Times New Roman" w:cs="Times New Roman"/>
            <w:sz w:val="24"/>
            <w:szCs w:val="24"/>
          </w:rPr>
          <w:fldChar w:fldCharType="begin"/>
        </w:r>
        <w:r w:rsidRPr="007E0879">
          <w:rPr>
            <w:rFonts w:ascii="Times New Roman" w:hAnsi="Times New Roman" w:cs="Times New Roman"/>
            <w:sz w:val="24"/>
            <w:szCs w:val="24"/>
          </w:rPr>
          <w:instrText xml:space="preserve"> PAGE   \* MERGEFORMAT </w:instrText>
        </w:r>
        <w:r w:rsidRPr="007E0879">
          <w:rPr>
            <w:rFonts w:ascii="Times New Roman" w:hAnsi="Times New Roman" w:cs="Times New Roman"/>
            <w:sz w:val="24"/>
            <w:szCs w:val="24"/>
          </w:rPr>
          <w:fldChar w:fldCharType="separate"/>
        </w:r>
        <w:r w:rsidR="00782F0E">
          <w:rPr>
            <w:rFonts w:ascii="Times New Roman" w:hAnsi="Times New Roman" w:cs="Times New Roman"/>
            <w:noProof/>
            <w:sz w:val="24"/>
            <w:szCs w:val="24"/>
          </w:rPr>
          <w:t>6</w:t>
        </w:r>
        <w:r w:rsidRPr="007E0879">
          <w:rPr>
            <w:rFonts w:ascii="Times New Roman" w:hAnsi="Times New Roman" w:cs="Times New Roman"/>
            <w:noProof/>
            <w:sz w:val="24"/>
            <w:szCs w:val="24"/>
          </w:rPr>
          <w:fldChar w:fldCharType="end"/>
        </w:r>
      </w:p>
    </w:sdtContent>
  </w:sdt>
  <w:p w14:paraId="3B5705F6" w14:textId="77777777" w:rsidR="00E47B28" w:rsidRPr="007E0879" w:rsidRDefault="00E47B2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7B3335F5"/>
    <w:multiLevelType w:val="multilevel"/>
    <w:tmpl w:val="2E748E0A"/>
    <w:lvl w:ilvl="0">
      <w:start w:val="1"/>
      <w:numFmt w:val="decimal"/>
      <w:pStyle w:val="Heading1"/>
      <w:lvlText w:val="%1"/>
      <w:lvlJc w:val="left"/>
      <w:pPr>
        <w:tabs>
          <w:tab w:val="num" w:pos="1080"/>
        </w:tabs>
        <w:ind w:left="1080" w:hanging="360"/>
      </w:pPr>
      <w:rPr>
        <w:rFonts w:hint="default"/>
        <w:sz w:val="20"/>
        <w:szCs w:val="20"/>
      </w:rPr>
    </w:lvl>
    <w:lvl w:ilvl="1">
      <w:start w:val="1"/>
      <w:numFmt w:val="none"/>
      <w:pStyle w:val="Heading2"/>
      <w:lvlText w:val="%2"/>
      <w:lvlJc w:val="left"/>
      <w:pPr>
        <w:tabs>
          <w:tab w:val="num" w:pos="1440"/>
        </w:tabs>
        <w:ind w:left="1440" w:hanging="360"/>
      </w:pPr>
      <w:rPr>
        <w:rFonts w:hint="default"/>
      </w:rPr>
    </w:lvl>
    <w:lvl w:ilvl="2">
      <w:start w:val="1"/>
      <w:numFmt w:val="lowerLetter"/>
      <w:lvlRestart w:val="1"/>
      <w:pStyle w:val="Heading3"/>
      <w:lvlText w:val="(%3)"/>
      <w:lvlJc w:val="left"/>
      <w:pPr>
        <w:tabs>
          <w:tab w:val="num" w:pos="1800"/>
        </w:tabs>
        <w:ind w:left="1800" w:hanging="360"/>
      </w:pPr>
      <w:rPr>
        <w:rFonts w:hint="default"/>
      </w:rPr>
    </w:lvl>
    <w:lvl w:ilvl="3">
      <w:start w:val="1"/>
      <w:numFmt w:val="lowerRoman"/>
      <w:pStyle w:val="Heading4"/>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FA"/>
    <w:rsid w:val="00004ACC"/>
    <w:rsid w:val="000556FB"/>
    <w:rsid w:val="00057040"/>
    <w:rsid w:val="00062278"/>
    <w:rsid w:val="000759A8"/>
    <w:rsid w:val="000928C4"/>
    <w:rsid w:val="000C2134"/>
    <w:rsid w:val="000F733F"/>
    <w:rsid w:val="001302B5"/>
    <w:rsid w:val="00140FA9"/>
    <w:rsid w:val="00253A89"/>
    <w:rsid w:val="0025727B"/>
    <w:rsid w:val="0027307C"/>
    <w:rsid w:val="002C45B2"/>
    <w:rsid w:val="0030766C"/>
    <w:rsid w:val="0031658B"/>
    <w:rsid w:val="00320B27"/>
    <w:rsid w:val="003472F6"/>
    <w:rsid w:val="00352A3B"/>
    <w:rsid w:val="00395548"/>
    <w:rsid w:val="00396FA5"/>
    <w:rsid w:val="003C1CA0"/>
    <w:rsid w:val="003C745F"/>
    <w:rsid w:val="004014F4"/>
    <w:rsid w:val="00435D16"/>
    <w:rsid w:val="0044281F"/>
    <w:rsid w:val="00461BFD"/>
    <w:rsid w:val="00462564"/>
    <w:rsid w:val="004932A9"/>
    <w:rsid w:val="004B1BB5"/>
    <w:rsid w:val="004D70A0"/>
    <w:rsid w:val="004E0CCB"/>
    <w:rsid w:val="004E636F"/>
    <w:rsid w:val="00524F5D"/>
    <w:rsid w:val="00543492"/>
    <w:rsid w:val="00556B17"/>
    <w:rsid w:val="0058122E"/>
    <w:rsid w:val="005C56C4"/>
    <w:rsid w:val="00612963"/>
    <w:rsid w:val="0064322F"/>
    <w:rsid w:val="00644B6A"/>
    <w:rsid w:val="006A2AC6"/>
    <w:rsid w:val="006C00FE"/>
    <w:rsid w:val="006D2C66"/>
    <w:rsid w:val="00717725"/>
    <w:rsid w:val="00735F58"/>
    <w:rsid w:val="007369C5"/>
    <w:rsid w:val="00745188"/>
    <w:rsid w:val="00782F0E"/>
    <w:rsid w:val="007865FD"/>
    <w:rsid w:val="007A3343"/>
    <w:rsid w:val="007B2AB3"/>
    <w:rsid w:val="007E0879"/>
    <w:rsid w:val="008A54B6"/>
    <w:rsid w:val="008A5769"/>
    <w:rsid w:val="008C0ACC"/>
    <w:rsid w:val="008D3494"/>
    <w:rsid w:val="00911B14"/>
    <w:rsid w:val="00935FBD"/>
    <w:rsid w:val="009622D6"/>
    <w:rsid w:val="009860E8"/>
    <w:rsid w:val="009A217C"/>
    <w:rsid w:val="009B5867"/>
    <w:rsid w:val="009C36D6"/>
    <w:rsid w:val="00A06729"/>
    <w:rsid w:val="00A154F4"/>
    <w:rsid w:val="00A23E87"/>
    <w:rsid w:val="00A2639B"/>
    <w:rsid w:val="00A32DBB"/>
    <w:rsid w:val="00A442F4"/>
    <w:rsid w:val="00A56913"/>
    <w:rsid w:val="00AF7CC4"/>
    <w:rsid w:val="00B33EFF"/>
    <w:rsid w:val="00B41E0F"/>
    <w:rsid w:val="00B85064"/>
    <w:rsid w:val="00B91D2B"/>
    <w:rsid w:val="00BF0D4E"/>
    <w:rsid w:val="00C021E4"/>
    <w:rsid w:val="00C17FFA"/>
    <w:rsid w:val="00C413EB"/>
    <w:rsid w:val="00CA5F24"/>
    <w:rsid w:val="00CC5799"/>
    <w:rsid w:val="00CE4F12"/>
    <w:rsid w:val="00D26F91"/>
    <w:rsid w:val="00D86CBD"/>
    <w:rsid w:val="00E0764D"/>
    <w:rsid w:val="00E47B28"/>
    <w:rsid w:val="00E96251"/>
    <w:rsid w:val="00EC0EF6"/>
    <w:rsid w:val="00EE1AC5"/>
    <w:rsid w:val="00EE559A"/>
    <w:rsid w:val="00EE5D88"/>
    <w:rsid w:val="00EF3077"/>
    <w:rsid w:val="00EF550A"/>
    <w:rsid w:val="00F46336"/>
    <w:rsid w:val="00F56E6C"/>
    <w:rsid w:val="00F73230"/>
    <w:rsid w:val="00F846E3"/>
    <w:rsid w:val="00F84BCD"/>
    <w:rsid w:val="00FA0A46"/>
    <w:rsid w:val="00FA663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BDFC"/>
  <w15:chartTrackingRefBased/>
  <w15:docId w15:val="{BF6BF2F4-7232-48E5-863D-E564D301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b/>
        <w:sz w:val="24"/>
        <w:szCs w:val="24"/>
        <w:u w:val="single"/>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FA"/>
    <w:pPr>
      <w:spacing w:after="0" w:line="240" w:lineRule="auto"/>
    </w:pPr>
    <w:rPr>
      <w:rFonts w:ascii="Arial" w:hAnsi="Arial" w:cs="Arial"/>
      <w:b w:val="0"/>
      <w:sz w:val="20"/>
      <w:szCs w:val="20"/>
      <w:u w:val="none"/>
    </w:rPr>
  </w:style>
  <w:style w:type="paragraph" w:styleId="Heading1">
    <w:name w:val="heading 1"/>
    <w:basedOn w:val="Normal"/>
    <w:link w:val="Heading1Char"/>
    <w:qFormat/>
    <w:rsid w:val="00C17FFA"/>
    <w:pPr>
      <w:widowControl w:val="0"/>
      <w:numPr>
        <w:numId w:val="2"/>
      </w:numPr>
      <w:tabs>
        <w:tab w:val="clear" w:pos="1080"/>
        <w:tab w:val="left" w:pos="1440"/>
      </w:tabs>
      <w:spacing w:before="240" w:line="480" w:lineRule="atLeast"/>
      <w:ind w:left="720" w:hanging="720"/>
      <w:jc w:val="both"/>
      <w:outlineLvl w:val="0"/>
    </w:pPr>
    <w:rPr>
      <w:rFonts w:ascii="Book Antiqua" w:eastAsia="Times New Roman" w:hAnsi="Book Antiqua" w:cs="Times New Roman"/>
      <w:kern w:val="28"/>
      <w:sz w:val="24"/>
    </w:rPr>
  </w:style>
  <w:style w:type="paragraph" w:styleId="Heading2">
    <w:name w:val="heading 2"/>
    <w:basedOn w:val="Normal"/>
    <w:next w:val="Heading1"/>
    <w:link w:val="Heading2Char"/>
    <w:qFormat/>
    <w:rsid w:val="00C17FFA"/>
    <w:pPr>
      <w:keepNext/>
      <w:widowControl w:val="0"/>
      <w:numPr>
        <w:ilvl w:val="1"/>
        <w:numId w:val="2"/>
      </w:numPr>
      <w:tabs>
        <w:tab w:val="clear" w:pos="1440"/>
        <w:tab w:val="left" w:pos="720"/>
      </w:tabs>
      <w:spacing w:before="320"/>
      <w:ind w:left="720" w:firstLine="0"/>
      <w:jc w:val="both"/>
      <w:outlineLvl w:val="1"/>
    </w:pPr>
    <w:rPr>
      <w:rFonts w:ascii="Book Antiqua" w:eastAsia="Times New Roman" w:hAnsi="Book Antiqua" w:cs="Times New Roman"/>
      <w:b/>
      <w:sz w:val="24"/>
    </w:rPr>
  </w:style>
  <w:style w:type="paragraph" w:styleId="Heading3">
    <w:name w:val="heading 3"/>
    <w:basedOn w:val="Normal"/>
    <w:link w:val="Heading3Char"/>
    <w:autoRedefine/>
    <w:qFormat/>
    <w:rsid w:val="00C17FFA"/>
    <w:pPr>
      <w:widowControl w:val="0"/>
      <w:numPr>
        <w:ilvl w:val="2"/>
        <w:numId w:val="2"/>
      </w:numPr>
      <w:tabs>
        <w:tab w:val="clear" w:pos="1800"/>
      </w:tabs>
      <w:spacing w:before="120" w:after="120" w:line="400" w:lineRule="atLeast"/>
      <w:ind w:left="1440" w:hanging="720"/>
      <w:jc w:val="both"/>
      <w:outlineLvl w:val="2"/>
    </w:pPr>
    <w:rPr>
      <w:rFonts w:ascii="Book Antiqua" w:eastAsia="Times New Roman" w:hAnsi="Book Antiqua" w:cs="Times New Roman"/>
      <w:sz w:val="24"/>
    </w:rPr>
  </w:style>
  <w:style w:type="paragraph" w:styleId="Heading4">
    <w:name w:val="heading 4"/>
    <w:basedOn w:val="Normal"/>
    <w:link w:val="Heading4Char"/>
    <w:qFormat/>
    <w:rsid w:val="00C17FFA"/>
    <w:pPr>
      <w:keepNext/>
      <w:widowControl w:val="0"/>
      <w:numPr>
        <w:ilvl w:val="3"/>
        <w:numId w:val="2"/>
      </w:numPr>
      <w:tabs>
        <w:tab w:val="clear" w:pos="2160"/>
      </w:tabs>
      <w:spacing w:before="120" w:after="120" w:line="400" w:lineRule="atLeast"/>
      <w:ind w:hanging="720"/>
      <w:jc w:val="both"/>
      <w:outlineLvl w:val="3"/>
    </w:pPr>
    <w:rPr>
      <w:rFonts w:ascii="Book Antiqua" w:eastAsia="Times New Roman" w:hAnsi="Book Antiqu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FFA"/>
    <w:rPr>
      <w:rFonts w:eastAsia="Times New Roman" w:cs="Times New Roman"/>
      <w:b w:val="0"/>
      <w:kern w:val="28"/>
      <w:szCs w:val="20"/>
      <w:u w:val="none"/>
    </w:rPr>
  </w:style>
  <w:style w:type="character" w:customStyle="1" w:styleId="Heading2Char">
    <w:name w:val="Heading 2 Char"/>
    <w:basedOn w:val="DefaultParagraphFont"/>
    <w:link w:val="Heading2"/>
    <w:rsid w:val="00C17FFA"/>
    <w:rPr>
      <w:rFonts w:eastAsia="Times New Roman" w:cs="Times New Roman"/>
      <w:szCs w:val="20"/>
      <w:u w:val="none"/>
    </w:rPr>
  </w:style>
  <w:style w:type="character" w:customStyle="1" w:styleId="Heading3Char">
    <w:name w:val="Heading 3 Char"/>
    <w:basedOn w:val="DefaultParagraphFont"/>
    <w:link w:val="Heading3"/>
    <w:rsid w:val="00C17FFA"/>
    <w:rPr>
      <w:rFonts w:eastAsia="Times New Roman" w:cs="Times New Roman"/>
      <w:b w:val="0"/>
      <w:szCs w:val="20"/>
      <w:u w:val="none"/>
    </w:rPr>
  </w:style>
  <w:style w:type="character" w:customStyle="1" w:styleId="Heading4Char">
    <w:name w:val="Heading 4 Char"/>
    <w:basedOn w:val="DefaultParagraphFont"/>
    <w:link w:val="Heading4"/>
    <w:rsid w:val="00C17FFA"/>
    <w:rPr>
      <w:rFonts w:eastAsia="Times New Roman" w:cs="Times New Roman"/>
      <w:b w:val="0"/>
      <w:szCs w:val="20"/>
      <w:u w:val="none"/>
    </w:rPr>
  </w:style>
  <w:style w:type="paragraph" w:styleId="Footer">
    <w:name w:val="footer"/>
    <w:basedOn w:val="Normal"/>
    <w:link w:val="FooterChar"/>
    <w:rsid w:val="00C17FFA"/>
    <w:pPr>
      <w:widowControl w:val="0"/>
      <w:tabs>
        <w:tab w:val="center" w:pos="4896"/>
        <w:tab w:val="right" w:pos="9792"/>
      </w:tabs>
    </w:pPr>
    <w:rPr>
      <w:rFonts w:ascii="Book Antiqua" w:eastAsia="Times New Roman" w:hAnsi="Book Antiqua" w:cs="Times New Roman"/>
      <w:sz w:val="24"/>
    </w:rPr>
  </w:style>
  <w:style w:type="character" w:customStyle="1" w:styleId="FooterChar">
    <w:name w:val="Footer Char"/>
    <w:basedOn w:val="DefaultParagraphFont"/>
    <w:link w:val="Footer"/>
    <w:rsid w:val="00C17FFA"/>
    <w:rPr>
      <w:rFonts w:eastAsia="Times New Roman" w:cs="Times New Roman"/>
      <w:b w:val="0"/>
      <w:szCs w:val="20"/>
      <w:u w:val="none"/>
    </w:rPr>
  </w:style>
  <w:style w:type="paragraph" w:styleId="FootnoteText">
    <w:name w:val="footnote text"/>
    <w:basedOn w:val="Normal"/>
    <w:link w:val="FootnoteTextChar"/>
    <w:semiHidden/>
    <w:rsid w:val="00C17FFA"/>
    <w:pPr>
      <w:widowControl w:val="0"/>
      <w:spacing w:before="120"/>
      <w:ind w:left="1440" w:hanging="720"/>
      <w:jc w:val="both"/>
    </w:pPr>
    <w:rPr>
      <w:rFonts w:ascii="Book Antiqua" w:eastAsia="Times New Roman" w:hAnsi="Book Antiqua" w:cs="Times New Roman"/>
    </w:rPr>
  </w:style>
  <w:style w:type="character" w:customStyle="1" w:styleId="FootnoteTextChar">
    <w:name w:val="Footnote Text Char"/>
    <w:basedOn w:val="DefaultParagraphFont"/>
    <w:link w:val="FootnoteText"/>
    <w:semiHidden/>
    <w:rsid w:val="00C17FFA"/>
    <w:rPr>
      <w:rFonts w:eastAsia="Times New Roman" w:cs="Times New Roman"/>
      <w:b w:val="0"/>
      <w:sz w:val="20"/>
      <w:szCs w:val="20"/>
      <w:u w:val="none"/>
    </w:rPr>
  </w:style>
  <w:style w:type="character" w:styleId="FootnoteReference">
    <w:name w:val="footnote reference"/>
    <w:semiHidden/>
    <w:rsid w:val="00C17FFA"/>
    <w:rPr>
      <w:vertAlign w:val="superscript"/>
    </w:rPr>
  </w:style>
  <w:style w:type="character" w:styleId="PageNumber">
    <w:name w:val="page number"/>
    <w:basedOn w:val="DefaultParagraphFont"/>
    <w:rsid w:val="00C17FFA"/>
  </w:style>
  <w:style w:type="paragraph" w:customStyle="1" w:styleId="Quote1">
    <w:name w:val="Quote1"/>
    <w:basedOn w:val="Normal"/>
    <w:rsid w:val="00C17FFA"/>
    <w:pPr>
      <w:widowControl w:val="0"/>
      <w:spacing w:before="240"/>
      <w:ind w:left="1440" w:right="720"/>
      <w:jc w:val="both"/>
    </w:pPr>
    <w:rPr>
      <w:rFonts w:ascii="Book Antiqua" w:eastAsia="Times New Roman" w:hAnsi="Book Antiqua" w:cs="Times New Roman"/>
      <w:sz w:val="22"/>
    </w:rPr>
  </w:style>
  <w:style w:type="paragraph" w:customStyle="1" w:styleId="Para-Indent">
    <w:name w:val="Para - Indent"/>
    <w:basedOn w:val="Normal"/>
    <w:rsid w:val="00C17FFA"/>
    <w:pPr>
      <w:widowControl w:val="0"/>
      <w:spacing w:line="480" w:lineRule="atLeast"/>
      <w:ind w:left="2160" w:hanging="720"/>
      <w:jc w:val="both"/>
    </w:pPr>
    <w:rPr>
      <w:rFonts w:ascii="Book Antiqua" w:eastAsia="Times New Roman" w:hAnsi="Book Antiqua" w:cs="Times New Roman"/>
      <w:sz w:val="24"/>
    </w:rPr>
  </w:style>
  <w:style w:type="paragraph" w:customStyle="1" w:styleId="Normal-Indent">
    <w:name w:val="Normal - Indent"/>
    <w:basedOn w:val="Normal"/>
    <w:rsid w:val="00C17FFA"/>
    <w:pPr>
      <w:widowControl w:val="0"/>
      <w:spacing w:line="480" w:lineRule="atLeast"/>
      <w:ind w:left="720"/>
      <w:jc w:val="both"/>
    </w:pPr>
    <w:rPr>
      <w:rFonts w:ascii="Book Antiqua" w:eastAsia="Times New Roman" w:hAnsi="Book Antiqua" w:cs="Times New Roman"/>
      <w:sz w:val="24"/>
    </w:rPr>
  </w:style>
  <w:style w:type="paragraph" w:customStyle="1" w:styleId="Bullet">
    <w:name w:val="Bullet"/>
    <w:basedOn w:val="Para-Indent"/>
    <w:rsid w:val="00C17FFA"/>
    <w:pPr>
      <w:numPr>
        <w:numId w:val="1"/>
      </w:numPr>
      <w:tabs>
        <w:tab w:val="clear" w:pos="2291"/>
        <w:tab w:val="left" w:pos="2160"/>
      </w:tabs>
      <w:spacing w:before="120" w:after="120" w:line="400" w:lineRule="atLeast"/>
      <w:ind w:left="2160" w:right="720" w:hanging="720"/>
    </w:pPr>
  </w:style>
  <w:style w:type="character" w:styleId="Hyperlink">
    <w:name w:val="Hyperlink"/>
    <w:uiPriority w:val="99"/>
    <w:unhideWhenUsed/>
    <w:rsid w:val="00C17FFA"/>
    <w:rPr>
      <w:color w:val="0000FF"/>
      <w:u w:val="single"/>
    </w:rPr>
  </w:style>
  <w:style w:type="paragraph" w:styleId="Header">
    <w:name w:val="header"/>
    <w:basedOn w:val="Normal"/>
    <w:link w:val="HeaderChar"/>
    <w:uiPriority w:val="99"/>
    <w:unhideWhenUsed/>
    <w:rsid w:val="007E0879"/>
    <w:pPr>
      <w:tabs>
        <w:tab w:val="center" w:pos="4513"/>
        <w:tab w:val="right" w:pos="9026"/>
      </w:tabs>
    </w:pPr>
  </w:style>
  <w:style w:type="character" w:customStyle="1" w:styleId="HeaderChar">
    <w:name w:val="Header Char"/>
    <w:basedOn w:val="DefaultParagraphFont"/>
    <w:link w:val="Header"/>
    <w:uiPriority w:val="99"/>
    <w:rsid w:val="007E0879"/>
    <w:rPr>
      <w:rFonts w:ascii="Arial" w:hAnsi="Arial" w:cs="Arial"/>
      <w:b w:val="0"/>
      <w:sz w:val="20"/>
      <w:szCs w:val="20"/>
      <w:u w:val="none"/>
    </w:rPr>
  </w:style>
  <w:style w:type="paragraph" w:styleId="BalloonText">
    <w:name w:val="Balloon Text"/>
    <w:basedOn w:val="Normal"/>
    <w:link w:val="BalloonTextChar"/>
    <w:uiPriority w:val="99"/>
    <w:semiHidden/>
    <w:unhideWhenUsed/>
    <w:rsid w:val="00736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9C5"/>
    <w:rPr>
      <w:rFonts w:ascii="Segoe UI" w:hAnsi="Segoe UI" w:cs="Segoe UI"/>
      <w:b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lii.edu.au/cgi-bin/viewdoc/au/legis/cth/consol_act/asaica2001529/s12cb.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hngardnerathome.info/pdfs/reasonableperson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57390-E9F4-4F5A-840D-5C14A16CCB38}">
  <ds:schemaRefs>
    <ds:schemaRef ds:uri="http://schemas.openxmlformats.org/officeDocument/2006/bibliography"/>
  </ds:schemaRefs>
</ds:datastoreItem>
</file>

<file path=customXml/itemProps2.xml><?xml version="1.0" encoding="utf-8"?>
<ds:datastoreItem xmlns:ds="http://schemas.openxmlformats.org/officeDocument/2006/customXml" ds:itemID="{B87CC5AE-A32C-4C85-A910-F1A2195D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B7F75-2B99-41BF-84ED-EB9E91FFEED8}">
  <ds:schemaRefs>
    <ds:schemaRef ds:uri="http://schemas.microsoft.com/office/2006/metadata/properties"/>
    <ds:schemaRef ds:uri="http://schemas.microsoft.com/office/infopath/2007/PartnerControls"/>
    <ds:schemaRef ds:uri="263eaefd-0475-4860-b86f-622cd66f4e0c"/>
  </ds:schemaRefs>
</ds:datastoreItem>
</file>

<file path=customXml/itemProps4.xml><?xml version="1.0" encoding="utf-8"?>
<ds:datastoreItem xmlns:ds="http://schemas.openxmlformats.org/officeDocument/2006/customXml" ds:itemID="{759FA1E7-7C56-452D-9FB7-C13C86DA6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5558</Words>
  <Characters>31685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Ala Al-Mahaidi</cp:lastModifiedBy>
  <cp:revision>2</cp:revision>
  <cp:lastPrinted>2019-08-15T05:01:00Z</cp:lastPrinted>
  <dcterms:created xsi:type="dcterms:W3CDTF">2019-08-16T00:28:00Z</dcterms:created>
  <dcterms:modified xsi:type="dcterms:W3CDTF">2021-09-03T04:54:00Z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